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5211200012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Sobůlky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198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Sobůlky,</w:t>
      </w:r>
      <w:r>
        <w:rPr>
          <w:spacing w:val="-3"/>
        </w:rPr>
        <w:t> </w:t>
      </w:r>
      <w:r>
        <w:rPr/>
        <w:t>Sobůlky</w:t>
      </w:r>
      <w:r>
        <w:rPr>
          <w:spacing w:val="-1"/>
        </w:rPr>
        <w:t> </w:t>
      </w:r>
      <w:r>
        <w:rPr/>
        <w:t>105,</w:t>
      </w:r>
      <w:r>
        <w:rPr>
          <w:spacing w:val="-3"/>
        </w:rPr>
        <w:t> </w:t>
      </w:r>
      <w:r>
        <w:rPr/>
        <w:t>697 01</w:t>
      </w:r>
      <w:r>
        <w:rPr>
          <w:spacing w:val="-2"/>
        </w:rPr>
        <w:t> </w:t>
      </w:r>
      <w:r>
        <w:rPr/>
        <w:t>Sobůlky</w:t>
      </w:r>
      <w:r>
        <w:rPr>
          <w:spacing w:val="-52"/>
        </w:rPr>
        <w:t> </w:t>
      </w:r>
      <w:r>
        <w:rPr/>
        <w:t>IČO:</w:t>
        <w:tab/>
        <w:t>00285285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Františkem</w:t>
      </w:r>
      <w:r>
        <w:rPr>
          <w:spacing w:val="-4"/>
        </w:rPr>
        <w:t> </w:t>
      </w:r>
      <w:r>
        <w:rPr/>
        <w:t>S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o 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94-4812671/0710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  <w:jc w:val="both"/>
      </w:pPr>
      <w:r>
        <w:rPr/>
        <w:t>„Smlouva“) se uzavírá na základě Rozhodnutí ministra životního prostředí č. 5211200012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67"/>
        <w:jc w:val="left"/>
      </w:pPr>
      <w:r>
        <w:rPr/>
        <w:t>„Zateplení</w:t>
      </w:r>
      <w:r>
        <w:rPr>
          <w:spacing w:val="-2"/>
        </w:rPr>
        <w:t> </w:t>
      </w:r>
      <w:r>
        <w:rPr/>
        <w:t>objektu</w:t>
      </w:r>
      <w:r>
        <w:rPr>
          <w:spacing w:val="-3"/>
        </w:rPr>
        <w:t> </w:t>
      </w:r>
      <w:r>
        <w:rPr/>
        <w:t>občanské</w:t>
      </w:r>
      <w:r>
        <w:rPr>
          <w:spacing w:val="-3"/>
        </w:rPr>
        <w:t> </w:t>
      </w:r>
      <w:r>
        <w:rPr/>
        <w:t>vybavenosti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parc.</w:t>
      </w:r>
      <w:r>
        <w:rPr>
          <w:spacing w:val="-1"/>
        </w:rPr>
        <w:t> </w:t>
      </w:r>
      <w:r>
        <w:rPr/>
        <w:t>81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k.ú.</w:t>
      </w:r>
      <w:r>
        <w:rPr>
          <w:spacing w:val="-4"/>
        </w:rPr>
        <w:t> </w:t>
      </w:r>
      <w:r>
        <w:rPr/>
        <w:t>Sobůlky“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131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příjemci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210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293,83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milion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3"/>
          <w:sz w:val="20"/>
        </w:rPr>
        <w:t> </w:t>
      </w:r>
      <w:r>
        <w:rPr>
          <w:sz w:val="20"/>
        </w:rPr>
        <w:t>deset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3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 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</w:t>
      </w:r>
      <w:r>
        <w:rPr>
          <w:spacing w:val="1"/>
          <w:sz w:val="20"/>
        </w:rPr>
        <w:t> </w:t>
      </w:r>
      <w:r>
        <w:rPr>
          <w:sz w:val="20"/>
        </w:rPr>
        <w:t>689</w:t>
      </w:r>
      <w:r>
        <w:rPr>
          <w:spacing w:val="1"/>
          <w:sz w:val="20"/>
        </w:rPr>
        <w:t> </w:t>
      </w:r>
      <w:r>
        <w:rPr>
          <w:sz w:val="20"/>
        </w:rPr>
        <w:t>541,85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45,00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i průběžně,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průběhu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</w:t>
      </w:r>
      <w:r>
        <w:rPr>
          <w:spacing w:val="-11"/>
          <w:sz w:val="20"/>
        </w:rPr>
        <w:t> </w:t>
      </w:r>
      <w:r>
        <w:rPr>
          <w:sz w:val="20"/>
        </w:rPr>
        <w:t>překročily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překročí</w:t>
      </w:r>
      <w:r>
        <w:rPr>
          <w:spacing w:val="-10"/>
          <w:sz w:val="20"/>
        </w:rPr>
        <w:t> </w:t>
      </w:r>
      <w:r>
        <w:rPr>
          <w:sz w:val="20"/>
        </w:rPr>
        <w:t>základ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stanovení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postupem stanoveným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3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0" w:right="1926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0" w:right="18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210 293,83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 V 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 podpory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/>
        <w:t>IV.</w:t>
      </w:r>
    </w:p>
    <w:p>
      <w:pPr>
        <w:pStyle w:val="Heading2"/>
        <w:spacing w:before="1"/>
        <w:ind w:left="1295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35" w:hanging="281"/>
        <w:jc w:val="both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2" w:hanging="281"/>
        <w:jc w:val="both"/>
        <w:rPr>
          <w:sz w:val="20"/>
        </w:rPr>
      </w:pPr>
      <w:r>
        <w:rPr>
          <w:spacing w:val="-1"/>
          <w:sz w:val="20"/>
        </w:rPr>
        <w:t>došlo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</w:t>
      </w:r>
      <w:r>
        <w:rPr>
          <w:sz w:val="20"/>
        </w:rPr>
        <w:t> </w:t>
      </w:r>
      <w:r>
        <w:rPr>
          <w:spacing w:val="-1"/>
          <w:sz w:val="20"/>
        </w:rPr>
        <w:t>zateplení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obvodových</w:t>
      </w:r>
      <w:r>
        <w:rPr>
          <w:spacing w:val="-12"/>
          <w:sz w:val="20"/>
        </w:rPr>
        <w:t> </w:t>
      </w:r>
      <w:r>
        <w:rPr>
          <w:sz w:val="20"/>
        </w:rPr>
        <w:t>konstrukcí,</w:t>
      </w:r>
      <w:r>
        <w:rPr>
          <w:spacing w:val="-8"/>
          <w:sz w:val="20"/>
        </w:rPr>
        <w:t> </w:t>
      </w:r>
      <w:r>
        <w:rPr>
          <w:sz w:val="20"/>
        </w:rPr>
        <w:t>půdního</w:t>
      </w:r>
      <w:r>
        <w:rPr>
          <w:spacing w:val="-11"/>
          <w:sz w:val="20"/>
        </w:rPr>
        <w:t> </w:t>
      </w:r>
      <w:r>
        <w:rPr>
          <w:sz w:val="20"/>
        </w:rPr>
        <w:t>prostoru</w:t>
      </w:r>
      <w:r>
        <w:rPr>
          <w:spacing w:val="-12"/>
          <w:sz w:val="20"/>
        </w:rPr>
        <w:t> </w:t>
      </w:r>
      <w:r>
        <w:rPr>
          <w:sz w:val="20"/>
        </w:rPr>
        <w:t>střechy,</w:t>
      </w:r>
      <w:r>
        <w:rPr>
          <w:spacing w:val="-13"/>
          <w:sz w:val="20"/>
        </w:rPr>
        <w:t> </w:t>
      </w:r>
      <w:r>
        <w:rPr>
          <w:sz w:val="20"/>
        </w:rPr>
        <w:t>výměně</w:t>
      </w:r>
      <w:r>
        <w:rPr>
          <w:spacing w:val="-11"/>
          <w:sz w:val="20"/>
        </w:rPr>
        <w:t> </w:t>
      </w:r>
      <w:r>
        <w:rPr>
          <w:sz w:val="20"/>
        </w:rPr>
        <w:t>výplní</w:t>
      </w:r>
      <w:r>
        <w:rPr>
          <w:spacing w:val="-8"/>
          <w:sz w:val="20"/>
        </w:rPr>
        <w:t> </w:t>
      </w:r>
      <w:r>
        <w:rPr>
          <w:sz w:val="20"/>
        </w:rPr>
        <w:t>otvorů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výměně</w:t>
      </w:r>
      <w:r>
        <w:rPr>
          <w:spacing w:val="-52"/>
          <w:sz w:val="20"/>
        </w:rPr>
        <w:t> </w:t>
      </w:r>
      <w:r>
        <w:rPr>
          <w:sz w:val="20"/>
        </w:rPr>
        <w:t>zdroje</w:t>
      </w:r>
      <w:r>
        <w:rPr>
          <w:spacing w:val="-3"/>
          <w:sz w:val="20"/>
        </w:rPr>
        <w:t> </w:t>
      </w:r>
      <w:r>
        <w:rPr>
          <w:sz w:val="20"/>
        </w:rPr>
        <w:t>vytápění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plynový</w:t>
      </w:r>
      <w:r>
        <w:rPr>
          <w:spacing w:val="3"/>
          <w:sz w:val="20"/>
        </w:rPr>
        <w:t> </w:t>
      </w:r>
      <w:r>
        <w:rPr>
          <w:sz w:val="20"/>
        </w:rPr>
        <w:t>kondenzační</w:t>
      </w:r>
      <w:r>
        <w:rPr>
          <w:spacing w:val="-1"/>
          <w:sz w:val="20"/>
        </w:rPr>
        <w:t> </w:t>
      </w:r>
      <w:r>
        <w:rPr>
          <w:sz w:val="20"/>
        </w:rPr>
        <w:t>kotel,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1063"/>
        <w:jc w:val="both"/>
      </w:pPr>
      <w:r>
        <w:rPr/>
        <w:t>Příjemce</w:t>
      </w:r>
      <w:r>
        <w:rPr>
          <w:spacing w:val="18"/>
        </w:rPr>
        <w:t> </w:t>
      </w:r>
      <w:r>
        <w:rPr/>
        <w:t>podpory</w:t>
      </w:r>
      <w:r>
        <w:rPr>
          <w:spacing w:val="18"/>
        </w:rPr>
        <w:t> </w:t>
      </w:r>
      <w:r>
        <w:rPr/>
        <w:t>bere</w:t>
      </w:r>
      <w:r>
        <w:rPr>
          <w:spacing w:val="18"/>
        </w:rPr>
        <w:t> </w:t>
      </w:r>
      <w:r>
        <w:rPr/>
        <w:t>na</w:t>
      </w:r>
      <w:r>
        <w:rPr>
          <w:spacing w:val="19"/>
        </w:rPr>
        <w:t> </w:t>
      </w:r>
      <w:r>
        <w:rPr/>
        <w:t>vědomí,</w:t>
      </w:r>
      <w:r>
        <w:rPr>
          <w:spacing w:val="20"/>
        </w:rPr>
        <w:t> </w:t>
      </w:r>
      <w:r>
        <w:rPr/>
        <w:t>že</w:t>
      </w:r>
      <w:r>
        <w:rPr>
          <w:spacing w:val="17"/>
        </w:rPr>
        <w:t> </w:t>
      </w:r>
      <w:r>
        <w:rPr/>
        <w:t>pokud</w:t>
      </w:r>
      <w:r>
        <w:rPr>
          <w:spacing w:val="18"/>
        </w:rPr>
        <w:t> </w:t>
      </w:r>
      <w:r>
        <w:rPr/>
        <w:t>toto</w:t>
      </w:r>
      <w:r>
        <w:rPr>
          <w:spacing w:val="19"/>
        </w:rPr>
        <w:t> </w:t>
      </w:r>
      <w:r>
        <w:rPr/>
        <w:t>prohlášení</w:t>
      </w:r>
      <w:r>
        <w:rPr>
          <w:spacing w:val="18"/>
        </w:rPr>
        <w:t> </w:t>
      </w:r>
      <w:r>
        <w:rPr/>
        <w:t>není</w:t>
      </w:r>
      <w:r>
        <w:rPr>
          <w:spacing w:val="20"/>
        </w:rPr>
        <w:t> </w:t>
      </w:r>
      <w:r>
        <w:rPr/>
        <w:t>pravdivé,</w:t>
      </w:r>
      <w:r>
        <w:rPr>
          <w:spacing w:val="18"/>
        </w:rPr>
        <w:t> </w:t>
      </w:r>
      <w:r>
        <w:rPr/>
        <w:t>bude</w:t>
      </w:r>
      <w:r>
        <w:rPr>
          <w:spacing w:val="17"/>
        </w:rPr>
        <w:t> </w:t>
      </w:r>
      <w:r>
        <w:rPr/>
        <w:t>přijetí</w:t>
      </w:r>
      <w:r>
        <w:rPr>
          <w:spacing w:val="18"/>
        </w:rPr>
        <w:t> </w:t>
      </w:r>
      <w:r>
        <w:rPr/>
        <w:t>podpory</w:t>
      </w:r>
    </w:p>
    <w:p>
      <w:pPr>
        <w:spacing w:after="0"/>
        <w:jc w:val="both"/>
        <w:sectPr>
          <w:pgSz w:w="12240" w:h="15840"/>
          <w:pgMar w:header="0" w:footer="1384" w:top="1060" w:bottom="1580" w:left="1320" w:right="1000"/>
        </w:sectPr>
      </w:pPr>
    </w:p>
    <w:p>
      <w:pPr>
        <w:pStyle w:val="BodyText"/>
        <w:spacing w:before="73"/>
        <w:ind w:left="1063" w:right="132"/>
        <w:jc w:val="both"/>
      </w:pPr>
      <w:r>
        <w:rPr/>
        <w:t>podle této Smlouvy považováno za neoprávněné použití finančních prostředků poskytnutých ze</w:t>
      </w:r>
      <w:r>
        <w:rPr>
          <w:spacing w:val="1"/>
        </w:rPr>
        <w:t> </w:t>
      </w:r>
      <w:r>
        <w:rPr/>
        <w:t>státního fondu ve smyslu zákona č. 218/2000 Sb., o rozpočtových pravidlech a o změně některých</w:t>
      </w:r>
      <w:r>
        <w:rPr>
          <w:spacing w:val="1"/>
        </w:rPr>
        <w:t> </w:t>
      </w:r>
      <w:r>
        <w:rPr/>
        <w:t>souvisejících</w:t>
      </w:r>
      <w:r>
        <w:rPr>
          <w:spacing w:val="-10"/>
        </w:rPr>
        <w:t> </w:t>
      </w:r>
      <w:r>
        <w:rPr/>
        <w:t>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 platném</w:t>
      </w:r>
      <w:r>
        <w:rPr>
          <w:spacing w:val="-12"/>
        </w:rPr>
        <w:t> </w:t>
      </w:r>
      <w:r>
        <w:rPr/>
        <w:t>znění,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9"/>
        </w:rPr>
        <w:t> </w:t>
      </w:r>
      <w:r>
        <w:rPr/>
        <w:t>být</w:t>
      </w:r>
      <w:r>
        <w:rPr>
          <w:spacing w:val="-11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 12 písm. f) Výzvy, včetně poznámky pod čarou č. 10 Výzvy) a zajistí, že po dobu udržitelnosti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splňovat</w:t>
      </w:r>
      <w:r>
        <w:rPr>
          <w:spacing w:val="-1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bodu 13.1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g)</w:t>
      </w:r>
      <w:r>
        <w:rPr>
          <w:spacing w:val="5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1633"/>
        <w:gridCol w:w="1748"/>
        <w:gridCol w:w="1680"/>
      </w:tblGrid>
      <w:tr>
        <w:trPr>
          <w:trHeight w:val="770" w:hRule="atLeast"/>
        </w:trPr>
        <w:tc>
          <w:tcPr>
            <w:tcW w:w="3769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104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 w:right="571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0.024</w:t>
            </w:r>
          </w:p>
        </w:tc>
      </w:tr>
      <w:tr>
        <w:trPr>
          <w:trHeight w:val="505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21.47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6.49</w:t>
            </w:r>
          </w:p>
        </w:tc>
      </w:tr>
      <w:tr>
        <w:trPr>
          <w:trHeight w:val="506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386.17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116.73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 w:right="1083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386.17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116.73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</w:t>
      </w:r>
      <w:r>
        <w:rPr>
          <w:spacing w:val="1"/>
          <w:sz w:val="20"/>
        </w:rPr>
        <w:t> </w:t>
      </w:r>
      <w:r>
        <w:rPr>
          <w:sz w:val="20"/>
        </w:rPr>
        <w:t>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8/2023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základě,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37"/>
          <w:sz w:val="20"/>
        </w:rPr>
        <w:t> </w:t>
      </w:r>
      <w:r>
        <w:rPr>
          <w:sz w:val="20"/>
        </w:rPr>
        <w:t>finanční</w:t>
      </w:r>
      <w:r>
        <w:rPr>
          <w:spacing w:val="35"/>
          <w:sz w:val="20"/>
        </w:rPr>
        <w:t> </w:t>
      </w:r>
      <w:r>
        <w:rPr>
          <w:sz w:val="20"/>
        </w:rPr>
        <w:t>prostředky</w:t>
      </w:r>
      <w:r>
        <w:rPr>
          <w:spacing w:val="38"/>
          <w:sz w:val="20"/>
        </w:rPr>
        <w:t> </w:t>
      </w:r>
      <w:r>
        <w:rPr>
          <w:sz w:val="20"/>
        </w:rPr>
        <w:t>(podporu)</w:t>
      </w:r>
      <w:r>
        <w:rPr>
          <w:spacing w:val="36"/>
          <w:sz w:val="20"/>
        </w:rPr>
        <w:t> </w:t>
      </w:r>
      <w:r>
        <w:rPr>
          <w:sz w:val="20"/>
        </w:rPr>
        <w:t>použít</w:t>
      </w:r>
      <w:r>
        <w:rPr>
          <w:spacing w:val="35"/>
          <w:sz w:val="20"/>
        </w:rPr>
        <w:t> </w:t>
      </w:r>
      <w:r>
        <w:rPr>
          <w:sz w:val="20"/>
        </w:rPr>
        <w:t>výhradně</w:t>
      </w:r>
      <w:r>
        <w:rPr>
          <w:spacing w:val="38"/>
          <w:sz w:val="20"/>
        </w:rPr>
        <w:t> </w:t>
      </w:r>
      <w:r>
        <w:rPr>
          <w:sz w:val="20"/>
        </w:rPr>
        <w:t>k</w:t>
      </w:r>
      <w:r>
        <w:rPr>
          <w:spacing w:val="35"/>
          <w:sz w:val="20"/>
        </w:rPr>
        <w:t> </w:t>
      </w:r>
      <w:r>
        <w:rPr>
          <w:sz w:val="20"/>
        </w:rPr>
        <w:t>účelu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Smlouvy,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9"/>
          <w:sz w:val="20"/>
        </w:rPr>
        <w:t> </w:t>
      </w:r>
      <w:r>
        <w:rPr>
          <w:sz w:val="20"/>
        </w:rPr>
        <w:t>je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00"/>
        </w:sectPr>
      </w:pPr>
    </w:p>
    <w:p>
      <w:pPr>
        <w:pStyle w:val="BodyText"/>
        <w:spacing w:before="73"/>
        <w:ind w:left="948" w:right="135"/>
        <w:jc w:val="both"/>
      </w:pPr>
      <w:r>
        <w:rPr>
          <w:w w:val="95"/>
        </w:rPr>
        <w:t>nejpozději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30</w:t>
      </w:r>
      <w:r>
        <w:rPr>
          <w:spacing w:val="12"/>
          <w:w w:val="95"/>
        </w:rPr>
        <w:t> </w:t>
      </w:r>
      <w:r>
        <w:rPr>
          <w:w w:val="95"/>
        </w:rPr>
        <w:t>dnů</w:t>
      </w:r>
      <w:r>
        <w:rPr>
          <w:spacing w:val="13"/>
          <w:w w:val="95"/>
        </w:rPr>
        <w:t> </w:t>
      </w:r>
      <w:r>
        <w:rPr>
          <w:w w:val="95"/>
        </w:rPr>
        <w:t>ode</w:t>
      </w:r>
      <w:r>
        <w:rPr>
          <w:spacing w:val="11"/>
          <w:w w:val="95"/>
        </w:rPr>
        <w:t> </w:t>
      </w:r>
      <w:r>
        <w:rPr>
          <w:w w:val="95"/>
        </w:rPr>
        <w:t>dne</w:t>
      </w:r>
      <w:r>
        <w:rPr>
          <w:spacing w:val="11"/>
          <w:w w:val="95"/>
        </w:rPr>
        <w:t> </w:t>
      </w:r>
      <w:r>
        <w:rPr>
          <w:w w:val="95"/>
        </w:rPr>
        <w:t>jejich</w:t>
      </w:r>
      <w:r>
        <w:rPr>
          <w:spacing w:val="12"/>
          <w:w w:val="95"/>
        </w:rPr>
        <w:t> </w:t>
      </w:r>
      <w:r>
        <w:rPr>
          <w:w w:val="95"/>
        </w:rPr>
        <w:t>odepsání</w:t>
      </w:r>
      <w:r>
        <w:rPr>
          <w:spacing w:val="11"/>
          <w:w w:val="95"/>
        </w:rPr>
        <w:t> </w:t>
      </w:r>
      <w:r>
        <w:rPr>
          <w:w w:val="95"/>
        </w:rPr>
        <w:t>z</w:t>
      </w:r>
      <w:r>
        <w:rPr>
          <w:spacing w:val="14"/>
          <w:w w:val="95"/>
        </w:rPr>
        <w:t> </w:t>
      </w:r>
      <w:r>
        <w:rPr>
          <w:w w:val="95"/>
        </w:rPr>
        <w:t>bankovního</w:t>
      </w:r>
      <w:r>
        <w:rPr>
          <w:spacing w:val="14"/>
          <w:w w:val="95"/>
        </w:rPr>
        <w:t> </w:t>
      </w:r>
      <w:r>
        <w:rPr>
          <w:w w:val="95"/>
        </w:rPr>
        <w:t>účtu</w:t>
      </w:r>
      <w:r>
        <w:rPr>
          <w:spacing w:val="13"/>
          <w:w w:val="95"/>
        </w:rPr>
        <w:t> </w:t>
      </w:r>
      <w:r>
        <w:rPr>
          <w:w w:val="95"/>
        </w:rPr>
        <w:t>Fondu</w:t>
      </w:r>
      <w:r>
        <w:rPr>
          <w:spacing w:val="12"/>
          <w:w w:val="95"/>
        </w:rPr>
        <w:t> </w:t>
      </w:r>
      <w:r>
        <w:rPr>
          <w:w w:val="95"/>
        </w:rPr>
        <w:t>vrátit</w:t>
      </w:r>
      <w:r>
        <w:rPr>
          <w:spacing w:val="11"/>
          <w:w w:val="95"/>
        </w:rPr>
        <w:t> </w:t>
      </w:r>
      <w:r>
        <w:rPr>
          <w:w w:val="95"/>
        </w:rPr>
        <w:t>na</w:t>
      </w:r>
      <w:r>
        <w:rPr>
          <w:spacing w:val="11"/>
          <w:w w:val="95"/>
        </w:rPr>
        <w:t> </w:t>
      </w:r>
      <w:r>
        <w:rPr>
          <w:w w:val="95"/>
        </w:rPr>
        <w:t>bankovní</w:t>
      </w:r>
      <w:r>
        <w:rPr>
          <w:spacing w:val="13"/>
          <w:w w:val="95"/>
        </w:rPr>
        <w:t> </w:t>
      </w:r>
      <w:r>
        <w:rPr>
          <w:w w:val="95"/>
        </w:rPr>
        <w:t>účet</w:t>
      </w:r>
      <w:r>
        <w:rPr>
          <w:spacing w:val="12"/>
          <w:w w:val="95"/>
        </w:rPr>
        <w:t> </w:t>
      </w:r>
      <w:r>
        <w:rPr>
          <w:w w:val="95"/>
        </w:rPr>
        <w:t>Fondu;</w:t>
      </w:r>
      <w:r>
        <w:rPr>
          <w:spacing w:val="-49"/>
          <w:w w:val="95"/>
        </w:rPr>
        <w:t> </w:t>
      </w:r>
      <w:r>
        <w:rPr/>
        <w:t>za</w:t>
      </w:r>
      <w:r>
        <w:rPr>
          <w:spacing w:val="-3"/>
        </w:rPr>
        <w:t> </w:t>
      </w:r>
      <w:r>
        <w:rPr/>
        <w:t>použití</w:t>
      </w:r>
      <w:r>
        <w:rPr>
          <w:spacing w:val="-3"/>
        </w:rPr>
        <w:t> </w:t>
      </w:r>
      <w:r>
        <w:rPr/>
        <w:t>prostředků</w:t>
      </w:r>
      <w:r>
        <w:rPr>
          <w:spacing w:val="-2"/>
        </w:rPr>
        <w:t> </w:t>
      </w:r>
      <w:r>
        <w:rPr/>
        <w:t>poskytnutých</w:t>
      </w:r>
      <w:r>
        <w:rPr>
          <w:spacing w:val="-1"/>
        </w:rPr>
        <w:t> </w:t>
      </w:r>
      <w:r>
        <w:rPr/>
        <w:t>Fondem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považuje</w:t>
      </w:r>
      <w:r>
        <w:rPr>
          <w:spacing w:val="-3"/>
        </w:rPr>
        <w:t> </w:t>
      </w:r>
      <w:r>
        <w:rPr/>
        <w:t>příjemcem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již</w:t>
      </w:r>
      <w:r>
        <w:rPr>
          <w:spacing w:val="-1"/>
        </w:rPr>
        <w:t> </w:t>
      </w:r>
      <w:r>
        <w:rPr/>
        <w:t>provedená</w:t>
      </w:r>
      <w:r>
        <w:rPr>
          <w:spacing w:val="-3"/>
        </w:rPr>
        <w:t> </w:t>
      </w:r>
      <w:r>
        <w:rPr/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 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 nebo podle článku IV bodu 2 písm. a) nebo c), bude postiženo odvodem ve výši 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nebo podle článku IV bodu 1 písm. b) za třetí odrážkou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36"/>
          <w:sz w:val="20"/>
        </w:rPr>
        <w:t> </w:t>
      </w:r>
      <w:r>
        <w:rPr>
          <w:sz w:val="20"/>
        </w:rPr>
        <w:t>méně</w:t>
      </w:r>
      <w:r>
        <w:rPr>
          <w:spacing w:val="33"/>
          <w:sz w:val="20"/>
        </w:rPr>
        <w:t> </w:t>
      </w:r>
      <w:r>
        <w:rPr>
          <w:sz w:val="20"/>
        </w:rPr>
        <w:t>než</w:t>
      </w:r>
      <w:r>
        <w:rPr>
          <w:spacing w:val="36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5"/>
          <w:sz w:val="20"/>
        </w:rPr>
        <w:t> </w:t>
      </w:r>
      <w:r>
        <w:rPr>
          <w:sz w:val="20"/>
        </w:rPr>
        <w:t>stanovených</w:t>
      </w:r>
      <w:r>
        <w:rPr>
          <w:spacing w:val="34"/>
          <w:sz w:val="20"/>
        </w:rPr>
        <w:t> </w:t>
      </w:r>
      <w:r>
        <w:rPr>
          <w:sz w:val="20"/>
        </w:rPr>
        <w:t>indikátorů,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toto</w:t>
      </w:r>
      <w:r>
        <w:rPr>
          <w:spacing w:val="36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3"/>
          <w:sz w:val="20"/>
        </w:rPr>
        <w:t> </w:t>
      </w:r>
      <w:r>
        <w:rPr>
          <w:sz w:val="20"/>
        </w:rPr>
        <w:t>100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podpory. V případě plnění účelu akce v rozmezí 50-89,99 % stanovených indikátorů, bude</w:t>
      </w:r>
      <w:r>
        <w:rPr>
          <w:spacing w:val="-52"/>
          <w:sz w:val="20"/>
        </w:rPr>
        <w:t> </w:t>
      </w:r>
      <w:r>
        <w:rPr>
          <w:sz w:val="20"/>
        </w:rPr>
        <w:t>toto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1"/>
          <w:sz w:val="20"/>
        </w:rPr>
        <w:t> </w:t>
      </w:r>
      <w:r>
        <w:rPr>
          <w:sz w:val="20"/>
        </w:rPr>
        <w:t>10-50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indikátorů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účelu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akce.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90-100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</w:t>
      </w:r>
      <w:r>
        <w:rPr>
          <w:spacing w:val="-13"/>
          <w:sz w:val="20"/>
        </w:rPr>
        <w:t> </w:t>
      </w:r>
      <w:r>
        <w:rPr>
          <w:sz w:val="20"/>
        </w:rPr>
        <w:t>nebude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jc w:val="both"/>
      </w:pPr>
      <w:r>
        <w:rPr/>
        <w:t>postiženo</w:t>
      </w:r>
      <w:r>
        <w:rPr>
          <w:spacing w:val="-4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dokončení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c)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0,5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každý</w:t>
      </w:r>
      <w:r>
        <w:rPr>
          <w:spacing w:val="-12"/>
          <w:sz w:val="20"/>
        </w:rPr>
        <w:t> </w:t>
      </w:r>
      <w:r>
        <w:rPr>
          <w:sz w:val="20"/>
        </w:rPr>
        <w:t>započatý</w:t>
      </w:r>
      <w:r>
        <w:rPr>
          <w:spacing w:val="-52"/>
          <w:sz w:val="20"/>
        </w:rPr>
        <w:t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> </w:t>
      </w:r>
      <w:r>
        <w:rPr>
          <w:sz w:val="20"/>
        </w:rPr>
        <w:t>nebude</w:t>
      </w:r>
      <w:r>
        <w:rPr>
          <w:spacing w:val="-2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spacing w:before="1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2"/>
        <w:ind w:left="0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</w:t>
      </w:r>
      <w:r>
        <w:rPr>
          <w:spacing w:val="-52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1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 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2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2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4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</w:t>
            </w:r>
            <w:r>
              <w:rPr>
                <w:sz w:val="22"/>
              </w:rPr>
              <w:t>IV bodu </w:t>
            </w:r>
            <w:r>
              <w:rPr>
                <w:sz w:val="20"/>
              </w:rPr>
              <w:t>2 </w:t>
            </w:r>
            <w:r>
              <w:rPr>
                <w:sz w:val="22"/>
              </w:rPr>
              <w:t>písm. </w:t>
            </w:r>
            <w:r>
              <w:rPr>
                <w:sz w:val="20"/>
              </w:rPr>
              <w:t>i</w:t>
            </w:r>
            <w:r>
              <w:rPr>
                <w:sz w:val="22"/>
              </w:rPr>
              <w:t>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38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6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2023-06-05T12:30:51Z</dcterms:created>
  <dcterms:modified xsi:type="dcterms:W3CDTF">2023-06-05T12:30:51Z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