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3E7A9E">
        <w:rPr>
          <w:rFonts w:ascii="Arial" w:hAnsi="Arial" w:cs="Arial"/>
          <w:b/>
          <w:sz w:val="24"/>
          <w:szCs w:val="22"/>
        </w:rPr>
        <w:t>365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3F25AB" w:rsidRPr="000B5D74" w:rsidRDefault="003F25AB" w:rsidP="003F25A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D74">
        <w:rPr>
          <w:rFonts w:ascii="Arial" w:hAnsi="Arial" w:cs="Arial"/>
          <w:b/>
          <w:bCs/>
          <w:noProof/>
          <w:sz w:val="22"/>
          <w:szCs w:val="22"/>
        </w:rPr>
        <w:t>Sportovní volejbalový klub Nový Jičín, z.s.</w:t>
      </w:r>
    </w:p>
    <w:p w:rsidR="003F25AB" w:rsidRPr="000B5D74" w:rsidRDefault="003F25AB" w:rsidP="003F25AB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zastoupený </w:t>
      </w:r>
      <w:r w:rsidR="003E7A9E">
        <w:rPr>
          <w:rFonts w:ascii="Arial" w:hAnsi="Arial" w:cs="Arial"/>
          <w:bCs/>
          <w:noProof/>
          <w:sz w:val="22"/>
          <w:szCs w:val="22"/>
        </w:rPr>
        <w:t>xxx</w:t>
      </w:r>
      <w:r w:rsidRPr="000B5D74">
        <w:rPr>
          <w:rFonts w:ascii="Arial" w:hAnsi="Arial" w:cs="Arial"/>
          <w:bCs/>
          <w:noProof/>
          <w:sz w:val="22"/>
          <w:szCs w:val="22"/>
        </w:rPr>
        <w:t>, předsedou výkonného výboru</w:t>
      </w:r>
    </w:p>
    <w:p w:rsidR="003F25AB" w:rsidRPr="000B5D74" w:rsidRDefault="003F25AB" w:rsidP="003F25AB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se sídlem </w:t>
      </w:r>
      <w:r w:rsidRPr="000B5D74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0B5D7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0B5D74">
        <w:rPr>
          <w:rFonts w:ascii="Arial" w:hAnsi="Arial" w:cs="Arial"/>
          <w:bCs/>
          <w:noProof/>
          <w:sz w:val="22"/>
          <w:szCs w:val="22"/>
        </w:rPr>
        <w:t>741 01</w:t>
      </w:r>
      <w:r w:rsidRPr="000B5D74">
        <w:rPr>
          <w:rFonts w:ascii="Arial" w:hAnsi="Arial" w:cs="Arial"/>
          <w:bCs/>
          <w:sz w:val="22"/>
          <w:szCs w:val="22"/>
        </w:rPr>
        <w:t xml:space="preserve">  </w:t>
      </w:r>
      <w:r w:rsidRPr="000B5D7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0B5D7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3F25AB" w:rsidRPr="000B5D74" w:rsidRDefault="003F25AB" w:rsidP="003F25AB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IČO: </w:t>
      </w:r>
      <w:r w:rsidRPr="000B5D74">
        <w:rPr>
          <w:rFonts w:ascii="Arial" w:hAnsi="Arial" w:cs="Arial"/>
          <w:bCs/>
          <w:noProof/>
          <w:sz w:val="22"/>
          <w:szCs w:val="22"/>
        </w:rPr>
        <w:t>07 51 22 95</w:t>
      </w:r>
    </w:p>
    <w:p w:rsidR="003F25AB" w:rsidRPr="000B5D74" w:rsidRDefault="003F25AB" w:rsidP="003F25AB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18110</w:t>
      </w:r>
    </w:p>
    <w:p w:rsidR="003F25AB" w:rsidRPr="000B5D74" w:rsidRDefault="003F25AB" w:rsidP="003F25AB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bankovní spojení: </w:t>
      </w:r>
      <w:r w:rsidRPr="000B5D74">
        <w:rPr>
          <w:rFonts w:ascii="Arial" w:hAnsi="Arial" w:cs="Arial"/>
          <w:noProof/>
          <w:sz w:val="22"/>
          <w:szCs w:val="22"/>
        </w:rPr>
        <w:t>Česká spořitelna, a.s.</w:t>
      </w:r>
    </w:p>
    <w:p w:rsidR="003F25AB" w:rsidRPr="000B5D74" w:rsidRDefault="003F25AB" w:rsidP="003F25AB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číslo účtu: </w:t>
      </w:r>
      <w:r w:rsidRPr="000B5D74">
        <w:rPr>
          <w:rFonts w:ascii="Arial" w:hAnsi="Arial" w:cs="Arial"/>
          <w:noProof/>
          <w:sz w:val="22"/>
          <w:szCs w:val="22"/>
        </w:rPr>
        <w:t>5520737359/0800</w:t>
      </w:r>
    </w:p>
    <w:p w:rsidR="003F25AB" w:rsidRPr="000B5D74" w:rsidRDefault="003F25AB" w:rsidP="003F25AB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0B5D74">
        <w:rPr>
          <w:rFonts w:ascii="Arial" w:hAnsi="Arial" w:cs="Arial"/>
          <w:sz w:val="22"/>
          <w:szCs w:val="22"/>
        </w:rPr>
        <w:t>jen ,,příjemce</w:t>
      </w:r>
      <w:proofErr w:type="gramEnd"/>
      <w:r w:rsidRPr="000B5D74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F74FAD" w:rsidRDefault="00F74FAD" w:rsidP="00F74FA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15A42">
        <w:rPr>
          <w:rFonts w:ascii="Arial" w:hAnsi="Arial" w:cs="Arial"/>
          <w:sz w:val="22"/>
          <w:szCs w:val="22"/>
        </w:rPr>
        <w:t>Dotace z</w:t>
      </w:r>
      <w:r w:rsidRPr="00115A42">
        <w:rPr>
          <w:rFonts w:ascii="Arial" w:hAnsi="Arial" w:cs="Arial"/>
          <w:b/>
          <w:sz w:val="22"/>
          <w:szCs w:val="22"/>
        </w:rPr>
        <w:t> Programu města Nový Jičí</w:t>
      </w:r>
      <w:r>
        <w:rPr>
          <w:rFonts w:ascii="Arial" w:hAnsi="Arial" w:cs="Arial"/>
          <w:b/>
          <w:sz w:val="22"/>
          <w:szCs w:val="22"/>
        </w:rPr>
        <w:t>n na podporu sportu pro rok 2023</w:t>
      </w:r>
      <w:r w:rsidRPr="00115A42">
        <w:rPr>
          <w:rFonts w:ascii="Arial" w:hAnsi="Arial" w:cs="Arial"/>
          <w:b/>
          <w:sz w:val="22"/>
          <w:szCs w:val="22"/>
        </w:rPr>
        <w:t xml:space="preserve">, podprogramu B. </w:t>
      </w:r>
      <w:proofErr w:type="gramStart"/>
      <w:r w:rsidRPr="00115A42">
        <w:rPr>
          <w:rFonts w:ascii="Arial" w:hAnsi="Arial" w:cs="Arial"/>
          <w:sz w:val="22"/>
          <w:szCs w:val="22"/>
        </w:rPr>
        <w:t>je</w:t>
      </w:r>
      <w:proofErr w:type="gramEnd"/>
      <w:r w:rsidRPr="00115A42">
        <w:rPr>
          <w:rFonts w:ascii="Arial" w:hAnsi="Arial" w:cs="Arial"/>
          <w:sz w:val="22"/>
          <w:szCs w:val="22"/>
        </w:rPr>
        <w:t xml:space="preserve"> koncipována jako dotace k úhradě výdajů účelně a hospodárně vynaložených na pravidelnou a dlouhodobou sportovní činnost dětí a mládeže do 20let na území města Nový Jičín či pro občany města Nový Jičín, k vytvoření zázemí – podmínek pro celoroční činnost dětí a mládeže.</w:t>
      </w:r>
      <w:r w:rsidRPr="00115A42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3F25AB" w:rsidRPr="00296394" w:rsidRDefault="003F25AB" w:rsidP="003F25AB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590.000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pětsetdevadesáttisíc</w:t>
      </w:r>
      <w:r w:rsidRPr="00296394">
        <w:rPr>
          <w:rFonts w:ascii="Arial" w:hAnsi="Arial" w:cs="Arial"/>
          <w:sz w:val="22"/>
          <w:szCs w:val="22"/>
        </w:rPr>
        <w:t>korun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Podpora sportovní činnosti družstev mládeže Sportovního volejbalového klubu Nový </w:t>
      </w:r>
      <w:proofErr w:type="gramStart"/>
      <w:r>
        <w:rPr>
          <w:rFonts w:ascii="Arial" w:hAnsi="Arial" w:cs="Arial"/>
          <w:sz w:val="22"/>
          <w:szCs w:val="22"/>
        </w:rPr>
        <w:t xml:space="preserve">Jičín,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3F25AB" w:rsidRPr="00296394" w:rsidRDefault="003F25AB" w:rsidP="003F25A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F25AB" w:rsidRPr="007C5699" w:rsidRDefault="003F25AB" w:rsidP="003F25A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C5699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7C5699">
        <w:rPr>
          <w:rFonts w:ascii="Arial" w:hAnsi="Arial" w:cs="Arial"/>
          <w:b/>
          <w:sz w:val="22"/>
          <w:szCs w:val="22"/>
        </w:rPr>
        <w:t>bezhotovostním převodem</w:t>
      </w:r>
      <w:r w:rsidRPr="007C5699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7C5699">
        <w:rPr>
          <w:rFonts w:ascii="Arial" w:hAnsi="Arial" w:cs="Arial"/>
          <w:b/>
          <w:noProof/>
          <w:sz w:val="22"/>
          <w:szCs w:val="22"/>
        </w:rPr>
        <w:t>5520737359/0800</w:t>
      </w:r>
      <w:r w:rsidRPr="007C5699">
        <w:rPr>
          <w:rFonts w:ascii="Arial" w:hAnsi="Arial" w:cs="Arial"/>
          <w:noProof/>
          <w:sz w:val="22"/>
          <w:szCs w:val="22"/>
        </w:rPr>
        <w:t xml:space="preserve"> </w:t>
      </w:r>
      <w:r w:rsidRPr="007C5699">
        <w:rPr>
          <w:rFonts w:ascii="Arial" w:hAnsi="Arial" w:cs="Arial"/>
          <w:sz w:val="22"/>
          <w:szCs w:val="22"/>
        </w:rPr>
        <w:t xml:space="preserve">vedeného u </w:t>
      </w:r>
      <w:r w:rsidRPr="007C5699">
        <w:rPr>
          <w:rFonts w:ascii="Arial" w:hAnsi="Arial" w:cs="Arial"/>
          <w:b/>
          <w:noProof/>
          <w:sz w:val="22"/>
          <w:szCs w:val="22"/>
        </w:rPr>
        <w:t>České spořitelny, a.s.</w:t>
      </w:r>
      <w:r w:rsidRPr="007C5699">
        <w:rPr>
          <w:rFonts w:ascii="Arial" w:hAnsi="Arial" w:cs="Arial"/>
          <w:sz w:val="22"/>
          <w:szCs w:val="22"/>
        </w:rPr>
        <w:t xml:space="preserve">, pod variabilním symbolem </w:t>
      </w:r>
      <w:r w:rsidRPr="007C5699">
        <w:rPr>
          <w:rFonts w:ascii="Arial" w:hAnsi="Arial" w:cs="Arial"/>
          <w:b/>
          <w:bCs/>
          <w:noProof/>
          <w:sz w:val="22"/>
          <w:szCs w:val="22"/>
        </w:rPr>
        <w:t>07512295</w:t>
      </w:r>
      <w:r w:rsidRPr="007C5699">
        <w:rPr>
          <w:rFonts w:ascii="Arial" w:hAnsi="Arial" w:cs="Arial"/>
          <w:b/>
          <w:sz w:val="22"/>
          <w:szCs w:val="22"/>
        </w:rPr>
        <w:t xml:space="preserve"> </w:t>
      </w:r>
      <w:r w:rsidRPr="007C5699">
        <w:rPr>
          <w:rFonts w:ascii="Arial" w:hAnsi="Arial" w:cs="Arial"/>
          <w:sz w:val="22"/>
          <w:szCs w:val="22"/>
        </w:rPr>
        <w:t xml:space="preserve">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  </w:t>
      </w:r>
    </w:p>
    <w:p w:rsidR="003F25AB" w:rsidRDefault="003F25AB" w:rsidP="003F25AB">
      <w:pPr>
        <w:ind w:left="284"/>
        <w:jc w:val="both"/>
        <w:rPr>
          <w:sz w:val="24"/>
          <w:szCs w:val="24"/>
        </w:rPr>
      </w:pPr>
    </w:p>
    <w:p w:rsidR="003F25AB" w:rsidRPr="007C5699" w:rsidRDefault="003F25AB" w:rsidP="003F25A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C5699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7C5699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7C5699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06546E" w:rsidRPr="00296394" w:rsidRDefault="0006546E" w:rsidP="00F74FA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3C1DED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lastRenderedPageBreak/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31.1.2024</w:t>
      </w:r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3F25AB" w:rsidRPr="007C5699">
        <w:rPr>
          <w:rFonts w:ascii="Arial" w:hAnsi="Arial" w:cs="Arial"/>
          <w:b/>
          <w:bCs/>
          <w:noProof/>
          <w:sz w:val="22"/>
          <w:szCs w:val="22"/>
        </w:rPr>
        <w:t>07512295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877800" w:rsidRPr="004F7E2D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877800" w:rsidRPr="00296394" w:rsidRDefault="00877800" w:rsidP="008778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7800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877800" w:rsidRDefault="00877800" w:rsidP="00877800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877800" w:rsidRPr="00E011A8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877800" w:rsidRPr="00296394" w:rsidRDefault="00877800" w:rsidP="00877800">
      <w:pPr>
        <w:pStyle w:val="Odstavecseseznamem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3E7A9E">
        <w:rPr>
          <w:rFonts w:ascii="Arial" w:hAnsi="Arial" w:cs="Arial"/>
          <w:sz w:val="22"/>
          <w:szCs w:val="22"/>
        </w:rPr>
        <w:t>29.5.2023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3E7A9E">
        <w:rPr>
          <w:rFonts w:ascii="Arial" w:hAnsi="Arial" w:cs="Arial"/>
          <w:sz w:val="22"/>
          <w:szCs w:val="22"/>
        </w:rPr>
        <w:t>5.6.2023</w:t>
      </w:r>
      <w:bookmarkStart w:id="0" w:name="_GoBack"/>
      <w:bookmarkEnd w:id="0"/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4A46F0" w:rsidRPr="00A73978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E7" w:rsidRDefault="00C533E7" w:rsidP="004A46F0">
      <w:r>
        <w:separator/>
      </w:r>
    </w:p>
  </w:endnote>
  <w:endnote w:type="continuationSeparator" w:id="0">
    <w:p w:rsidR="00C533E7" w:rsidRDefault="00C533E7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3E7A9E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3E7A9E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E7" w:rsidRDefault="00C533E7" w:rsidP="004A46F0">
      <w:r>
        <w:separator/>
      </w:r>
    </w:p>
  </w:footnote>
  <w:footnote w:type="continuationSeparator" w:id="0">
    <w:p w:rsidR="00C533E7" w:rsidRDefault="00C533E7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56CF1"/>
    <w:rsid w:val="0006546E"/>
    <w:rsid w:val="000C0684"/>
    <w:rsid w:val="00167E67"/>
    <w:rsid w:val="001B1439"/>
    <w:rsid w:val="001B2A0C"/>
    <w:rsid w:val="001C4650"/>
    <w:rsid w:val="00226DBA"/>
    <w:rsid w:val="002547A5"/>
    <w:rsid w:val="00280F4C"/>
    <w:rsid w:val="002A67E1"/>
    <w:rsid w:val="002B174E"/>
    <w:rsid w:val="003016CC"/>
    <w:rsid w:val="003179FC"/>
    <w:rsid w:val="00365B79"/>
    <w:rsid w:val="00387D5D"/>
    <w:rsid w:val="0039407A"/>
    <w:rsid w:val="003A7858"/>
    <w:rsid w:val="003C1DED"/>
    <w:rsid w:val="003D6753"/>
    <w:rsid w:val="003E2FB0"/>
    <w:rsid w:val="003E7A9E"/>
    <w:rsid w:val="003F1027"/>
    <w:rsid w:val="003F25AB"/>
    <w:rsid w:val="00401EBD"/>
    <w:rsid w:val="004344E9"/>
    <w:rsid w:val="00437F28"/>
    <w:rsid w:val="00441E9A"/>
    <w:rsid w:val="004A137E"/>
    <w:rsid w:val="004A46F0"/>
    <w:rsid w:val="004B0BAA"/>
    <w:rsid w:val="004D6F3D"/>
    <w:rsid w:val="004E18AC"/>
    <w:rsid w:val="004F132B"/>
    <w:rsid w:val="00555F0F"/>
    <w:rsid w:val="005835CA"/>
    <w:rsid w:val="00593714"/>
    <w:rsid w:val="005B325D"/>
    <w:rsid w:val="005E02C6"/>
    <w:rsid w:val="005F580C"/>
    <w:rsid w:val="006064A4"/>
    <w:rsid w:val="006161B2"/>
    <w:rsid w:val="00633DF4"/>
    <w:rsid w:val="00642C85"/>
    <w:rsid w:val="00657F01"/>
    <w:rsid w:val="00683C0C"/>
    <w:rsid w:val="006A2A54"/>
    <w:rsid w:val="006F58E0"/>
    <w:rsid w:val="00706895"/>
    <w:rsid w:val="00717036"/>
    <w:rsid w:val="00725FC3"/>
    <w:rsid w:val="007E5265"/>
    <w:rsid w:val="00846956"/>
    <w:rsid w:val="0086505E"/>
    <w:rsid w:val="00877800"/>
    <w:rsid w:val="008A7F16"/>
    <w:rsid w:val="008C3315"/>
    <w:rsid w:val="00904C6B"/>
    <w:rsid w:val="009222DD"/>
    <w:rsid w:val="0095595E"/>
    <w:rsid w:val="00A0262F"/>
    <w:rsid w:val="00A21A55"/>
    <w:rsid w:val="00A27320"/>
    <w:rsid w:val="00A73978"/>
    <w:rsid w:val="00A920FD"/>
    <w:rsid w:val="00AC2F05"/>
    <w:rsid w:val="00AD68DC"/>
    <w:rsid w:val="00B831F1"/>
    <w:rsid w:val="00BA381C"/>
    <w:rsid w:val="00BA46AF"/>
    <w:rsid w:val="00BB3890"/>
    <w:rsid w:val="00BE524D"/>
    <w:rsid w:val="00C00DE8"/>
    <w:rsid w:val="00C533E7"/>
    <w:rsid w:val="00C82402"/>
    <w:rsid w:val="00CC4BDC"/>
    <w:rsid w:val="00CD4115"/>
    <w:rsid w:val="00CD6330"/>
    <w:rsid w:val="00D31FDC"/>
    <w:rsid w:val="00DD064E"/>
    <w:rsid w:val="00E025C9"/>
    <w:rsid w:val="00E55D34"/>
    <w:rsid w:val="00E67AB3"/>
    <w:rsid w:val="00F74FAD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20F7-AB09-469E-A0AC-490D7A59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1</TotalTime>
  <Pages>7</Pages>
  <Words>2843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2022-05-04T14:17:00Z</cp:lastPrinted>
  <dcterms:created xsi:type="dcterms:W3CDTF">2023-06-05T14:18:00Z</dcterms:created>
  <dcterms:modified xsi:type="dcterms:W3CDTF">2023-06-05T14:19:00Z</dcterms:modified>
</cp:coreProperties>
</file>