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CD" w:rsidRPr="00E11ECD" w:rsidRDefault="00E11ECD" w:rsidP="00E11ECD">
      <w:pPr>
        <w:widowControl w:val="0"/>
        <w:tabs>
          <w:tab w:val="clear" w:pos="851"/>
          <w:tab w:val="left" w:pos="8928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  <w:r w:rsidRPr="00E11E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 xml:space="preserve">Smlouva o poskytnutí dotace </w:t>
      </w:r>
    </w:p>
    <w:p w:rsidR="00E11ECD" w:rsidRPr="00E11ECD" w:rsidRDefault="00E11ECD" w:rsidP="00E11ECD">
      <w:pPr>
        <w:widowControl w:val="0"/>
        <w:tabs>
          <w:tab w:val="clear" w:pos="851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color w:val="FFFFFF"/>
          <w:sz w:val="2"/>
          <w:szCs w:val="2"/>
          <w:lang w:eastAsia="cs-CZ"/>
        </w:rPr>
      </w:pPr>
      <w:r w:rsidRPr="00E11ECD">
        <w:rPr>
          <w:rFonts w:ascii="Arial" w:eastAsiaTheme="minorEastAsia" w:hAnsi="Arial" w:cs="Arial"/>
          <w:b/>
          <w:bCs/>
          <w:color w:val="FFFFFF"/>
          <w:sz w:val="2"/>
          <w:szCs w:val="2"/>
          <w:lang w:eastAsia="cs-CZ"/>
        </w:rPr>
        <w:t>29188172_Lázeňská kolonáda Luhačovice, o.p.s._KUL06-23/002</w:t>
      </w:r>
    </w:p>
    <w:p w:rsidR="00E11ECD" w:rsidRPr="00E11ECD" w:rsidRDefault="00E11ECD" w:rsidP="00E11ECD">
      <w:pPr>
        <w:widowControl w:val="0"/>
        <w:tabs>
          <w:tab w:val="clear" w:pos="851"/>
          <w:tab w:val="left" w:pos="8928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>č. D/3225/2023/KUL</w:t>
      </w:r>
    </w:p>
    <w:p w:rsidR="00E11ECD" w:rsidRPr="00E11ECD" w:rsidRDefault="00E11ECD" w:rsidP="00E11EC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(uzavřená dle § 159 a násl. zákona č. 500/2004 Sb., správní řád, ve znění pozdějších předpisů)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mezi: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E11ECD" w:rsidRPr="00E11ECD" w:rsidTr="00863C7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Zlínský kraj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se sídlem ve Zlíně, tř. T. Bati 21, PSČ 761 90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zastupuje: Ing. Mgr. Zuzana Fišerová, Ph.D., členka Rady Zlínského kraje, na základě pověření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 70891320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Česká spořitelna, a.s. Zlín, č. ú.: 1827552/0800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E11E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</w:tc>
      </w:tr>
    </w:tbl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7484"/>
      </w:tblGrid>
      <w:tr w:rsidR="00E11ECD" w:rsidRPr="00E11ECD" w:rsidTr="00863C7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E11E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 xml:space="preserve">Lázeňská kolonáda Luhačovice, o.p.s. 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sídlo: Lázeňské náměstí 436, 76326 Luhačovice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typ příjemce: PRÁVNICKÁ OSOBA - Obecně prospěšná společnost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 29188172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Komerční banka, a.s., č. ú. 43-6251560237/0100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zapsaný: Krajský soud v Brně, oddíl O, vložka 390 / 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zastoupen: Radek Skovajsa, ředitel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E11E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příjemce</w:t>
            </w: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  <w:p w:rsidR="00E11ECD" w:rsidRPr="00E11ECD" w:rsidRDefault="00E11ECD" w:rsidP="00E11EC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</w:tbl>
    <w:p w:rsidR="00F77633" w:rsidRDefault="00F77633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</w:p>
    <w:p w:rsidR="00F77633" w:rsidRDefault="00F77633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1.  Předmět smlouvy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Poskytovatel se zavazuje poskytnout příjemci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neinvestiční dotaci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z Fondu Zlínského kraje (dále jen „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dotace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“) do výše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200</w:t>
      </w:r>
      <w:r w:rsidR="00F77633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 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000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 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Kč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, (slovy: dvěstatisíckorunčeských), současně však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maximálně</w:t>
      </w:r>
      <w:r w:rsidR="00F77633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14,26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 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% celkových způsobilých výdajů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akce na realizaci akce: 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Festival Janáček a</w:t>
      </w:r>
      <w:r w:rsidR="00F77633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 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Luhačovice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(dále jen „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projekt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“), evidovaného pod registračním číslem žádosti o poskytnutí dotace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KUL06-23/002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, který je blíže popsán v žádosti o poskytnutí dotace, a který se bude konat ve dnech </w:t>
      </w:r>
      <w:r w:rsidRPr="00E11ECD">
        <w:rPr>
          <w:rFonts w:ascii="Arial" w:eastAsiaTheme="minorEastAsia" w:hAnsi="Arial" w:cs="Arial"/>
          <w:spacing w:val="-4"/>
          <w:sz w:val="20"/>
          <w:szCs w:val="20"/>
          <w:lang w:eastAsia="cs-CZ"/>
        </w:rPr>
        <w:t>11.07.2023 - 16.07.2023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Dotace je poskytována na základě Programu na podporu kulturních aktivit a akcí nadregionálního významu, schváleného Radou Zlínského kraje dne 16. 1. 2023 usnesením č. 0018/R02/23 (dále jen „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program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“).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se zavazuje zrealizovat projekt tak, jak je popsán v žádosti o poskytnutí dotace a v souladu se všemi podmínkami vyhlášeného programu.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2.  Doba realizace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2.1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Doba realizace začíná dnem 1. 1. 2023.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2.2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Doba realizace končí dnem 31. 1. 2024.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2.3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Způsobilé výdaje musí příjemci vzniknout v době realizace a musí jím být uhrazeny způsobem specifikovaným v odst. 5.2. 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3.  Monitorovací indikátory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3.1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9"/>
        <w:gridCol w:w="2141"/>
        <w:gridCol w:w="2707"/>
      </w:tblGrid>
      <w:tr w:rsidR="00E11ECD" w:rsidRPr="00E11ECD" w:rsidTr="00F77633">
        <w:trPr>
          <w:trHeight w:val="456"/>
        </w:trPr>
        <w:tc>
          <w:tcPr>
            <w:tcW w:w="8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1ECD" w:rsidRPr="00E11ECD" w:rsidRDefault="00E11ECD" w:rsidP="00E11ECD">
            <w:pPr>
              <w:widowControl w:val="0"/>
              <w:tabs>
                <w:tab w:val="clear" w:pos="851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</w:pPr>
            <w:r w:rsidRPr="00E11ECD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MONITOROVACÍ INDIKÁTORY - VÝSTUPY PROJEKTU</w:t>
            </w:r>
          </w:p>
        </w:tc>
      </w:tr>
      <w:tr w:rsidR="00E11ECD" w:rsidRPr="00E11ECD" w:rsidTr="00F77633">
        <w:trPr>
          <w:trHeight w:val="220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1ECD" w:rsidRPr="00E11ECD" w:rsidRDefault="00E11ECD" w:rsidP="00E11ECD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1ECD" w:rsidRPr="00E11ECD" w:rsidRDefault="00E11ECD" w:rsidP="00E11ECD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11ECD" w:rsidRPr="00E11ECD" w:rsidRDefault="00E11ECD" w:rsidP="00E11ECD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minimální závazná hodnota</w:t>
            </w:r>
          </w:p>
        </w:tc>
      </w:tr>
      <w:tr w:rsidR="00E11ECD" w:rsidRPr="00E11ECD" w:rsidTr="00F77633">
        <w:trPr>
          <w:trHeight w:val="236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CD" w:rsidRPr="00E11ECD" w:rsidRDefault="00E11ECD" w:rsidP="00E11ECD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koncert -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CD" w:rsidRPr="00E11ECD" w:rsidRDefault="00E11ECD" w:rsidP="00E11ECD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ECD" w:rsidRPr="00E11ECD" w:rsidRDefault="00E11ECD" w:rsidP="00E11ECD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E11E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</w:tbl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4.  Financování projektu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4.1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Dotace bude příjemci poskytnuta na účet uvedený v záhlaví této smlouvy následujícím způsobem: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 30 pracovních dnů po schválení Závěrečné zprávy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s vyúčtováním dotace předložené příjemcem dle čl. 4.4.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4.2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Předpokládané celkové způsobilé výdaje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projektu činí </w:t>
      </w:r>
      <w:r w:rsidR="00F77633">
        <w:rPr>
          <w:rFonts w:ascii="Arial" w:eastAsiaTheme="minorEastAsia" w:hAnsi="Arial" w:cs="Arial"/>
          <w:b/>
          <w:bCs/>
          <w:spacing w:val="-1"/>
          <w:sz w:val="20"/>
          <w:szCs w:val="20"/>
          <w:lang w:eastAsia="cs-CZ"/>
        </w:rPr>
        <w:t>1 403 000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 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Kč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.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4.3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4.4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Po ukončení doby realizace dle odst. 2.2 je příjemce povinen předložit Odboru kultury a památkové péče Krajského úřadu Zlínského kraje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závěrečnou zprávu, a to nejpozději do 15. 2. 2024.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4.5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Závěrečnou zprávou se rozumí předložení </w:t>
      </w:r>
      <w:r w:rsidRPr="00E11ECD">
        <w:rPr>
          <w:rFonts w:ascii="Arial" w:eastAsiaTheme="minorEastAsia" w:hAnsi="Arial" w:cs="Arial"/>
          <w:sz w:val="20"/>
          <w:szCs w:val="20"/>
          <w:u w:val="single"/>
          <w:lang w:eastAsia="cs-CZ"/>
        </w:rPr>
        <w:t>formuláře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s vyplněnou tabulkou </w:t>
      </w:r>
      <w:r w:rsidRPr="00E11ECD">
        <w:rPr>
          <w:rFonts w:ascii="Arial" w:eastAsiaTheme="minorEastAsia" w:hAnsi="Arial" w:cs="Arial"/>
          <w:sz w:val="20"/>
          <w:szCs w:val="20"/>
          <w:u w:val="single"/>
          <w:lang w:eastAsia="cs-CZ"/>
        </w:rPr>
        <w:t>s výčtem všech celkových způsobilých výdajů projektu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, a předložení všech potřebných dokladů uvedených ve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formuláři závěrečné zprávy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Pr="00E11ECD">
        <w:rPr>
          <w:rFonts w:ascii="Arial" w:eastAsiaTheme="minorEastAsia" w:hAnsi="Arial" w:cs="Arial"/>
          <w:sz w:val="20"/>
          <w:szCs w:val="20"/>
          <w:u w:val="single"/>
          <w:lang w:eastAsia="cs-CZ"/>
        </w:rPr>
        <w:t>ve výši dotace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a </w:t>
      </w:r>
      <w:r w:rsidRPr="00E11ECD">
        <w:rPr>
          <w:rFonts w:ascii="Arial" w:eastAsiaTheme="minorEastAsia" w:hAnsi="Arial" w:cs="Arial"/>
          <w:sz w:val="20"/>
          <w:szCs w:val="20"/>
          <w:u w:val="single"/>
          <w:lang w:eastAsia="cs-CZ"/>
        </w:rPr>
        <w:t>dokladů prokazujících jejich úhradu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(tj. výpisy z bankovního účtu, výdajové a příjmové pokladní doklady), také předložení </w:t>
      </w:r>
      <w:r w:rsidRPr="00E11ECD">
        <w:rPr>
          <w:rFonts w:ascii="Arial" w:eastAsiaTheme="minorEastAsia" w:hAnsi="Arial" w:cs="Arial"/>
          <w:sz w:val="20"/>
          <w:szCs w:val="20"/>
          <w:u w:val="single"/>
          <w:lang w:eastAsia="cs-CZ"/>
        </w:rPr>
        <w:t>dokladů o naplnění monitorovacích indikátorů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a rovněž </w:t>
      </w:r>
      <w:r w:rsidRPr="00E11ECD">
        <w:rPr>
          <w:rFonts w:ascii="Arial" w:eastAsiaTheme="minorEastAsia" w:hAnsi="Arial" w:cs="Arial"/>
          <w:sz w:val="20"/>
          <w:szCs w:val="20"/>
          <w:u w:val="single"/>
          <w:lang w:eastAsia="cs-CZ"/>
        </w:rPr>
        <w:t>dokladů o splnění prezentace poskytovatele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dle čl. 6.5. Doložení všech uvedených dokladů se považuje za nedílnou součást vyúčtování.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Formulář závěrečné zprávy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bude příjemci zaslán kontaktní osobou poskytovatele nejpozději do 60 kalendářních dnů po podpisu smluv ze strany poskytovatele dotace na e-mail uvedený v Žádosti o poskytnutí dotace.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4.6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případě, že poskytovatel neshledá v předložené Závěrečné zprávě nedostatky či nesrovnalosti, schválí ji do 30 pracovních dnů ode dne jejího předložení. Budou-li shledány nedostatky či nesrovnalosti, bude příjemce v této lhůtě poskytovatelem vyzván k jejich odstranění, a to do 20 pracovních dnů ode dne doručení výzvy. V případě, že příjemce v této lhůtě nedostatky či nesrovnalosti neodstraní, bude opětovně poskytovatelem vyzván k jejich odstranění v náhradní lhůtě, tj. do 20 pracovních dnů ode dne doručení výzvy příjemci.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5.  Podmínky použití dotace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je oprávněn použít dotaci pouze k účelu uvedenému v čl. 1.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Způsobilými výdaji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jsou proplacená plnění, jež souvisejí s účelem, na který je dotace poskytnuta, a vyhovují zásadám účelnosti, efektivnosti a hospodárnosti podle zákona č. 320/2001 Sb., o finanční kontrole, ve znění pozdějších předpisů. Způsobilé výdaje musí příjemci vzniknout v době realizace a být jím v této době i uhrazeny.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Nezpůsobilými výdaji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jsou zejména: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dlužný úrok, pokuty a finanční sankce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výdaje na publicitu Zlínského kraje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účetně nedoložitelné výdaje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mzdy a platy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výdaje na zaměstnance, ke kterým nejsou zaměstnavatelé povinni dle zvláštních právních předpisů (příspěvky na penzijní/životní pojištění, příspěvky na rekreaci, stravenky apod.)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lastRenderedPageBreak/>
        <w:t xml:space="preserve">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E11ECD">
        <w:rPr>
          <w:rFonts w:ascii="Arial" w:eastAsiaTheme="minorEastAsia" w:hAnsi="Arial" w:cs="Arial"/>
          <w:sz w:val="18"/>
          <w:szCs w:val="18"/>
          <w:lang w:eastAsia="cs-CZ"/>
        </w:rPr>
        <w:t> 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výdaje na pořádání teambuildingů, výjezdních zasedání apod.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výdaje na školení, kurzy a pořádání workshopů, které nesouvisí s účelem, na který je dotace poskytována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výdaje na přípravné studie nebo jiné přípravné činnosti včetně zpracování Žádosti o poskytnutí dotace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pořízení nebo technické zhodnocení dlouhodobého hmotného a nehmotného majetku (dlouhodobým hmotným majetkem se rozumí majetek, jehož doba použitelnosti je delší než jeden rok a jehož ocenění převyšuje částku 40 000 Kč; dlouhodobým nehmotným majetkem se rozumí majetek, jehož doba použitelnosti je delší než jeden rok a jehož ocenění převyšuje částku 60 000 Kč)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pořízení věcí (majetek, materiál atd.), jejichž doba použitelnosti je delší než 1 rok (drobný dlouhodobý hmotný a nehmotný majetek)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Calibri" w:eastAsiaTheme="minorEastAsia" w:hAnsi="Calibri" w:cs="Calibri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oprava majetku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Calibri" w:eastAsiaTheme="minorEastAsia" w:hAnsi="Calibri" w:cs="Calibri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výdaje na streamování, videopřenosy a jiné zprostředkované způsoby přenosů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Calibri" w:eastAsiaTheme="minorEastAsia" w:hAnsi="Calibri" w:cs="Calibri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pořízení CD, DVD aj. záznamu a fotodokumentace z projektu/akce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Calibri" w:eastAsiaTheme="minorEastAsia" w:hAnsi="Calibri" w:cs="Calibri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pronájem dětských aj. zábavných atrakcí (např. skákací hrady atd.)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výdaje na pohoštění, občerstvení a stravování, pitný režim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upomínkové a dárkové předměty (květiny, poháry, trofeje atd.), ceny pro účastníky projektu/akce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nákup pyrotechniky a pyrotechnických služeb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nákup a opravy hudebních nástrojů, krojů, triček a jiných oděvů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pronájem hygienického zařízení (TOI, TOI)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vedení a zpracování účetnictví projektu, administrativní práce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1512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-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výdaje na úhradu provozních výdajů: 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2160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></w:t>
      </w: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ab/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nájemné prostor, kanceláří, ve kterých je provozována administrativní činnost organizace,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2160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></w:t>
      </w: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ab/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telefonní účty, internet, bankovní poplatky, kurzové ztráty,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2160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></w:t>
      </w: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ab/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nákup poštovních známek, obálek, poštovné,</w:t>
      </w:r>
    </w:p>
    <w:p w:rsidR="00E11ECD" w:rsidRPr="00E11ECD" w:rsidRDefault="00E11ECD" w:rsidP="00E11ECD">
      <w:pPr>
        <w:shd w:val="clear" w:color="auto" w:fill="FFFFFF"/>
        <w:tabs>
          <w:tab w:val="clear" w:pos="851"/>
        </w:tabs>
        <w:autoSpaceDE w:val="0"/>
        <w:autoSpaceDN w:val="0"/>
        <w:adjustRightInd w:val="0"/>
        <w:spacing w:line="240" w:lineRule="auto"/>
        <w:ind w:left="2160" w:hanging="357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></w:t>
      </w:r>
      <w:r w:rsidRPr="00E11ECD">
        <w:rPr>
          <w:rFonts w:ascii="Wingdings" w:eastAsiaTheme="minorEastAsia" w:hAnsi="Wingdings" w:cs="Wingdings"/>
          <w:sz w:val="20"/>
          <w:szCs w:val="20"/>
          <w:lang w:eastAsia="cs-CZ"/>
        </w:rPr>
        <w:tab/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kancelářský materiál.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5.4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Dotace ZK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“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5.5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Ustanovení o dani z přidané hodnoty (dále jen „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DPH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“) dle zákona č. 235/2004 Sb., o dani z přidané hodnoty, ve znění pozdějších předpisů (dále jen „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zákon o DPH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“):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5.5.a)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DPH je pro příjemce způsobilým výdajem, pokud příjemce není plátcem DPH nebo příjemci nevzniká nárok na odpočet DPH;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5.5.b)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případě, že výdaje projektu jsou způsobilými výdaji pouze z části, pak je DPH způsobilým výdajem ze stejné části;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5.5.c)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pokud má příjemce nárok na odpočet v poměrné části nebo dle koeficientu, bude způsobilým výdajem část oprávněně neuplatněné DPH;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5.5.d)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5.5.e)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lastRenderedPageBreak/>
        <w:t>5.5.f)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jestliže se příjemce stane plátcem DPH v průběhu doby realizace, je povinen tuto skutečnost nejpozději se závěrečnou zprávou oznámit poskytovateli;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5.5.g)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5.6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 134/2016 Sb. nepodléhá, je příjemce povinen poskytnout na výzvu poskytovatele relevantní informace o způsobu zadání zakázky a výběru nejvhodnější nabídky.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5.7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line="276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5.8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je dále povinen: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5.8.a)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zajistit, aby všechny údaje, které uvádí poskytovateli, byly vždy úplné a pravdivé,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5.8.b)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zabezpečit archivaci veškeré dokumentace k projektu včetně účetnictví o projektu po dobu 10 let ode dne ukončení doby realizace dle čl. 2.2,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5.8.c)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dohodnout s dodavateli v rámci projektu fakturační podmínky tak, aby byla doložena účelovost faktur včetně specifikace jednotlivých výdajů,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5.9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Příjemce bere na vědomí, že dotace poskytnutá dle této smlouvy je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podporou de minimis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ve smyslu Nařízení Komise (EU) č. 1407/2013 ze dne 18. 12. 2013, o použití článků 107 a 108 Smlouvy o fungování Evropské unie na podporu de minimis (zveřejněno v Úředním věstníku L 352/1 dne 24. 12. 2013). V souvislosti s podporou de minimis se příjemce zavazuje, že v případě, že v období tří účetních let od nabytí účinnosti této smlouvy dojde k jeho rozdělení na dva či více samostatné podniky, respektive v případě jeho sloučení s jiným podnikem nebo převodu jmění podniku na společníka, je povinen do 15 dnů písemně informovat poskytovatele o této skutečnosti a poskytnout mu informace nezbytné pro úpravu záznamu podpory de minimis poskytnuté dle této smlouvy v centrálním registru podpor malého rozsahu. 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6.  Povinnosti příjemce při zajišťování publicity poskytovatele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Přijetím finančních prostředků z rozpočtu Zlínského kraje dává příjemce souhlas se zveřejněním údajů o aktivitě financované z rozpočtu Zlínského kraje.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Přijetím finančních prostředků z rozpočtu Zlínského kraje získává příjemce souhlas s užitím loga Zlínského kraje, které je k dispozici na adrese </w:t>
      </w:r>
      <w:hyperlink r:id="rId7" w:history="1">
        <w:r w:rsidRPr="00E11ECD">
          <w:rPr>
            <w:rFonts w:ascii="Arial" w:eastAsiaTheme="minorEastAsia" w:hAnsi="Arial" w:cs="Arial"/>
            <w:sz w:val="20"/>
            <w:szCs w:val="20"/>
            <w:lang w:eastAsia="cs-CZ"/>
          </w:rPr>
          <w:t>https://www.kr-zlinsky.cz/logo-zlinskeho-kraje-ke-stazeni-cl-3386.html</w:t>
        </w:r>
      </w:hyperlink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. Logo bude umístěno na všech dokumentech souvisejících s realizací projektu, které budou propagovat aktivitu financovanou z rozpočtu Zlínského kraje.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6.4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je povinen opatřit veškeré dokumenty související s realizací projektu (tiskové zprávy, plakáty, letáky, brožury, webové stránky, prezentace apod.) logem Zlínského kraje a/nebo formulací: „Název akce“ je financována/spolufinancována Zlínským krajem.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je dále povinen prezentovat poskytovatele s využitím alespoň 1 prostředku komunikace, který doloží v Závěrečné zprávě: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billboard (doloží se fotografií a informací o období vyvěšení),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informační tabule (nástěnky, apod.), (doloží se kopií informace, která byla uveřejněna s uvedením doby uveřejnění),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6.5.c)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obecní zpravodaj (doloží se originálem nebo kopií příslušného článku a informací, kdy byl publikován),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6.5.d)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pamětní deska (doloží se fotografií a informací o datu umístění této desky),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lastRenderedPageBreak/>
        <w:t>6.5.e)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periodikum vydávané ve smyslu zákona č. 46/2000 Sb., tiskový zákon, ve znění pozdějších předpisů (doloží se originálem nebo kopií příslušného článku a informací, kdy byl publikován),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6.5.f)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propagační materiály nebo předměty (doloží se předložením propagačního materiálu nebo předmětu),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6.5.g)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regionální tisk (doloží se originálem či kopií příslušného článku a informací, kdy byl publikován),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6.5.h)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rozhlas – obecní či regionální/celoplošné vysílání (doloží se přepisem hlášeného textu a informací o datu, kdy byla informace hlášena),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6.5.i)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televizní informační kanál (doloží se písemnou informací o datu a čase, kdy byla informace v médiu uvedena a text této informace),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6.5.j)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úřední deska (doloží se kopií informace, která byla uveřejněna, s uvedením doby uveřejnění),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6.5.k)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výroční zpráva (doloží se originálem nebo kopií této zprávy či její části obsahující prezentaci poskytovatele),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6.5.l)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webové stránky (doloží se odkazem na příslušné stránky s uvedením, kdy byla informace uveřejněna).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7.  Sankce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případě porušení rozpočtové kázně ze strany příjemce bude poskytovatel postupovat v souladu s § 22 zákona č. 250/2000 Sb., o rozpočtových pravidlech územních rozpočtů, ve znění pozdějších předpisů (dále jen „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zákon o rozpočtových pravidlech územních rozpočtů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“).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Za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porušení rozpočtové kázně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dle § 22 zákona o rozpočtových pravidlech územních rozpočtů, za který bude příjemci uložen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odvod ve výši poskytnuté dotace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, se považuje zejména pokud: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7.2.a)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nedodrží účel dotace,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7.2.b)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vůbec nedoloží úhrady výdajů,</w:t>
      </w:r>
    </w:p>
    <w:p w:rsidR="00E11ECD" w:rsidRPr="00E11ECD" w:rsidRDefault="00F77633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7.2.c)</w:t>
      </w:r>
      <w:r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="00E11ECD" w:rsidRPr="00E11ECD">
        <w:rPr>
          <w:rFonts w:ascii="Arial" w:eastAsiaTheme="minorEastAsia" w:hAnsi="Arial" w:cs="Arial"/>
          <w:sz w:val="20"/>
          <w:szCs w:val="20"/>
          <w:lang w:eastAsia="cs-CZ"/>
        </w:rPr>
        <w:t>dojde k nenaplnění monitorovacího indikátoru dle čl. 3.1</w:t>
      </w:r>
      <w:r>
        <w:rPr>
          <w:rFonts w:ascii="Arial" w:eastAsiaTheme="minorEastAsia" w:hAnsi="Arial" w:cs="Arial"/>
          <w:sz w:val="20"/>
          <w:szCs w:val="20"/>
          <w:lang w:eastAsia="cs-CZ"/>
        </w:rPr>
        <w:t>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7.2.d)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nepředloží Závěrečnou zprávu ani ve lhůtě 30 pracovních dní po uplynutí lhůty dle čl. 4.4,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7.2.e)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poruší povinnost dle čl. 5.7 nebo 5.8,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7.2.f)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 příjemce poruší pravidla veřejné podpory dle čl. 5.9.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Za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porušení rozpočtové kázně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dle § 22 zákona o rozpočtových pravidlech územních rozpočtů, za který bude příjemci uložen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odvod ve výši neoprávněně použitých nebo zadržených peněžních prostředků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, se považuje zejména pokud: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7.3.a)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neodstraní nedostatky v předložené závěrečné zprávě ani v náhradní lhůtě dle čl. 4.6, výše odvodu se v tomto případě rovná výši neoprávněně použitých nebo zadržených peněžních prostředků,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7.3.b)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příjemce v rozporu s čl. 5.2 uhradí výdaje později než ve lhůtě stanovené pro předložení závěrečné zprávy. Za toto porušení bude příjemci uložen odvod ve výši takto opožděně uhrazené částky způsobilých výdajů. 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7.4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O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méně závažné porušení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rozpočtové kázně dle § 22 zákona o rozpočtových pravidlech územních rozpočtů, za které bude příjemci uložen snížený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odvod ve výši 5 %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z poskytnuté dotace, se jedná v případě, kdy: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7.4.a)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předloží Závěrečnou zprávu ve lhůtě do 30 pracovních dní po uplynutí lhůty dle čl. 4.4,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7.4.b)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poruší povinnosti dle čl. 6.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7.5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O </w:t>
      </w: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méně závažné porušení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 rozpočtové kázně dle § 22 zákona o rozpočtových pravidlech územních rozpočtů, se dále jedná v případě, kdy: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7.5.a)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5% ze schválené dotace,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7.5.b)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příjemce v rozporu s čl. 5.2 uhradí výdaje po uplynutí lhůty pro úhradu výdajů dle čl. 5.2, ale ne později než do lhůty pro předložení závěrečné zprávy dle čl. 4.4. Příjemci bude 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lastRenderedPageBreak/>
        <w:t xml:space="preserve">uložen snížený odvod ve výši 10 % z takto opožděně uhrazené částky způsobilých výdajů.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7.6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8.  Změny podmínek smlouvy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může změnit projekt bez předchozího souhlasu poskytovatele za předpokladu, že změny nejsou podstatného charakteru, a za podmínky zachování smyslu a účelu projektu. Nepodstatné změny projektu je příjemce povinen písemně oznámit poskytovateli bez zbytečného odkladu, nejpozději v Závěrečné zprávě. Nepodstatnými změnami jsou: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8.1.a)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</w:t>
      </w:r>
      <w:r w:rsidR="00F77633">
        <w:rPr>
          <w:rFonts w:ascii="Arial" w:eastAsiaTheme="minorEastAsia" w:hAnsi="Arial" w:cs="Arial"/>
          <w:sz w:val="20"/>
          <w:szCs w:val="20"/>
          <w:lang w:eastAsia="cs-CZ"/>
        </w:rPr>
        <w:t>měna adresy nebo sídla příjemce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 xml:space="preserve">, 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8.1.b)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změna statutárního orgánu nebo kontaktní osoby,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8.1.c)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změna názvu příjemce,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8.1.d)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změna názvu akce při zachování účelu a všech ostatních parametrů akce,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8.1.e)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změna zdrojů nebo výše podílů těchto zdrojů na financování projektu (s výjimkou dotace od Zlínského kraje),</w:t>
      </w:r>
    </w:p>
    <w:p w:rsidR="00E11ECD" w:rsidRPr="00E11ECD" w:rsidRDefault="00F77633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8.1.f</w:t>
      </w:r>
      <w:r w:rsidR="00E11ECD" w:rsidRPr="00E11ECD">
        <w:rPr>
          <w:rFonts w:ascii="Arial" w:eastAsiaTheme="minorEastAsia" w:hAnsi="Arial" w:cs="Arial"/>
          <w:sz w:val="20"/>
          <w:szCs w:val="20"/>
          <w:lang w:eastAsia="cs-CZ"/>
        </w:rPr>
        <w:t>)</w:t>
      </w:r>
      <w:r w:rsidR="00E11ECD"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změna harmonogramu doby realizace, akce nebo aktivity (změnou harmonogramu nesmí dojít k překročení nejzazšího data doby realizace, akce nebo aktivity stanoveného ve smlouvě a podpora nebude vyplacena před termínem ukončení doby realizace, akce nebo aktivity).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Změnu bankovního spojení oznámí příjemce poskytovateli písemně ve lhůtě do 15 dní ode dne, kdy ke změně došlo. Informace o změně účtu příjemce je pro poskytovatele závazná ode dne, kdy byla poskytovateli doručena.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8.3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9.  Ukončení smlouvy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Smlouvu lze ukončit na základě písemné dohody obou smluvních stran nebo písemnou výpovědí smlouvy, a to za podmínek dále stanovených.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Poskytovatel je oprávněn vypovědět smlouvu jak před proplacením, tak i po proplacení dotace.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Výpovědním důvodem je porušení povinností příjemcem stanovených touto smlouvou nebo obecně závaznými právními předpisy. Porušením se rozumí zejména, pokud příjemce: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9.3.a)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nedodrží účel dotace,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9.3.b)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svým jednáním poruší rozpočtovou kázeň zejména dle čl. 7.2, ve smyslu zákona o rozpočtových pravidlech územních rozpočtů,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9.3.c)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poruší pravidla veřejné podpory zejména dle čl. 5.9,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9.3.d)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se opozdí s předložením závěrečné zprávy o více než 30 pracovních dnů oproti lhůtě dle čl. 4.4,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9.3.e)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 418/2011 Sb., o trestní odpovědnosti právnických osob, ve znění pozdějších předpisů,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9.3.f)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9.3.g)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uvedl nepravdivé, neúplné nebo zkreslené údaje, na které se váže uzavření této smlouvy,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9.3.h)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je v likvidaci,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lastRenderedPageBreak/>
        <w:t>9.3.i)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změní právní formu a stane se tak nezpůsobilým příjemcem pro danou oblast podpory,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9.3.j)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9.3.k)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nenaplní monitorovací indikátor dle čl. 3.1,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304" w:hanging="73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9.3.l)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důsledku pochybení na straně příjemce došlo v průběhu akce k těžké újmě na zdraví, případně smrti účastníka této akce.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9.4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9.5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9.6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Výpověď smlouvy musí být učiněna písemně a musí v ní být uvedeny důvody jejího udělení.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9.7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9.8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9.9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9.10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9.11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9.12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:rsidR="00E11ECD" w:rsidRPr="00E11ECD" w:rsidRDefault="00E11ECD" w:rsidP="00E11ECD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E11ECD">
        <w:rPr>
          <w:rFonts w:ascii="Arial" w:eastAsiaTheme="minorEastAsia" w:hAnsi="Arial" w:cs="Arial"/>
          <w:b/>
          <w:sz w:val="24"/>
          <w:szCs w:val="24"/>
          <w:lang w:eastAsia="cs-CZ"/>
        </w:rPr>
        <w:t>10.  Závěrečná ustanovení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10.1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Jako kontaktní místo poskytovatele se pro účely této smlouvy stanovuje: Krajský úřad Zlínského kraje, odbor kultury a památkové péče, Ing. Blanka Herzanová, tel.: 577 043 611, e-mail: blanka.herzanova@kr-zlinsky.cz. 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10.2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V případě rozporu mezi skutečnostmi uvedenými v programu a ustanoveními této smlouvy, se přednostně aplikují ustanovení této smlouvy.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10.3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10.4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Tato smlouva byla uzavřena na základě svobodné vůle, nebyla uzavřena v tísni za nápadně nevýhodných podmínek.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highlight w:val="yellow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10.5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Smlouva je vyhotovena ve třech stejnopisech, z nichž každý má platnost originálu. Dvě vyhotovení obdrží poskytovatel a jedno vyhotovení obdrží příjemce. </w:t>
      </w:r>
      <w:r w:rsidRPr="00E11ECD">
        <w:rPr>
          <w:rFonts w:ascii="Arial" w:eastAsiaTheme="minorEastAsia" w:hAnsi="Arial" w:cs="Arial"/>
          <w:sz w:val="20"/>
          <w:szCs w:val="20"/>
          <w:highlight w:val="yellow"/>
          <w:lang w:eastAsia="cs-CZ"/>
        </w:rPr>
        <w:t xml:space="preserve"> </w:t>
      </w: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10.6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:rsid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10.7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Tato smlouva nabývá účinnosti dnem zveřejnění v registru smluv. </w:t>
      </w:r>
    </w:p>
    <w:p w:rsidR="00F77633" w:rsidRDefault="00F77633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E11ECD" w:rsidRPr="00E11ECD" w:rsidRDefault="00E11ECD" w:rsidP="00E11ECD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E11ECD" w:rsidRPr="00E11ECD" w:rsidRDefault="00E11ECD" w:rsidP="00E11EC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:rsidR="00E11ECD" w:rsidRPr="00E11ECD" w:rsidRDefault="00E11ECD" w:rsidP="00E11EC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Schváleno orgánem kraje: Rada Zlínského kraje</w:t>
      </w:r>
    </w:p>
    <w:p w:rsidR="00E11ECD" w:rsidRPr="00E11ECD" w:rsidRDefault="00E11ECD" w:rsidP="00E11EC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 3. 4. 2023, 0345/R08/23</w:t>
      </w:r>
    </w:p>
    <w:p w:rsidR="00E11ECD" w:rsidRPr="00E11ECD" w:rsidRDefault="00E11ECD" w:rsidP="00E11EC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E11ECD" w:rsidRPr="00E11ECD" w:rsidRDefault="00065CA2" w:rsidP="00E11ECD">
      <w:pPr>
        <w:widowControl w:val="0"/>
        <w:tabs>
          <w:tab w:val="clear" w:pos="851"/>
          <w:tab w:val="left" w:pos="4820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Zlín, dne 22. 5. 2023</w:t>
      </w:r>
      <w:r w:rsidR="00E11ECD"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Luhačovice, dne </w:t>
      </w:r>
      <w:r>
        <w:rPr>
          <w:rFonts w:ascii="Arial" w:eastAsiaTheme="minorEastAsia" w:hAnsi="Arial" w:cs="Arial"/>
          <w:sz w:val="20"/>
          <w:szCs w:val="20"/>
          <w:lang w:eastAsia="cs-CZ"/>
        </w:rPr>
        <w:t>27. 4. 2023</w:t>
      </w:r>
    </w:p>
    <w:p w:rsidR="00E11ECD" w:rsidRPr="00E11ECD" w:rsidRDefault="00E11ECD" w:rsidP="00E11ECD">
      <w:pPr>
        <w:widowControl w:val="0"/>
        <w:tabs>
          <w:tab w:val="clear" w:pos="851"/>
          <w:tab w:val="left" w:pos="4820"/>
          <w:tab w:val="left" w:pos="5812"/>
          <w:tab w:val="left" w:pos="8928"/>
        </w:tabs>
        <w:autoSpaceDE w:val="0"/>
        <w:autoSpaceDN w:val="0"/>
        <w:adjustRightInd w:val="0"/>
        <w:spacing w:before="144" w:line="240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za poskytovatele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za příjemce</w:t>
      </w:r>
    </w:p>
    <w:p w:rsidR="00E11ECD" w:rsidRPr="00E11ECD" w:rsidRDefault="00E11ECD" w:rsidP="00E11ECD">
      <w:pPr>
        <w:widowControl w:val="0"/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line="240" w:lineRule="auto"/>
        <w:ind w:left="360" w:hanging="36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E11ECD" w:rsidRPr="00E11ECD" w:rsidRDefault="00E11ECD" w:rsidP="00E11ECD">
      <w:pPr>
        <w:widowControl w:val="0"/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line="240" w:lineRule="auto"/>
        <w:ind w:left="360" w:hanging="36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E11ECD" w:rsidRPr="00E11ECD" w:rsidRDefault="00E11ECD" w:rsidP="00E11ECD">
      <w:pPr>
        <w:widowControl w:val="0"/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line="240" w:lineRule="auto"/>
        <w:ind w:left="360" w:hanging="36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E11ECD" w:rsidRPr="00E11ECD" w:rsidRDefault="00065CA2" w:rsidP="00E11ECD">
      <w:pPr>
        <w:widowControl w:val="0"/>
        <w:tabs>
          <w:tab w:val="clear" w:pos="851"/>
          <w:tab w:val="left" w:pos="4820"/>
          <w:tab w:val="left" w:pos="5670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XXXXXXX</w:t>
      </w:r>
      <w:r>
        <w:rPr>
          <w:rFonts w:ascii="Arial" w:eastAsiaTheme="minorEastAsia" w:hAnsi="Arial" w:cs="Arial"/>
          <w:sz w:val="20"/>
          <w:szCs w:val="20"/>
          <w:lang w:eastAsia="cs-CZ"/>
        </w:rPr>
        <w:tab/>
        <w:t>XXXXXXX</w:t>
      </w:r>
    </w:p>
    <w:p w:rsidR="00E11ECD" w:rsidRPr="00E11ECD" w:rsidRDefault="00E11ECD" w:rsidP="00E11ECD">
      <w:pPr>
        <w:widowControl w:val="0"/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Ing. Mgr. Zuzana Fišerová, Ph.D.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Radek Skovajsa</w:t>
      </w:r>
    </w:p>
    <w:p w:rsidR="00E11ECD" w:rsidRPr="00E11ECD" w:rsidRDefault="00E11ECD" w:rsidP="00E11ECD">
      <w:pPr>
        <w:widowControl w:val="0"/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E11ECD">
        <w:rPr>
          <w:rFonts w:ascii="Arial" w:eastAsiaTheme="minorEastAsia" w:hAnsi="Arial" w:cs="Arial"/>
          <w:sz w:val="20"/>
          <w:szCs w:val="20"/>
          <w:lang w:eastAsia="cs-CZ"/>
        </w:rPr>
        <w:t>členka Rady Zlínského kraje</w:t>
      </w:r>
      <w:r w:rsidRPr="00E11ECD">
        <w:rPr>
          <w:rFonts w:ascii="Arial" w:eastAsiaTheme="minorEastAsia" w:hAnsi="Arial" w:cs="Arial"/>
          <w:sz w:val="20"/>
          <w:szCs w:val="20"/>
          <w:lang w:eastAsia="cs-CZ"/>
        </w:rPr>
        <w:tab/>
        <w:t>ředitel</w:t>
      </w:r>
    </w:p>
    <w:p w:rsidR="00E11ECD" w:rsidRPr="00E11ECD" w:rsidRDefault="00E11ECD" w:rsidP="00E11ECD">
      <w:pPr>
        <w:widowControl w:val="0"/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3A0033" w:rsidRPr="00E11ECD" w:rsidRDefault="003A0033" w:rsidP="00E11ECD">
      <w:bookmarkStart w:id="0" w:name="_GoBack"/>
      <w:bookmarkEnd w:id="0"/>
    </w:p>
    <w:sectPr w:rsidR="003A0033" w:rsidRPr="00E11E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C5" w:rsidRDefault="00DC08C5">
      <w:pPr>
        <w:spacing w:line="240" w:lineRule="auto"/>
      </w:pPr>
      <w:r>
        <w:separator/>
      </w:r>
    </w:p>
  </w:endnote>
  <w:endnote w:type="continuationSeparator" w:id="0">
    <w:p w:rsidR="00DC08C5" w:rsidRDefault="00DC0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C1" w:rsidRPr="005F4EC1" w:rsidRDefault="00E11ECD">
    <w:pPr>
      <w:pStyle w:val="Zpat"/>
      <w:rPr>
        <w:sz w:val="16"/>
      </w:rPr>
    </w:pPr>
    <w:r w:rsidRPr="005F4EC1">
      <w:rPr>
        <w:bCs/>
        <w:sz w:val="16"/>
      </w:rPr>
      <w:fldChar w:fldCharType="begin"/>
    </w:r>
    <w:r w:rsidRPr="005F4EC1">
      <w:rPr>
        <w:bCs/>
        <w:sz w:val="16"/>
      </w:rPr>
      <w:instrText>PAGE</w:instrText>
    </w:r>
    <w:r w:rsidRPr="005F4EC1">
      <w:rPr>
        <w:bCs/>
        <w:sz w:val="16"/>
      </w:rPr>
      <w:fldChar w:fldCharType="separate"/>
    </w:r>
    <w:r w:rsidR="00065CA2">
      <w:rPr>
        <w:bCs/>
        <w:noProof/>
        <w:sz w:val="16"/>
      </w:rPr>
      <w:t>1</w:t>
    </w:r>
    <w:r w:rsidRPr="005F4EC1">
      <w:rPr>
        <w:bCs/>
        <w:sz w:val="16"/>
      </w:rPr>
      <w:fldChar w:fldCharType="end"/>
    </w:r>
    <w:r w:rsidRPr="005F4EC1">
      <w:rPr>
        <w:bCs/>
        <w:sz w:val="16"/>
      </w:rPr>
      <w:t>/</w:t>
    </w:r>
    <w:r w:rsidRPr="005F4EC1">
      <w:rPr>
        <w:bCs/>
        <w:sz w:val="16"/>
      </w:rPr>
      <w:fldChar w:fldCharType="begin"/>
    </w:r>
    <w:r w:rsidRPr="005F4EC1">
      <w:rPr>
        <w:bCs/>
        <w:sz w:val="16"/>
      </w:rPr>
      <w:instrText xml:space="preserve"> SECTIONPAGES  </w:instrText>
    </w:r>
    <w:r w:rsidRPr="005F4EC1">
      <w:rPr>
        <w:bCs/>
        <w:sz w:val="16"/>
      </w:rPr>
      <w:fldChar w:fldCharType="separate"/>
    </w:r>
    <w:r w:rsidR="00065CA2">
      <w:rPr>
        <w:bCs/>
        <w:noProof/>
        <w:sz w:val="16"/>
      </w:rPr>
      <w:t>8</w:t>
    </w:r>
    <w:r w:rsidRPr="005F4EC1"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C5" w:rsidRDefault="00DC08C5">
      <w:pPr>
        <w:spacing w:line="240" w:lineRule="auto"/>
      </w:pPr>
      <w:r>
        <w:separator/>
      </w:r>
    </w:p>
  </w:footnote>
  <w:footnote w:type="continuationSeparator" w:id="0">
    <w:p w:rsidR="00DC08C5" w:rsidRDefault="00DC0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D"/>
    <w:rsid w:val="00047DA0"/>
    <w:rsid w:val="00065CA2"/>
    <w:rsid w:val="00096677"/>
    <w:rsid w:val="0013529D"/>
    <w:rsid w:val="003A0033"/>
    <w:rsid w:val="00443EE3"/>
    <w:rsid w:val="004442A3"/>
    <w:rsid w:val="005166E5"/>
    <w:rsid w:val="00551FEB"/>
    <w:rsid w:val="006C65BA"/>
    <w:rsid w:val="00707117"/>
    <w:rsid w:val="00821BBB"/>
    <w:rsid w:val="008A3194"/>
    <w:rsid w:val="008C7B7E"/>
    <w:rsid w:val="008D62BE"/>
    <w:rsid w:val="008E47EC"/>
    <w:rsid w:val="009944F7"/>
    <w:rsid w:val="00BD0FF1"/>
    <w:rsid w:val="00DC08C5"/>
    <w:rsid w:val="00E11ECD"/>
    <w:rsid w:val="00EC7CD3"/>
    <w:rsid w:val="00F355FA"/>
    <w:rsid w:val="00F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B013"/>
  <w15:chartTrackingRefBased/>
  <w15:docId w15:val="{9A83EC1D-0B5B-4ABC-9C72-7FC6AF5E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r-zlinsky.cz/logo-zlinskeho-kraje-ke-stazeni-cl-33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3713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Herzanová Blanka</cp:lastModifiedBy>
  <cp:revision>2</cp:revision>
  <dcterms:created xsi:type="dcterms:W3CDTF">2023-06-05T12:07:00Z</dcterms:created>
  <dcterms:modified xsi:type="dcterms:W3CDTF">2023-06-05T12:07:00Z</dcterms:modified>
</cp:coreProperties>
</file>