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A4" w:rsidRDefault="00AB4083">
      <w:pPr>
        <w:pStyle w:val="Nzev"/>
        <w:spacing w:after="120"/>
        <w:ind w:left="0" w:righ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KUPNÍ SMLOUVA</w:t>
      </w:r>
    </w:p>
    <w:p w:rsidR="001B4FA4" w:rsidRDefault="00AB4083">
      <w:pPr>
        <w:pStyle w:val="Nzev"/>
        <w:spacing w:after="120"/>
        <w:ind w:left="0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</w:t>
      </w:r>
      <w:r w:rsidR="00913319">
        <w:rPr>
          <w:rFonts w:ascii="Arial" w:hAnsi="Arial" w:cs="Arial"/>
          <w:sz w:val="20"/>
        </w:rPr>
        <w:t>28</w:t>
      </w:r>
      <w:r w:rsidR="00FA3322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1480215/2023</w:t>
      </w:r>
    </w:p>
    <w:p w:rsidR="001B4FA4" w:rsidRDefault="00AB4083">
      <w:pPr>
        <w:pStyle w:val="Nzev"/>
        <w:spacing w:after="120"/>
        <w:ind w:left="0" w:right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(dále jen „</w:t>
      </w:r>
      <w:r>
        <w:rPr>
          <w:rFonts w:ascii="Arial" w:hAnsi="Arial" w:cs="Arial"/>
          <w:i/>
          <w:sz w:val="20"/>
        </w:rPr>
        <w:t>smlouva</w:t>
      </w:r>
      <w:r>
        <w:rPr>
          <w:rFonts w:ascii="Arial" w:hAnsi="Arial" w:cs="Arial"/>
          <w:b w:val="0"/>
          <w:sz w:val="20"/>
        </w:rPr>
        <w:t>“)</w:t>
      </w:r>
    </w:p>
    <w:p w:rsidR="001B4FA4" w:rsidRDefault="00AB4083">
      <w:pPr>
        <w:spacing w:after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uzavřená v souladu s </w:t>
      </w:r>
      <w:proofErr w:type="spellStart"/>
      <w:r>
        <w:rPr>
          <w:rFonts w:ascii="Arial" w:hAnsi="Arial" w:cs="Arial"/>
          <w:i/>
          <w:sz w:val="20"/>
        </w:rPr>
        <w:t>ust</w:t>
      </w:r>
      <w:proofErr w:type="spellEnd"/>
      <w:r>
        <w:rPr>
          <w:rFonts w:ascii="Arial" w:hAnsi="Arial" w:cs="Arial"/>
          <w:i/>
          <w:sz w:val="20"/>
        </w:rPr>
        <w:t xml:space="preserve">. § 2079 a násl. zákona č. 89/2012 Sb., </w:t>
      </w:r>
    </w:p>
    <w:p w:rsidR="001B4FA4" w:rsidRDefault="00AB4083">
      <w:pPr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občanský zákoník, v platném a účinném znění (dále jen „</w:t>
      </w:r>
      <w:r>
        <w:rPr>
          <w:rFonts w:ascii="Arial" w:hAnsi="Arial" w:cs="Arial"/>
          <w:b/>
          <w:i/>
          <w:sz w:val="20"/>
        </w:rPr>
        <w:t>občanský zákoník</w:t>
      </w:r>
      <w:r>
        <w:rPr>
          <w:rFonts w:ascii="Arial" w:hAnsi="Arial" w:cs="Arial"/>
          <w:i/>
          <w:sz w:val="20"/>
        </w:rPr>
        <w:t>“)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mezi</w:t>
      </w:r>
    </w:p>
    <w:p w:rsidR="001B4FA4" w:rsidRDefault="001B4FA4">
      <w:pPr>
        <w:jc w:val="both"/>
        <w:rPr>
          <w:rFonts w:ascii="Arial" w:hAnsi="Arial" w:cs="Arial"/>
          <w:sz w:val="20"/>
        </w:rPr>
      </w:pPr>
    </w:p>
    <w:p w:rsidR="001B4FA4" w:rsidRDefault="00AB4083">
      <w:pPr>
        <w:pStyle w:val="Nadpis1"/>
        <w:keepNext w:val="0"/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</w:t>
      </w:r>
    </w:p>
    <w:p w:rsidR="001B4FA4" w:rsidRDefault="001B4FA4"/>
    <w:p w:rsidR="001B4FA4" w:rsidRDefault="00AB4083">
      <w:pPr>
        <w:widowControl w:val="0"/>
        <w:tabs>
          <w:tab w:val="left" w:pos="611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Střední odborná škola a Středí odborné </w:t>
      </w:r>
      <w:r>
        <w:rPr>
          <w:rFonts w:ascii="Arial" w:hAnsi="Arial" w:cs="Arial"/>
          <w:b/>
          <w:sz w:val="20"/>
        </w:rPr>
        <w:t>učiliště Jílové u Prahy, příspěvková organizace</w:t>
      </w:r>
    </w:p>
    <w:p w:rsidR="001B4FA4" w:rsidRDefault="00AB4083">
      <w:pPr>
        <w:widowControl w:val="0"/>
        <w:tabs>
          <w:tab w:val="left" w:pos="6111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se sídlem: </w:t>
      </w:r>
      <w:proofErr w:type="spellStart"/>
      <w:r>
        <w:rPr>
          <w:rFonts w:ascii="Arial" w:hAnsi="Arial" w:cs="Arial"/>
          <w:bCs/>
          <w:sz w:val="20"/>
        </w:rPr>
        <w:t>Šenflukova</w:t>
      </w:r>
      <w:proofErr w:type="spellEnd"/>
      <w:r>
        <w:rPr>
          <w:rFonts w:ascii="Arial" w:hAnsi="Arial" w:cs="Arial"/>
          <w:bCs/>
          <w:sz w:val="20"/>
        </w:rPr>
        <w:t xml:space="preserve"> 220, 254 01 Jílové u Prahy</w:t>
      </w:r>
    </w:p>
    <w:p w:rsidR="001B4FA4" w:rsidRDefault="00AB4083">
      <w:pPr>
        <w:widowControl w:val="0"/>
        <w:tabs>
          <w:tab w:val="left" w:pos="6111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IČO: 14802015, zastoupena: ředitelem Mgr. Radkem Coufalem</w:t>
      </w:r>
    </w:p>
    <w:p w:rsidR="001B4FA4" w:rsidRDefault="00AB4083">
      <w:pPr>
        <w:widowControl w:val="0"/>
        <w:tabs>
          <w:tab w:val="left" w:pos="6111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(dále jen "Kupující")</w:t>
      </w:r>
    </w:p>
    <w:p w:rsidR="001B4FA4" w:rsidRDefault="001B4FA4">
      <w:pPr>
        <w:widowControl w:val="0"/>
        <w:tabs>
          <w:tab w:val="left" w:pos="6111"/>
        </w:tabs>
        <w:rPr>
          <w:rFonts w:ascii="Arial" w:hAnsi="Arial" w:cs="Arial"/>
          <w:bCs/>
          <w:sz w:val="20"/>
        </w:rPr>
      </w:pPr>
    </w:p>
    <w:p w:rsidR="001B4FA4" w:rsidRDefault="00AB4083">
      <w:pPr>
        <w:widowControl w:val="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A</w:t>
      </w:r>
    </w:p>
    <w:p w:rsidR="001B4FA4" w:rsidRDefault="001B4FA4">
      <w:pPr>
        <w:widowControl w:val="0"/>
        <w:rPr>
          <w:rFonts w:ascii="Arial" w:hAnsi="Arial" w:cs="Arial"/>
          <w:bCs/>
          <w:i/>
          <w:sz w:val="20"/>
          <w:shd w:val="clear" w:color="auto" w:fill="FFFFFF"/>
        </w:rPr>
      </w:pPr>
    </w:p>
    <w:p w:rsidR="001B4FA4" w:rsidRDefault="00AB4083">
      <w:pPr>
        <w:widowControl w:val="0"/>
        <w:rPr>
          <w:shd w:val="clear" w:color="auto" w:fill="FFFFFF"/>
        </w:rPr>
      </w:pPr>
      <w:r>
        <w:rPr>
          <w:rFonts w:ascii="Arial" w:hAnsi="Arial" w:cs="Arial"/>
          <w:b/>
          <w:bCs/>
          <w:sz w:val="20"/>
          <w:shd w:val="clear" w:color="auto" w:fill="FFFFFF"/>
        </w:rPr>
        <w:t>Amerex trade s.r.o.</w:t>
      </w:r>
      <w:r>
        <w:rPr>
          <w:rFonts w:ascii="Arial" w:hAnsi="Arial" w:cs="Arial"/>
          <w:b/>
          <w:sz w:val="20"/>
          <w:shd w:val="clear" w:color="auto" w:fill="FFFFFF"/>
        </w:rPr>
        <w:t xml:space="preserve">, se sídlem V Zahradách 2052, Ostrava 708 00, IČO: </w:t>
      </w:r>
      <w:r>
        <w:rPr>
          <w:rFonts w:ascii="Arial" w:hAnsi="Arial" w:cs="Arial"/>
          <w:b/>
          <w:sz w:val="20"/>
          <w:shd w:val="clear" w:color="auto" w:fill="FFFFFF"/>
        </w:rPr>
        <w:t>25388461, zastoupen Jaroslavem Skalou, jednatelem společnosti</w:t>
      </w:r>
    </w:p>
    <w:p w:rsidR="001B4FA4" w:rsidRDefault="00AB4083">
      <w:pPr>
        <w:widowControl w:val="0"/>
        <w:ind w:firstLine="709"/>
        <w:rPr>
          <w:shd w:val="clear" w:color="auto" w:fill="FFFFFF"/>
        </w:rPr>
      </w:pPr>
      <w:r>
        <w:rPr>
          <w:rFonts w:ascii="Arial" w:hAnsi="Arial" w:cs="Arial"/>
          <w:bCs/>
          <w:sz w:val="20"/>
          <w:shd w:val="clear" w:color="auto" w:fill="FFFFFF"/>
        </w:rPr>
        <w:t>zapsaný v obchodním rejstříku vedeném Krajským</w:t>
      </w:r>
      <w:r>
        <w:rPr>
          <w:rFonts w:ascii="Arial" w:hAnsi="Arial" w:cs="Arial"/>
          <w:bCs/>
          <w:sz w:val="20"/>
          <w:shd w:val="clear" w:color="auto" w:fill="FFFFFF"/>
        </w:rPr>
        <w:t xml:space="preserve"> soudem v Ostravě, odd. C, vložka 17029</w:t>
      </w:r>
    </w:p>
    <w:p w:rsidR="001B4FA4" w:rsidRDefault="00AB4083">
      <w:pPr>
        <w:widowContro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(dále jen "Prodávající")</w:t>
      </w:r>
    </w:p>
    <w:p w:rsidR="001B4FA4" w:rsidRDefault="00AB4083">
      <w:pPr>
        <w:widowContro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(Kupující a Prodávající dále společně jen "Smluvní strany" nebo každý z nich samo</w:t>
      </w:r>
      <w:r>
        <w:rPr>
          <w:rFonts w:ascii="Arial" w:hAnsi="Arial" w:cs="Arial"/>
          <w:bCs/>
          <w:sz w:val="20"/>
        </w:rPr>
        <w:t>statně jen "Smluvní strana").</w:t>
      </w:r>
    </w:p>
    <w:p w:rsidR="001B4FA4" w:rsidRDefault="00AB4083">
      <w:pPr>
        <w:widowContro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uzavírají dnešního dne, měsíce a roku tuto kupní smlouvu (dále jen „Smlouva“)</w:t>
      </w:r>
    </w:p>
    <w:p w:rsidR="001B4FA4" w:rsidRDefault="001B4FA4">
      <w:pPr>
        <w:widowControl w:val="0"/>
        <w:rPr>
          <w:rFonts w:ascii="Arial" w:hAnsi="Arial" w:cs="Arial"/>
          <w:bCs/>
          <w:sz w:val="20"/>
        </w:rPr>
      </w:pP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1.</w:t>
      </w: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Preambule</w:t>
      </w:r>
    </w:p>
    <w:p w:rsidR="001B4FA4" w:rsidRDefault="00AB4083">
      <w:pPr>
        <w:pStyle w:val="Podnadpis"/>
        <w:numPr>
          <w:ilvl w:val="1"/>
          <w:numId w:val="1"/>
        </w:numPr>
      </w:pPr>
      <w:r>
        <w:t xml:space="preserve">Tato smlouva se uzavírá za účelem realizace veřejné zakázky malého rozsahu na dodávku s názvem </w:t>
      </w:r>
      <w:r>
        <w:rPr>
          <w:b/>
          <w:bCs/>
        </w:rPr>
        <w:t>„Vybavení cukrářské dílny“</w:t>
      </w:r>
      <w:r>
        <w:t xml:space="preserve">.  </w:t>
      </w:r>
      <w:r>
        <w:t>(dále též jako „</w:t>
      </w:r>
      <w:r>
        <w:rPr>
          <w:b/>
        </w:rPr>
        <w:t>veřejná zakázka</w:t>
      </w:r>
      <w:r>
        <w:t>“).</w:t>
      </w:r>
    </w:p>
    <w:p w:rsidR="001B4FA4" w:rsidRDefault="00AB4083">
      <w:pPr>
        <w:pStyle w:val="Podnadpis"/>
        <w:numPr>
          <w:ilvl w:val="1"/>
          <w:numId w:val="1"/>
        </w:numPr>
      </w:pPr>
      <w:r>
        <w:t xml:space="preserve">Výchozími podklady pro dodání a instalaci předmětu plnění dle této smlouvy je Zadávací dokumentace k zadávacímu řízení, zejména Technická specifikace, která tvoří </w:t>
      </w:r>
      <w:r>
        <w:rPr>
          <w:b/>
        </w:rPr>
        <w:t>přílohu č. 1</w:t>
      </w:r>
      <w:r>
        <w:t xml:space="preserve"> této Smlouvy (dále jen „</w:t>
      </w:r>
      <w:r>
        <w:rPr>
          <w:b/>
        </w:rPr>
        <w:t>technická specifikace</w:t>
      </w:r>
      <w:r>
        <w:t>“), která předmět plnění technicky popisuje.</w:t>
      </w:r>
    </w:p>
    <w:p w:rsidR="001B4FA4" w:rsidRDefault="00AB4083">
      <w:pPr>
        <w:pStyle w:val="Podnadpis"/>
        <w:numPr>
          <w:ilvl w:val="1"/>
          <w:numId w:val="1"/>
        </w:numPr>
      </w:pPr>
      <w:r>
        <w:t xml:space="preserve">Prodávající prohlašuje, že držitelem všech potřebných oprávnění a povolení k realizaci předmětu veřejné zakázky a že disponuje vybavením, zkušenostmi a schopnostmi potřebnými k včasné a řádné realizaci předmětu </w:t>
      </w:r>
      <w:r>
        <w:t>této smlouvy.</w:t>
      </w:r>
    </w:p>
    <w:p w:rsidR="001B4FA4" w:rsidRDefault="00AB4083">
      <w:pPr>
        <w:pStyle w:val="Podnadpis"/>
        <w:numPr>
          <w:ilvl w:val="1"/>
          <w:numId w:val="1"/>
        </w:numPr>
      </w:pPr>
      <w:r>
        <w:t>Prodávající si je zároveň vědom skutečnosti, že kupující má zájem o plnění této smlouvy v souladu se zásadami sociálně odpovědného zadávání veřejných zakázek. Prodávající se proto výslovně zavazuje při realizaci smlouvy dodržovat veškeré prac</w:t>
      </w:r>
      <w:r>
        <w:t>ovněprávní předpisy (a to zejména, nikoliv však výlučně, předpisy upravující mzdové podmínky, pracovní dobu, dobu odpočinku mezi směnami, placené přesčasy) dále právní předpisy týkající se oblasti zaměstnanosti a bezpečnosti a ochrany zdraví při práci, a t</w:t>
      </w:r>
      <w:r>
        <w:t>o vůči všem osobám, které se na realizaci této smlouvy podílejí, tedy bez ohledu na to, zda se jedná o zaměstnance prodávajícího či jeho poddodavatele.</w:t>
      </w:r>
    </w:p>
    <w:p w:rsidR="001B4FA4" w:rsidRDefault="001B4FA4"/>
    <w:p w:rsidR="001B4FA4" w:rsidRDefault="001B4FA4"/>
    <w:p w:rsidR="001B4FA4" w:rsidRDefault="001B4FA4"/>
    <w:p w:rsidR="001B4FA4" w:rsidRDefault="001B4FA4"/>
    <w:p w:rsidR="001B4FA4" w:rsidRDefault="001B4FA4"/>
    <w:p w:rsidR="001B4FA4" w:rsidRDefault="001B4FA4"/>
    <w:p w:rsidR="001B4FA4" w:rsidRDefault="001B4FA4"/>
    <w:p w:rsidR="001B4FA4" w:rsidRDefault="001B4FA4"/>
    <w:p w:rsidR="001B4FA4" w:rsidRDefault="001B4FA4"/>
    <w:p w:rsidR="001B4FA4" w:rsidRDefault="001B4FA4">
      <w:pPr>
        <w:pStyle w:val="Nadpis1"/>
        <w:tabs>
          <w:tab w:val="left" w:pos="720"/>
        </w:tabs>
        <w:spacing w:after="120"/>
        <w:rPr>
          <w:rFonts w:ascii="Arial" w:hAnsi="Arial" w:cs="Arial"/>
          <w:sz w:val="20"/>
        </w:rPr>
      </w:pPr>
    </w:p>
    <w:p w:rsidR="001B4FA4" w:rsidRDefault="00AB4083">
      <w:pPr>
        <w:pStyle w:val="Nadpis1"/>
        <w:tabs>
          <w:tab w:val="left" w:pos="720"/>
        </w:tabs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2.</w:t>
      </w:r>
    </w:p>
    <w:p w:rsidR="001B4FA4" w:rsidRDefault="00AB408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Předmět smlouvy</w:t>
      </w:r>
    </w:p>
    <w:p w:rsidR="001B4FA4" w:rsidRDefault="001B4FA4">
      <w:pPr>
        <w:jc w:val="center"/>
        <w:rPr>
          <w:rFonts w:ascii="Arial" w:hAnsi="Arial" w:cs="Arial"/>
          <w:sz w:val="20"/>
        </w:rPr>
      </w:pPr>
    </w:p>
    <w:p w:rsidR="001B4FA4" w:rsidRDefault="00AB4083">
      <w:pPr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Předmětem této Smlouvy je závazek Prodávajícího dodat na </w:t>
      </w:r>
      <w:r>
        <w:rPr>
          <w:rFonts w:ascii="Arial" w:hAnsi="Arial" w:cs="Arial"/>
          <w:sz w:val="20"/>
        </w:rPr>
        <w:t xml:space="preserve">základě této Smlouvy řádně a včas Produkt v rozsahu cenové specifikace produktu, která je uvedena v příloze č.1 této Smlouvy a tvoří nedílnou součást této Smlouvy (dále jen „Krycí list nabídky“) a za podmínek stanovených touto Smlouvou na dohodnutém místě </w:t>
      </w:r>
      <w:r>
        <w:rPr>
          <w:rFonts w:ascii="Arial" w:hAnsi="Arial" w:cs="Arial"/>
          <w:sz w:val="20"/>
        </w:rPr>
        <w:t>a čase a závazek Kupujícího zaplatit řádně a včas za dodaný Produkt Prodávajícímu kupní cenu za podmínek sjednaných v této Smlouvě. Kupující bere na vědomí, že Prodávající se zavazuje za podmínek dohodnutých ve Smlouvě dodat a převést na Kupujícího vlastni</w:t>
      </w:r>
      <w:r>
        <w:rPr>
          <w:rFonts w:ascii="Arial" w:hAnsi="Arial" w:cs="Arial"/>
          <w:sz w:val="20"/>
        </w:rPr>
        <w:t>cké právo k movitým věcem, které jsou v rozsahu Cenové nabídky.</w:t>
      </w:r>
    </w:p>
    <w:p w:rsidR="001B4FA4" w:rsidRDefault="001B4FA4">
      <w:pPr>
        <w:ind w:left="708" w:hanging="708"/>
        <w:jc w:val="both"/>
        <w:rPr>
          <w:rFonts w:ascii="Arial" w:hAnsi="Arial" w:cs="Arial"/>
        </w:rPr>
      </w:pPr>
    </w:p>
    <w:p w:rsidR="001B4FA4" w:rsidRDefault="00AB4083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2.2. </w:t>
      </w:r>
      <w:r>
        <w:rPr>
          <w:rFonts w:ascii="Arial" w:hAnsi="Arial" w:cs="Arial"/>
          <w:b/>
          <w:bCs/>
          <w:sz w:val="20"/>
        </w:rPr>
        <w:tab/>
        <w:t>Součástí plnění prodávajícího je také:</w:t>
      </w:r>
    </w:p>
    <w:p w:rsidR="001B4FA4" w:rsidRDefault="00AB4083">
      <w:pPr>
        <w:pStyle w:val="Odrazka2"/>
        <w:widowControl w:val="0"/>
        <w:numPr>
          <w:ilvl w:val="1"/>
          <w:numId w:val="9"/>
        </w:numPr>
        <w:tabs>
          <w:tab w:val="left" w:pos="1276"/>
        </w:tabs>
        <w:ind w:hanging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 vybavení do místa plnění, jeho vybalení a kontrola,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montáž a instalace vybavení na místo určené kupujícím a zajištění všech potřebných </w:t>
      </w:r>
      <w:r>
        <w:rPr>
          <w:rFonts w:ascii="Arial" w:hAnsi="Arial" w:cs="Arial"/>
          <w:sz w:val="20"/>
        </w:rPr>
        <w:t>revizí (v případě částí vybavení, u nichž je to relevantní),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demonstrace provozu vybavení a ověření parametrů požadovaných kupujícím, 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a předání instrukcí a návodů k obsluze a údržbě vybavení v českém jazyce kupujícímu, a to elektronicky a v tiš</w:t>
      </w:r>
      <w:r>
        <w:rPr>
          <w:rFonts w:ascii="Arial" w:hAnsi="Arial" w:cs="Arial"/>
          <w:sz w:val="20"/>
        </w:rPr>
        <w:t xml:space="preserve">těné podobě, 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předání prohlášení o shodě dodaného vybavení se schválenými standardy,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vypracování seznamu dodaných položek pro účely kontroly,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odvoz a likvidace nepotřebných obalů a dalších materiálů použitých prodávajícím při plnění této smlouvy,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záruční s</w:t>
      </w:r>
      <w:r>
        <w:rPr>
          <w:rFonts w:ascii="Arial" w:hAnsi="Arial" w:cs="Arial"/>
          <w:sz w:val="20"/>
        </w:rPr>
        <w:t>ervis prodávajícího, a to ve lhůtách uvedených v článku 6,</w:t>
      </w:r>
    </w:p>
    <w:p w:rsidR="001B4FA4" w:rsidRDefault="00AB4083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spacing w:before="60" w:after="60" w:line="276" w:lineRule="auto"/>
        <w:ind w:left="1276" w:hanging="567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spolupráce s kupujícím v průběhu realizace dodávky (zejména podmínky doručení).</w:t>
      </w:r>
    </w:p>
    <w:p w:rsidR="001B4FA4" w:rsidRDefault="001B4FA4">
      <w:pPr>
        <w:widowControl w:val="0"/>
        <w:overflowPunct w:val="0"/>
        <w:spacing w:before="60" w:after="60" w:line="276" w:lineRule="auto"/>
        <w:ind w:left="1276"/>
        <w:jc w:val="both"/>
        <w:textAlignment w:val="auto"/>
        <w:rPr>
          <w:rFonts w:ascii="Arial" w:hAnsi="Arial" w:cs="Arial"/>
          <w:sz w:val="20"/>
        </w:rPr>
      </w:pPr>
    </w:p>
    <w:p w:rsidR="001B4FA4" w:rsidRDefault="00AB4083">
      <w:pPr>
        <w:spacing w:after="120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</w:t>
      </w:r>
      <w:r>
        <w:rPr>
          <w:rFonts w:ascii="Arial" w:hAnsi="Arial" w:cs="Arial"/>
          <w:sz w:val="20"/>
        </w:rPr>
        <w:tab/>
        <w:t>Kupující se zavazuje řádně a včas dodané a instalované vybavení a související služby převzít a zaplatit za ně p</w:t>
      </w:r>
      <w:r>
        <w:rPr>
          <w:rFonts w:ascii="Arial" w:hAnsi="Arial" w:cs="Arial"/>
          <w:sz w:val="20"/>
        </w:rPr>
        <w:t>rodávajícímu kupní cenu uvedenou v článku 4 této smlouvy.</w:t>
      </w:r>
    </w:p>
    <w:p w:rsidR="001B4FA4" w:rsidRDefault="00AB4083">
      <w:pPr>
        <w:spacing w:after="120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</w:t>
      </w:r>
      <w:r>
        <w:rPr>
          <w:rFonts w:ascii="Arial" w:hAnsi="Arial" w:cs="Arial"/>
          <w:sz w:val="20"/>
        </w:rPr>
        <w:tab/>
        <w:t>Prodávající výslovně souhlasí a zavazuje se kupujícímu pro případ, že pokud ke splnění požadavků kupujícího vyplývajících z této smlouvy včetně jejích příloh a k řádnému provedení a provozu vyb</w:t>
      </w:r>
      <w:r>
        <w:rPr>
          <w:rFonts w:ascii="Arial" w:hAnsi="Arial" w:cs="Arial"/>
          <w:sz w:val="20"/>
        </w:rPr>
        <w:t>avení budou potřebné i další dodávky a práce výslovně neuvedené v této smlouvě, tyto dodávky a práce na své náklady obstarat či provést a do svého plnění zahrnout bez dopadu na kupní cenu podle této smlouvy.</w:t>
      </w:r>
    </w:p>
    <w:p w:rsidR="001B4FA4" w:rsidRDefault="00AB4083">
      <w:pPr>
        <w:spacing w:after="120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</w:t>
      </w:r>
      <w:r>
        <w:rPr>
          <w:rFonts w:ascii="Arial" w:hAnsi="Arial" w:cs="Arial"/>
          <w:sz w:val="20"/>
        </w:rPr>
        <w:tab/>
        <w:t>Prodávající se zavazuje za podmínek stanove</w:t>
      </w:r>
      <w:r>
        <w:rPr>
          <w:rFonts w:ascii="Arial" w:hAnsi="Arial" w:cs="Arial"/>
          <w:sz w:val="20"/>
        </w:rPr>
        <w:t>ných touto smlouvou řádně a včas na svůj náklad a na svoji odpovědnost dodat kupujícímu vybavení do místa plnění a předat mu je, a dále provést služby a práce specifikované v odst. 2 tohoto článku smlouvy. Prodávající odpovídá za to, že vybavení bude v sou</w:t>
      </w:r>
      <w:r>
        <w:rPr>
          <w:rFonts w:ascii="Arial" w:hAnsi="Arial" w:cs="Arial"/>
          <w:sz w:val="20"/>
        </w:rPr>
        <w:t>ladu s touto smlouvou, výchozími podklady, platnými právními, technickými a kvalitativními normami, a že vybavení bude mít CE certifikát.</w:t>
      </w:r>
    </w:p>
    <w:p w:rsidR="001B4FA4" w:rsidRDefault="001B4FA4">
      <w:pPr>
        <w:rPr>
          <w:sz w:val="20"/>
        </w:rPr>
      </w:pPr>
    </w:p>
    <w:p w:rsidR="001B4FA4" w:rsidRDefault="001B4FA4">
      <w:pPr>
        <w:pStyle w:val="Podnadpis"/>
        <w:numPr>
          <w:ilvl w:val="0"/>
          <w:numId w:val="0"/>
        </w:numPr>
        <w:ind w:left="30"/>
      </w:pPr>
    </w:p>
    <w:p w:rsidR="001B4FA4" w:rsidRDefault="00AB4083">
      <w:pPr>
        <w:pStyle w:val="Nadpis1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3.</w:t>
      </w:r>
    </w:p>
    <w:p w:rsidR="001B4FA4" w:rsidRDefault="00AB4083">
      <w:pPr>
        <w:pStyle w:val="Nadpis1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Doba, místo, způsob a rozsah plnění 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3.1.</w:t>
      </w:r>
      <w:r>
        <w:tab/>
        <w:t>Prodávající se zavazuje řádně obstarat, dodat, vyzkoušet, instal</w:t>
      </w:r>
      <w:r>
        <w:t xml:space="preserve">ovat, předat kupujícímu a demonstrovat funkčnost vybavení uvedeného v článku 2.1. této Smlouvy, a to nejpozději do </w:t>
      </w:r>
      <w:r>
        <w:rPr>
          <w:b/>
        </w:rPr>
        <w:t>30 ti kalendářních dnů od podpisu smlouvy</w:t>
      </w:r>
      <w:r>
        <w:t>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3.2.</w:t>
      </w:r>
      <w:r>
        <w:tab/>
        <w:t>Místem dodání zboží je sídlo kupujícího, tj</w:t>
      </w:r>
      <w:r>
        <w:rPr>
          <w:b/>
          <w:bCs/>
        </w:rPr>
        <w:t xml:space="preserve">. budova A, </w:t>
      </w:r>
      <w:proofErr w:type="spellStart"/>
      <w:r>
        <w:rPr>
          <w:rStyle w:val="Siln"/>
        </w:rPr>
        <w:t>Šenflukova</w:t>
      </w:r>
      <w:proofErr w:type="spellEnd"/>
      <w:r>
        <w:rPr>
          <w:rStyle w:val="Siln"/>
        </w:rPr>
        <w:t xml:space="preserve"> 220, SOŠ a SOU Jílové u Pra</w:t>
      </w:r>
      <w:r>
        <w:rPr>
          <w:rStyle w:val="Siln"/>
        </w:rPr>
        <w:t>hy</w:t>
      </w:r>
      <w:r>
        <w:t xml:space="preserve"> 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lastRenderedPageBreak/>
        <w:t>3.3.</w:t>
      </w:r>
      <w:r>
        <w:tab/>
        <w:t xml:space="preserve">Prodávající je povinen písemně informovat kupujícího o přesném termínu pro provedení instalace a demonstrace funkčnosti vybavení, a to alespoň 5 pracovních dnů předem tak, aby byl zachován termín plnění uvedený v odst. 3.1. tohoto článku smlouvy. 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3.4.</w:t>
      </w:r>
      <w:r>
        <w:tab/>
        <w:t>Kupující je povinen prodávajícímu po uplynutí lhůty dle předchozího odstavce tohoto článku smlouvy umožnit provedení instalace a demonstrace funkčnosti vybavení v prostorách pro instalaci.</w:t>
      </w:r>
    </w:p>
    <w:p w:rsidR="001B4FA4" w:rsidRDefault="001B4FA4">
      <w:pPr>
        <w:pStyle w:val="Podnadpis"/>
        <w:numPr>
          <w:ilvl w:val="0"/>
          <w:numId w:val="0"/>
        </w:numPr>
        <w:ind w:left="30"/>
      </w:pPr>
    </w:p>
    <w:p w:rsidR="001B4FA4" w:rsidRDefault="00AB4083">
      <w:pPr>
        <w:pStyle w:val="Podnadpis"/>
        <w:numPr>
          <w:ilvl w:val="0"/>
          <w:numId w:val="0"/>
        </w:numPr>
        <w:ind w:left="30"/>
        <w:jc w:val="center"/>
        <w:rPr>
          <w:b/>
        </w:rPr>
      </w:pPr>
      <w:r>
        <w:rPr>
          <w:b/>
        </w:rPr>
        <w:t>Článek 4.</w:t>
      </w:r>
    </w:p>
    <w:p w:rsidR="001B4FA4" w:rsidRDefault="00AB4083">
      <w:pPr>
        <w:spacing w:after="120"/>
        <w:jc w:val="center"/>
      </w:pPr>
      <w:r>
        <w:rPr>
          <w:rFonts w:ascii="Arial" w:hAnsi="Arial" w:cs="Arial"/>
          <w:b/>
          <w:sz w:val="20"/>
        </w:rPr>
        <w:t>Kupní cena a platební podmínky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4.1.</w:t>
      </w:r>
      <w:r>
        <w:tab/>
      </w:r>
      <w:r>
        <w:t xml:space="preserve">Kupní cena za předmět smlouvy uvedený v článku 2 odst. 1. a 2. byla stanovena na základě </w:t>
      </w:r>
      <w:r>
        <w:rPr>
          <w:shd w:val="clear" w:color="auto" w:fill="FFFFFF"/>
        </w:rPr>
        <w:t>nabídky prodávajícího jako cena maximální a nejvýše přípustná, a to ve výši 468.241,- Kč bez DPH (dále jen „</w:t>
      </w:r>
      <w:r>
        <w:rPr>
          <w:b/>
          <w:shd w:val="clear" w:color="auto" w:fill="FFFFFF"/>
        </w:rPr>
        <w:t>kupní cena</w:t>
      </w:r>
      <w:r>
        <w:rPr>
          <w:shd w:val="clear" w:color="auto" w:fill="FFFFFF"/>
        </w:rPr>
        <w:t>“), plus</w:t>
      </w:r>
      <w:bookmarkStart w:id="0" w:name="_GoBack"/>
      <w:bookmarkEnd w:id="0"/>
      <w:r>
        <w:rPr>
          <w:shd w:val="clear" w:color="auto" w:fill="FFFFFF"/>
        </w:rPr>
        <w:t> </w:t>
      </w:r>
      <w:proofErr w:type="gramStart"/>
      <w:r>
        <w:rPr>
          <w:shd w:val="clear" w:color="auto" w:fill="FFFFFF"/>
        </w:rPr>
        <w:t>21%</w:t>
      </w:r>
      <w:proofErr w:type="gramEnd"/>
      <w:r>
        <w:rPr>
          <w:shd w:val="clear" w:color="auto" w:fill="FFFFFF"/>
        </w:rPr>
        <w:t xml:space="preserve"> DPH ve výši 98.330,61,- Kč, tj. cel</w:t>
      </w:r>
      <w:r>
        <w:rPr>
          <w:shd w:val="clear" w:color="auto" w:fill="FFFFFF"/>
        </w:rPr>
        <w:t>kem ve výši 566.571,61,- Kč s DPH</w:t>
      </w:r>
      <w:r>
        <w:t xml:space="preserve">. 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4.2.</w:t>
      </w:r>
      <w:r>
        <w:tab/>
        <w:t>Kupní cena zahrnuje veškeré náklady spojené s plněním předmětu této smlouvy, včetně nákladů na dopravu, instalaci a montáž, na pojištění vybavení do doby jeho předání a převzetí. Kupní cena je nezávislá na vývoji ce</w:t>
      </w:r>
      <w:r>
        <w:t>n a kursových změnách.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4.3.</w:t>
      </w:r>
      <w:r>
        <w:tab/>
        <w:t>Kupní cena muže být měněna pouze písemným dodatkem k této smlouvě, a to pouze v případě, že po uzavření smlouvy a před termínem předání a převzetí vybavení dojde ke změně sazeb DPH (je možná výhradně změna výše DPH).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4.4.</w:t>
      </w:r>
      <w:r>
        <w:tab/>
        <w:t>Kupují</w:t>
      </w:r>
      <w:r>
        <w:t xml:space="preserve">cí se zavazuje uhradit prodávajícímu 100 % kupní ceny dle odst. 1 tohoto článku smlouvy po předání a převzetí vybavení, o kterém bude mezi smluvními stranami sepsán </w:t>
      </w:r>
      <w:r>
        <w:rPr>
          <w:b/>
        </w:rPr>
        <w:t>předávací protokol</w:t>
      </w:r>
      <w:r>
        <w:t>. Bude-li vybavení převzato, byť i s jednou vadou nebo nedodělkem výslovn</w:t>
      </w:r>
      <w:r>
        <w:t>ě uvedenými v předávacím protokolu, bude 100 % kupní ceny uhrazeno až po odstranění této vady či nedodělku.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4.5.</w:t>
      </w:r>
      <w:r>
        <w:tab/>
        <w:t>Kupní cena fakturovaná v souladu s odst. 4 tohoto článku smlouvy bude prodávajícímu hrazena na základě daňového dokladu – faktury, kterou je pr</w:t>
      </w:r>
      <w:r>
        <w:t xml:space="preserve">odávající oprávněn vystavit po řádném a včasném předání zboží a jeho převzetí kupujícím. Splatnost faktury je stanovena na </w:t>
      </w:r>
      <w:r>
        <w:rPr>
          <w:b/>
        </w:rPr>
        <w:t>30 dní od data řádného vystavení faktury</w:t>
      </w:r>
      <w:r>
        <w:t xml:space="preserve"> a jejího doručení kupujícímu. Veškeré faktury musí mít náležitosti daňového dokladu dle záko</w:t>
      </w:r>
      <w:r>
        <w:t>na č. 235/2004 Sb., o dani z přidané hodnoty, ve znění pozdějších předpisů</w:t>
      </w:r>
    </w:p>
    <w:p w:rsidR="001B4FA4" w:rsidRDefault="00AB4083">
      <w:pPr>
        <w:pStyle w:val="Podnadpis"/>
        <w:numPr>
          <w:ilvl w:val="0"/>
          <w:numId w:val="0"/>
        </w:numPr>
        <w:ind w:left="702" w:hanging="702"/>
      </w:pPr>
      <w:r>
        <w:t>4.6.</w:t>
      </w:r>
      <w:r>
        <w:tab/>
        <w:t>Kupní cena je uhrazena dnem připsání příslušné částky ve prospěch účtu prodávajícího a pod variabilním symbolem uvedeným na faktuře.</w:t>
      </w:r>
    </w:p>
    <w:p w:rsidR="001B4FA4" w:rsidRDefault="001B4FA4">
      <w:pPr>
        <w:spacing w:after="120"/>
        <w:rPr>
          <w:rFonts w:ascii="Arial" w:hAnsi="Arial" w:cs="Arial"/>
          <w:b/>
          <w:sz w:val="20"/>
        </w:rPr>
      </w:pP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5.</w:t>
      </w: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Vlastnictví zboží, přechod nebez</w:t>
      </w:r>
      <w:r>
        <w:rPr>
          <w:rFonts w:ascii="Arial" w:hAnsi="Arial" w:cs="Arial"/>
          <w:b/>
          <w:sz w:val="20"/>
        </w:rPr>
        <w:t xml:space="preserve">pečí škody na zboží 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5.1.</w:t>
      </w:r>
      <w:r>
        <w:tab/>
        <w:t>Vlastnické právo i nebezpečí škody na vybavení přechází z prodávajícího na kupujícího okamžikem předání a převzetí vybavení dle této smlouvy. Převzetím se rozumí podpis předávacího protokolu o předání a převzetí vybavení oběma sml</w:t>
      </w:r>
      <w:r>
        <w:t>uvními stranami.</w:t>
      </w:r>
    </w:p>
    <w:p w:rsidR="001B4FA4" w:rsidRDefault="001B4FA4">
      <w:pPr>
        <w:overflowPunct w:val="0"/>
        <w:textAlignment w:val="auto"/>
        <w:rPr>
          <w:rFonts w:ascii="Arial" w:hAnsi="Arial" w:cs="Arial"/>
          <w:b/>
          <w:sz w:val="20"/>
        </w:rPr>
      </w:pPr>
    </w:p>
    <w:p w:rsidR="001B4FA4" w:rsidRDefault="00AB4083">
      <w:pPr>
        <w:pStyle w:val="Zkladntext21"/>
        <w:spacing w:after="120"/>
        <w:ind w:left="709" w:hanging="70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6.</w:t>
      </w:r>
    </w:p>
    <w:p w:rsidR="001B4FA4" w:rsidRDefault="00AB4083">
      <w:pPr>
        <w:pStyle w:val="Zkladntext21"/>
        <w:spacing w:after="120"/>
        <w:ind w:left="709" w:hanging="70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Záruka a reklamace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6.1.</w:t>
      </w:r>
      <w:r>
        <w:tab/>
        <w:t>Záruční doba na vybavení je 24 měsíců. Záruční doba začíná běžet dnem podpisu předávacího protokolu zástupci smluvních stran. Je-li vybavení převzato, byť i jen s jednou vadou nebo nedodělkem, počíná běže</w:t>
      </w:r>
      <w:r>
        <w:t>t záruční doba ode dne odstranění poslední vady či nedodělku prodávajícím.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6.2.</w:t>
      </w:r>
      <w:r>
        <w:tab/>
        <w:t>Při předání a převzetí zboží smluvní strany sepíší předávací protokol. V případě výskytu vad zboží není kupující povinen vadné zboží převzít, ale je oprávněn tak učinit.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6.3.</w:t>
      </w:r>
      <w:r>
        <w:tab/>
      </w:r>
      <w:r>
        <w:t xml:space="preserve">Kupující je povinen každý výskyt vady zjištěný v záruční době oznámit bez zbytečného odkladu po jejím zjištění, nejpozději však do konce záruční doby písemně na e-mail prodávajícího (dále </w:t>
      </w:r>
      <w:r>
        <w:lastRenderedPageBreak/>
        <w:t>jen „</w:t>
      </w:r>
      <w:r>
        <w:rPr>
          <w:b/>
        </w:rPr>
        <w:t>reklamace</w:t>
      </w:r>
      <w:r>
        <w:t>“), přičemž v oznámení vadu popíše a uvede způsob, jak</w:t>
      </w:r>
      <w:r>
        <w:t>ým požaduje vadu odstranit</w:t>
      </w:r>
    </w:p>
    <w:p w:rsidR="001B4FA4" w:rsidRDefault="00AB4083">
      <w:pPr>
        <w:pStyle w:val="Podnadpis"/>
        <w:numPr>
          <w:ilvl w:val="0"/>
          <w:numId w:val="0"/>
        </w:numPr>
        <w:ind w:left="-360" w:firstLine="360"/>
      </w:pPr>
      <w:r>
        <w:rPr>
          <w:rStyle w:val="PodnadpisChar"/>
          <w:rFonts w:eastAsiaTheme="majorEastAsia"/>
        </w:rPr>
        <w:t>6.4.</w:t>
      </w:r>
      <w:r>
        <w:rPr>
          <w:rStyle w:val="PodnadpisChar"/>
          <w:rFonts w:eastAsiaTheme="majorEastAsia"/>
        </w:rPr>
        <w:tab/>
        <w:t>Kupující je oprávněn</w:t>
      </w:r>
      <w:r>
        <w:t>:</w:t>
      </w:r>
    </w:p>
    <w:p w:rsidR="001B4FA4" w:rsidRDefault="00AB4083">
      <w:pPr>
        <w:pStyle w:val="Odrazka2"/>
        <w:widowControl w:val="0"/>
        <w:numPr>
          <w:ilvl w:val="1"/>
          <w:numId w:val="11"/>
        </w:numPr>
        <w:tabs>
          <w:tab w:val="left" w:pos="1276"/>
        </w:tabs>
        <w:ind w:left="567" w:hanging="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požadovat odstranění vad dodáním náhradního vybavení za vadné vybavení, nebo</w:t>
      </w:r>
    </w:p>
    <w:p w:rsidR="001B4FA4" w:rsidRDefault="00AB4083">
      <w:pPr>
        <w:pStyle w:val="Odrazka2"/>
        <w:widowControl w:val="0"/>
        <w:numPr>
          <w:ilvl w:val="1"/>
          <w:numId w:val="10"/>
        </w:numPr>
        <w:tabs>
          <w:tab w:val="left" w:pos="851"/>
        </w:tabs>
        <w:ind w:left="567" w:hanging="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požadovat odstranění vad opravou, jsou-li vady opravitelné, nebo</w:t>
      </w:r>
    </w:p>
    <w:p w:rsidR="001B4FA4" w:rsidRDefault="00AB4083">
      <w:pPr>
        <w:pStyle w:val="Odrazka2"/>
        <w:widowControl w:val="0"/>
        <w:numPr>
          <w:ilvl w:val="1"/>
          <w:numId w:val="10"/>
        </w:numPr>
        <w:tabs>
          <w:tab w:val="left" w:pos="851"/>
        </w:tabs>
        <w:ind w:left="567" w:hanging="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požadovat přiměřenou slevu z kupní ceny.</w:t>
      </w:r>
    </w:p>
    <w:p w:rsidR="001B4FA4" w:rsidRDefault="00AB4083">
      <w:pPr>
        <w:pStyle w:val="Podnadpis"/>
        <w:numPr>
          <w:ilvl w:val="0"/>
          <w:numId w:val="0"/>
        </w:numPr>
        <w:ind w:left="567"/>
      </w:pPr>
      <w:r>
        <w:t>Volba mezi výše uve</w:t>
      </w:r>
      <w:r>
        <w:t>denými nároky z vad náleží kupujícímu. Kupující je dále oprávněn odstoupit od smlouvy, je-li dodáním vybavení s vadami smlouva porušena podstatným způsobem. Za podstatné porušení se považuje vždy situace, kdy vybavení (nebo jeho část) nedosahuje nebo v zár</w:t>
      </w:r>
      <w:r>
        <w:t>uční době přestane dosahovat minimálních funkcí a parametrů požadovaných kupujícím a uvedených ve výchozích podkladech nebo této smlouvě.</w:t>
      </w:r>
    </w:p>
    <w:p w:rsidR="001B4FA4" w:rsidRDefault="00AB4083">
      <w:pPr>
        <w:pStyle w:val="Podnadpis"/>
        <w:numPr>
          <w:ilvl w:val="0"/>
          <w:numId w:val="0"/>
        </w:numPr>
        <w:ind w:left="567" w:hanging="537"/>
      </w:pPr>
      <w:r>
        <w:t>6.5.</w:t>
      </w:r>
      <w:r>
        <w:tab/>
        <w:t>V případě, že k odstranění vady vybavení není nutné zajištění náhradních dílů, je prodávající povinen vadu odstra</w:t>
      </w:r>
      <w:r>
        <w:t>nit do 14 kalendářních dnů ode dne obdržení reklamace. Je-li k odstranění vady vybavení nutné zajistit náhradní díly, pak je prodávající povinen vadu odstranit do 30 kalendářních dnů ode dne obdržení reklamace, nedohodnou-li se smluvní strany následně jina</w:t>
      </w:r>
      <w:r>
        <w:t xml:space="preserve">k. </w:t>
      </w:r>
    </w:p>
    <w:p w:rsidR="001B4FA4" w:rsidRDefault="00AB4083">
      <w:pPr>
        <w:pStyle w:val="Podnadpis"/>
        <w:numPr>
          <w:ilvl w:val="0"/>
          <w:numId w:val="0"/>
        </w:numPr>
        <w:ind w:left="567" w:hanging="567"/>
      </w:pPr>
      <w:r>
        <w:t>6.6.</w:t>
      </w:r>
      <w:r>
        <w:tab/>
        <w:t xml:space="preserve">I v případě, že prodávající vadu neuzná, je povinen vadu odstranit, a to ve lhůtách </w:t>
      </w:r>
      <w:proofErr w:type="gramStart"/>
      <w:r>
        <w:t>uvedených  odst.</w:t>
      </w:r>
      <w:proofErr w:type="gramEnd"/>
      <w:r>
        <w:t xml:space="preserve"> 5 tohoto článku smlouvy, nedohodnou-li se smluvní strany jinak. V případě, že prodávající vadu neuzná, bude oprávněnost reklamace ověřena znalecký</w:t>
      </w:r>
      <w:r>
        <w:t>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</w:t>
      </w:r>
      <w:r>
        <w:t>ávajícímu účelně a prokazatelně vynaložené náklady na odstranění vady. Do vyjasnění oprávněnosti reklamace nese náklady na odstranění vady prodávající.</w:t>
      </w:r>
    </w:p>
    <w:p w:rsidR="001B4FA4" w:rsidRDefault="00AB4083">
      <w:pPr>
        <w:pStyle w:val="Podnadpis"/>
        <w:numPr>
          <w:ilvl w:val="0"/>
          <w:numId w:val="0"/>
        </w:numPr>
        <w:ind w:left="567" w:hanging="567"/>
      </w:pPr>
      <w:r>
        <w:t>6.7.</w:t>
      </w:r>
      <w:r>
        <w:tab/>
        <w:t xml:space="preserve">O odstranění reklamované vady sepíší smluvní strany protokol, ve kterém potvrdí odstranění vady. O </w:t>
      </w:r>
      <w:r>
        <w:t>dobu, která uplyne ode dne uplatnění reklamace do odstranění vady, se prodlužuje záruční lhůta.</w:t>
      </w:r>
    </w:p>
    <w:p w:rsidR="001B4FA4" w:rsidRDefault="00AB4083">
      <w:pPr>
        <w:pStyle w:val="Podnadpis"/>
        <w:numPr>
          <w:ilvl w:val="0"/>
          <w:numId w:val="0"/>
        </w:numPr>
        <w:ind w:left="567" w:hanging="567"/>
      </w:pPr>
      <w:r>
        <w:t>6.8.</w:t>
      </w:r>
      <w:r>
        <w:tab/>
        <w:t>V případě, že prodávající neodstraní vadu ve lhůtách uvedených v odst. 5 tohoto článku smlouvy, případně ve lhůtě sjednané smluvními stranami, nebo pokud p</w:t>
      </w:r>
      <w:r>
        <w:t>rodávající odmítne vadu odstranit, je kupující oprávněn nechat vadu odstranit na své náklady a prodávající je povinen uhradit kupujícímu náklady na odstranění vady, a to do 10 kalendářních dnů poté, co jej k tomu kupující vyzve. Tento postup kupujícího vša</w:t>
      </w:r>
      <w:r>
        <w:t>k nezbavuje prodávajícího odpovědnosti za vady a jeho záruka trvá ve sjednaném rozsahu.</w:t>
      </w:r>
    </w:p>
    <w:p w:rsidR="001B4FA4" w:rsidRDefault="00AB4083">
      <w:pPr>
        <w:pStyle w:val="Podnadpis"/>
        <w:numPr>
          <w:ilvl w:val="0"/>
          <w:numId w:val="0"/>
        </w:numPr>
        <w:ind w:left="30"/>
      </w:pPr>
      <w:r>
        <w:t xml:space="preserve">6.9.   Smluvní strany vylučují použití </w:t>
      </w:r>
      <w:proofErr w:type="spellStart"/>
      <w:r>
        <w:t>ust</w:t>
      </w:r>
      <w:proofErr w:type="spellEnd"/>
      <w:r>
        <w:t>. § 1925 občanského zákoníku, věta za středníkem.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6.9.1.</w:t>
      </w:r>
      <w:r>
        <w:tab/>
        <w:t>Prodávající je povinen v průběhu záruční doby provádět bezplatně vešk</w:t>
      </w:r>
      <w:r>
        <w:t>eré servisní úkony vybavení, jejichž provedením podmiňuje platnost záruky, a to do 10 pracovních dnů ode dne zaslání žádosti kupujícího o provedení servisního úkonu odpovědnému zástupci prodávajícího. Prodávající je povinen písemně upozornit kupujícího min</w:t>
      </w:r>
      <w:r>
        <w:t>imálně 10 dnů předem o povinnosti provedení bezplatného servisního úkonu, jehož provedením podmiňuje platnost záruky. Prodávající je dále povinen před koncem záruční doby na písemnou žádost kupujícího provést bezplatnou servisní prohlídku dodaného vybavení</w:t>
      </w:r>
      <w:r>
        <w:t xml:space="preserve"> a jeho částí.</w:t>
      </w:r>
    </w:p>
    <w:p w:rsidR="001B4FA4" w:rsidRDefault="001B4FA4"/>
    <w:p w:rsidR="001B4FA4" w:rsidRDefault="001B4FA4"/>
    <w:p w:rsidR="001B4FA4" w:rsidRDefault="00AB4083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Článek 7.</w:t>
      </w:r>
    </w:p>
    <w:p w:rsidR="001B4FA4" w:rsidRDefault="00AB4083">
      <w:pPr>
        <w:tabs>
          <w:tab w:val="left" w:pos="360"/>
        </w:tabs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Sankce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7.1.</w:t>
      </w:r>
      <w:r>
        <w:tab/>
        <w:t xml:space="preserve">Prodávající je v případě prodlení se splněním povinnosti dodat vybavení řádně a včas povinen zaplatit kupujícímu smluvní pokutu ve výši 0,05 % z kupní ceny bez DPH té části vybavení, s jejímž dodáním je prodávající </w:t>
      </w:r>
      <w:r>
        <w:t>v prodlení, a to za každý započatý den prodlení.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7.2.</w:t>
      </w:r>
      <w:r>
        <w:tab/>
        <w:t>V případě, že prodávající neodstraní řádně reklamovanou vadu vybavení ve lhůtě uvedené v článku 6 odst.9.1. nebo ve smluvními stranami sjednané době, je kupující oprávněn účtovat prodávajícímu smluvní p</w:t>
      </w:r>
      <w:r>
        <w:t xml:space="preserve">okutu ve výši 1.000,- Kč za každou reklamovanou vadu, u níž je prodávající v prodlení s odstraněním, a to za každý započatý den prodlení. Pokud prodávající neposkytne kupujícímu záruční servis ve lhůtě uvedené v článku 6. odst. 9.1., je kupující </w:t>
      </w:r>
      <w:r>
        <w:lastRenderedPageBreak/>
        <w:t>oprávněn ú</w:t>
      </w:r>
      <w:r>
        <w:t>čtovat prodávajícímu smluvní pokutu ve výši 1.000,- Kč, a to za každý započatý den prodlení s poskytnutím záručního servisu, maximálně však do výše kupní ceny dle této Smlouvy.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7.3.</w:t>
      </w:r>
      <w:r>
        <w:tab/>
        <w:t>Pokud Kupující neuhradí v termínech uvedených v této smlouvě kupní cenu, j</w:t>
      </w:r>
      <w:r>
        <w:t xml:space="preserve">e povinen uhradit prodávajícímu úrok z prodlení v zákonné výši. 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7.4.</w:t>
      </w:r>
      <w:r>
        <w:tab/>
        <w:t xml:space="preserve">Povinná smluvní strana musí uhradit oprávněné smluvní straně smluvní sankce nejpozději do 15 kalendářních dnů ode dne obdržení příslušného vyúčtování od druhé smluvní strany. 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7.5.</w:t>
      </w:r>
      <w:r>
        <w:tab/>
        <w:t>Smluv</w:t>
      </w:r>
      <w:r>
        <w:t>ní strany vylučují použití ustanovení § 2050 občanského zákoníku. Nárok na náhradu škody má kupující vždy zachován.</w:t>
      </w:r>
    </w:p>
    <w:p w:rsidR="001B4FA4" w:rsidRDefault="001B4FA4">
      <w:pPr>
        <w:overflowPunct w:val="0"/>
        <w:textAlignment w:val="auto"/>
        <w:rPr>
          <w:rFonts w:ascii="Arial" w:hAnsi="Arial" w:cs="Arial"/>
          <w:b/>
          <w:sz w:val="20"/>
        </w:rPr>
      </w:pP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8.</w:t>
      </w: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Platnost a účinnost smlouvy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8.1.</w:t>
      </w:r>
      <w:r>
        <w:tab/>
        <w:t>Tato smlouva nabývá platnosti dnem podpisu oběma smluvními stranami a účinnost dnem jejího uveře</w:t>
      </w:r>
      <w:r>
        <w:t>jnění v registru smluv, které provede kupující.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8.2.</w:t>
      </w:r>
      <w:r>
        <w:tab/>
        <w:t>Smluvní strany berou na vědomí, že tato smlouva bude v souladu s platnou právní úpravou uveřejněna v registru smluv vedeným Ministerstvem vnitra, když smluvní strany se zveřejněním této smlouvy v registr</w:t>
      </w:r>
      <w:r>
        <w:t>u smluv výslovně souhlasí. Smluvní strany prohlašují, že tato smlouva neobsahuje obchodní tajemství a nedopadají na ně ani jiné výjimky, pro které by tato smlouva či její část nemohla být v registru smluv uveřejněna. Uveřejnění této smlouvy v registru smlu</w:t>
      </w:r>
      <w:r>
        <w:t>v se zavazuje zajistit kupující, když tuto smlouvu se zavazuje uveřejnit bez zbytečného odkladu po podpisu této smlouvy.</w:t>
      </w:r>
    </w:p>
    <w:p w:rsidR="001B4FA4" w:rsidRDefault="00AB4083">
      <w:pPr>
        <w:spacing w:after="120"/>
        <w:ind w:left="709" w:hanging="70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9.</w:t>
      </w: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9.1.</w:t>
      </w:r>
      <w:r>
        <w:tab/>
        <w:t>Tuto smlouvu lze ukončit splněním, dohodou smluvních stran nebo odstoupením od smlouvy z důvodů stanove</w:t>
      </w:r>
      <w:r>
        <w:t>ných v zákoně nebo v této smlouvě.</w:t>
      </w:r>
    </w:p>
    <w:p w:rsidR="001B4FA4" w:rsidRDefault="00AB4083">
      <w:pPr>
        <w:pStyle w:val="Podnadpis"/>
        <w:numPr>
          <w:ilvl w:val="0"/>
          <w:numId w:val="0"/>
        </w:numPr>
        <w:ind w:left="702" w:hanging="702"/>
      </w:pPr>
      <w:r>
        <w:t>9.2.</w:t>
      </w:r>
      <w:r>
        <w:tab/>
        <w:t>Kupující je dále oprávněn od smlouvy odstoupit bez jakýchkoliv sankcí, nastane-li i některá z níže uvedených skutečností:</w:t>
      </w:r>
    </w:p>
    <w:p w:rsidR="001B4FA4" w:rsidRDefault="00AB4083">
      <w:pPr>
        <w:pStyle w:val="Odrazka2"/>
        <w:widowControl w:val="0"/>
        <w:numPr>
          <w:ilvl w:val="1"/>
          <w:numId w:val="12"/>
        </w:numPr>
        <w:tabs>
          <w:tab w:val="left" w:pos="851"/>
        </w:tabs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dojde-li k podstatnému porušení povinností uložených prodávajícímu touto smlouvou (viz odstave</w:t>
      </w:r>
      <w:r>
        <w:rPr>
          <w:rFonts w:ascii="Arial" w:hAnsi="Arial" w:cs="Arial"/>
          <w:sz w:val="20"/>
          <w:szCs w:val="20"/>
        </w:rPr>
        <w:t>c 3 tohoto článku),</w:t>
      </w:r>
    </w:p>
    <w:p w:rsidR="001B4FA4" w:rsidRDefault="00AB4083">
      <w:pPr>
        <w:pStyle w:val="Odrazka2"/>
        <w:widowControl w:val="0"/>
        <w:numPr>
          <w:ilvl w:val="1"/>
          <w:numId w:val="12"/>
        </w:numPr>
        <w:tabs>
          <w:tab w:val="left" w:pos="851"/>
        </w:tabs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vstoupí do likvidace,</w:t>
      </w:r>
    </w:p>
    <w:p w:rsidR="001B4FA4" w:rsidRDefault="00AB4083">
      <w:pPr>
        <w:pStyle w:val="Odrazka2"/>
        <w:widowControl w:val="0"/>
        <w:numPr>
          <w:ilvl w:val="1"/>
          <w:numId w:val="12"/>
        </w:numPr>
        <w:tabs>
          <w:tab w:val="left" w:pos="851"/>
        </w:tabs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vůči majetku prodávajícího probíhá insolvenční (nebo obdobné) řízení, v němž bylo vydáno rozhodnutí o úpadku, nebo byl insolvenční návrh zamítnut proto, že majetek nepostačuje k úhradě nákladů </w:t>
      </w:r>
      <w:r>
        <w:rPr>
          <w:rFonts w:ascii="Arial" w:hAnsi="Arial" w:cs="Arial"/>
          <w:sz w:val="20"/>
          <w:szCs w:val="20"/>
        </w:rPr>
        <w:t>insolvenčního řízení, nebo byl konkurs zrušen proto, že majetek byl zcela nepostačující nebo byla zavedena nucená správa podle zvláštních právních předpisů,</w:t>
      </w:r>
    </w:p>
    <w:p w:rsidR="001B4FA4" w:rsidRDefault="00AB4083">
      <w:pPr>
        <w:pStyle w:val="Odrazka2"/>
        <w:widowControl w:val="0"/>
        <w:numPr>
          <w:ilvl w:val="1"/>
          <w:numId w:val="12"/>
        </w:numPr>
        <w:tabs>
          <w:tab w:val="left" w:pos="851"/>
        </w:tabs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příslušný orgán veřejné moci (Státní úřad inspekce práce či oblastní inspektorát práce, Krajská hyg</w:t>
      </w:r>
      <w:r>
        <w:rPr>
          <w:rFonts w:ascii="Arial" w:hAnsi="Arial" w:cs="Arial"/>
          <w:sz w:val="20"/>
          <w:szCs w:val="20"/>
        </w:rPr>
        <w:t xml:space="preserve">ienická </w:t>
      </w:r>
      <w:proofErr w:type="gramStart"/>
      <w:r>
        <w:rPr>
          <w:rFonts w:ascii="Arial" w:hAnsi="Arial" w:cs="Arial"/>
          <w:sz w:val="20"/>
          <w:szCs w:val="20"/>
        </w:rPr>
        <w:t>stanice,</w:t>
      </w:r>
      <w:proofErr w:type="gramEnd"/>
      <w:r>
        <w:rPr>
          <w:rFonts w:ascii="Arial" w:hAnsi="Arial" w:cs="Arial"/>
          <w:sz w:val="20"/>
          <w:szCs w:val="20"/>
        </w:rPr>
        <w:t xml:space="preserve"> atd.) zjistí svým pravomocným rozhodnutím v souvislosti s realizací této smlouvy porušení obecně závazných právních předpisů,</w:t>
      </w:r>
    </w:p>
    <w:p w:rsidR="001B4FA4" w:rsidRDefault="00AB4083">
      <w:pPr>
        <w:pStyle w:val="Odrazka2"/>
        <w:widowControl w:val="0"/>
        <w:numPr>
          <w:ilvl w:val="1"/>
          <w:numId w:val="12"/>
        </w:numPr>
        <w:tabs>
          <w:tab w:val="left" w:pos="851"/>
        </w:tabs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vyjde-li najevo, že prodávající uvedl v nabídce informace nebo doklady, které neodpovídají skutečnosti a které mě</w:t>
      </w:r>
      <w:r>
        <w:rPr>
          <w:rFonts w:ascii="Arial" w:hAnsi="Arial" w:cs="Arial"/>
          <w:sz w:val="20"/>
          <w:szCs w:val="20"/>
        </w:rPr>
        <w:t>ly nebo mohly mít vliv na výsledek zadávacího řízení, které vedlo k uzavření této smlouvy, a to dle § 223 odst. 2 zák. č. 134/2016 Sb., o zadávání veřejných zakázek, v platném a účinném znění.</w:t>
      </w:r>
    </w:p>
    <w:p w:rsidR="001B4FA4" w:rsidRDefault="00AB4083">
      <w:pPr>
        <w:pStyle w:val="Podnadpis"/>
        <w:numPr>
          <w:ilvl w:val="0"/>
          <w:numId w:val="0"/>
        </w:numPr>
        <w:ind w:left="30" w:hanging="30"/>
      </w:pPr>
      <w:r>
        <w:t>9.3.</w:t>
      </w:r>
      <w:r>
        <w:tab/>
        <w:t>Za podstatné porušení této smlouvy bude považováno:</w:t>
      </w:r>
    </w:p>
    <w:p w:rsidR="001B4FA4" w:rsidRDefault="00AB4083">
      <w:pPr>
        <w:pStyle w:val="Odrazka2"/>
        <w:widowControl w:val="0"/>
        <w:numPr>
          <w:ilvl w:val="1"/>
          <w:numId w:val="13"/>
        </w:numPr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prodle</w:t>
      </w:r>
      <w:r>
        <w:rPr>
          <w:rFonts w:ascii="Arial" w:hAnsi="Arial" w:cs="Arial"/>
          <w:sz w:val="20"/>
          <w:szCs w:val="20"/>
        </w:rPr>
        <w:t>ní prodávajícího proti termínu předání vybavení uvedenému v článku 3 odst. 1 této smlouvy trvající déle než 4 týdny,</w:t>
      </w:r>
    </w:p>
    <w:p w:rsidR="001B4FA4" w:rsidRDefault="00AB4083">
      <w:pPr>
        <w:pStyle w:val="Odrazka2"/>
        <w:widowControl w:val="0"/>
        <w:numPr>
          <w:ilvl w:val="1"/>
          <w:numId w:val="13"/>
        </w:numPr>
        <w:tabs>
          <w:tab w:val="left" w:pos="851"/>
        </w:tabs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přenechání/převod/přechod práv a povinností prodávajícího z této smlouvy na třetí osobu bez písemného souhlasu kupujícího,</w:t>
      </w:r>
    </w:p>
    <w:p w:rsidR="001B4FA4" w:rsidRDefault="00AB4083">
      <w:pPr>
        <w:pStyle w:val="Odrazka2"/>
        <w:widowControl w:val="0"/>
        <w:numPr>
          <w:ilvl w:val="1"/>
          <w:numId w:val="13"/>
        </w:numPr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při </w:t>
      </w:r>
      <w:r>
        <w:rPr>
          <w:rFonts w:ascii="Arial" w:hAnsi="Arial" w:cs="Arial"/>
          <w:sz w:val="20"/>
          <w:szCs w:val="20"/>
        </w:rPr>
        <w:t>plnění této smlouvy opakovaně (soustavně) porušuje právní předpisy, regulace, technické standardy a normy České republiky či jiných států, k jejichž dodržování se touto smlouvou zavázal;</w:t>
      </w:r>
    </w:p>
    <w:p w:rsidR="001B4FA4" w:rsidRDefault="00AB4083">
      <w:pPr>
        <w:pStyle w:val="Odrazka2"/>
        <w:widowControl w:val="0"/>
        <w:numPr>
          <w:ilvl w:val="1"/>
          <w:numId w:val="13"/>
        </w:numPr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vybavení či jeho část nebude či v průběhu záruční doby přestane</w:t>
      </w:r>
      <w:r>
        <w:rPr>
          <w:rFonts w:ascii="Arial" w:hAnsi="Arial" w:cs="Arial"/>
          <w:sz w:val="20"/>
          <w:szCs w:val="20"/>
        </w:rPr>
        <w:t xml:space="preserve"> dosahovat minimálně funkcí a parametrů požadovaných kupujícím a uvedených v nabídce prodávajícího,</w:t>
      </w:r>
    </w:p>
    <w:p w:rsidR="001B4FA4" w:rsidRDefault="00AB4083">
      <w:pPr>
        <w:pStyle w:val="Odrazka2"/>
        <w:widowControl w:val="0"/>
        <w:numPr>
          <w:ilvl w:val="1"/>
          <w:numId w:val="13"/>
        </w:numPr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porušení této smlouvy ze strany prodávajícího takovým způsobem, že v jeho důsledku nemůže kupující dostát cílům, pro které smlouvu sjednal, nebo jestliže v </w:t>
      </w:r>
      <w:r>
        <w:rPr>
          <w:rFonts w:ascii="Arial" w:hAnsi="Arial" w:cs="Arial"/>
          <w:sz w:val="20"/>
          <w:szCs w:val="20"/>
        </w:rPr>
        <w:t>důsledku takového jednání prodávajícího vznikne kupujícímu větší škoda.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9.4.</w:t>
      </w:r>
      <w:r>
        <w:tab/>
        <w:t xml:space="preserve">Prodávající je oprávněn od smlouvy odstoupit v případě podstatného porušení </w:t>
      </w:r>
      <w:proofErr w:type="gramStart"/>
      <w:r>
        <w:t>smlouvy  stanoveném</w:t>
      </w:r>
      <w:proofErr w:type="gramEnd"/>
      <w:r>
        <w:t xml:space="preserve"> touto smlouvou, ač prodávající kupujícího na toto porušení písemně upozornil a posk</w:t>
      </w:r>
      <w:r>
        <w:t>ytl mu dostatečně dlouhou lhůtu k dodatečnému splnění této povinnosti.</w:t>
      </w:r>
    </w:p>
    <w:p w:rsidR="001B4FA4" w:rsidRDefault="00AB4083">
      <w:pPr>
        <w:pStyle w:val="Podnadpis"/>
        <w:numPr>
          <w:ilvl w:val="0"/>
          <w:numId w:val="0"/>
        </w:numPr>
        <w:ind w:left="30"/>
      </w:pPr>
      <w:r>
        <w:t>9.5.</w:t>
      </w:r>
      <w:r>
        <w:tab/>
        <w:t>Kupující je oprávněn od smlouvy odstoupit i pouze ve vztahu k části plnění (dodávky).</w:t>
      </w:r>
    </w:p>
    <w:p w:rsidR="001B4FA4" w:rsidRDefault="001B4FA4">
      <w:pPr>
        <w:spacing w:after="120"/>
        <w:rPr>
          <w:rFonts w:ascii="Arial" w:hAnsi="Arial" w:cs="Arial"/>
          <w:b/>
          <w:sz w:val="20"/>
        </w:rPr>
      </w:pPr>
    </w:p>
    <w:p w:rsidR="001B4FA4" w:rsidRDefault="00AB4083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10.</w:t>
      </w:r>
    </w:p>
    <w:p w:rsidR="001B4FA4" w:rsidRDefault="00AB4083">
      <w:pPr>
        <w:pStyle w:val="Nadpis1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Závěrečná ustanovení</w:t>
      </w:r>
    </w:p>
    <w:p w:rsidR="001B4FA4" w:rsidRDefault="00AB4083">
      <w:pPr>
        <w:pStyle w:val="Podnadpis"/>
        <w:numPr>
          <w:ilvl w:val="0"/>
          <w:numId w:val="0"/>
        </w:numPr>
        <w:ind w:left="708" w:hanging="708"/>
      </w:pPr>
      <w:r>
        <w:t>10.1.</w:t>
      </w:r>
      <w:r>
        <w:tab/>
        <w:t>Není-li výše v této smlouvě sjednáno jinak, tuto smlouv</w:t>
      </w:r>
      <w:r>
        <w:t xml:space="preserve">u lze měnit nebo zrušit pouze písemnou dohodou (dodatkem) smluvních stran. Změna smlouvy jinou </w:t>
      </w:r>
      <w:proofErr w:type="gramStart"/>
      <w:r>
        <w:t>formou</w:t>
      </w:r>
      <w:proofErr w:type="gramEnd"/>
      <w:r>
        <w:t xml:space="preserve"> než písemnou formou se nepřipouští, a to s výjimkou změny kontaktní osoby. Změnu kontaktních osob ze smlouvy je příslušná smluvní strana oprávněna provést</w:t>
      </w:r>
      <w:r>
        <w:t xml:space="preserve"> jejich prokazatelným sdělením druhé smluvní straně.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10.2.</w:t>
      </w:r>
      <w:r>
        <w:tab/>
        <w:t>Smluvní strany se zavazují, že jakékoliv spory vyplývající z této smlouvy budou řešit nejprve mírně. Za tím účelem se zejména zavazují podávat si bezodkladně jakákoliv vysvětlení nejasností a v pří</w:t>
      </w:r>
      <w:r>
        <w:t>padě potřeby se setkat za účelem smírného urovnání sporu. Pokud by nevedla smírná jednání k vyřešení sporu, všechny spory vznikající z této smlouvy a v souvislosti s ní budou rozhodovány s konečnou platností u obecných soudů České republiky.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10.3.</w:t>
      </w:r>
      <w:r>
        <w:tab/>
        <w:t>Tato sml</w:t>
      </w:r>
      <w:r>
        <w:t>ouva je vyhotovena a podepsána ve 2 stejnopisech, z nichž každá strana obdrží jeden stejnopis.</w:t>
      </w:r>
    </w:p>
    <w:p w:rsidR="001B4FA4" w:rsidRDefault="00AB4083">
      <w:pPr>
        <w:pStyle w:val="Podnadpis"/>
        <w:numPr>
          <w:ilvl w:val="0"/>
          <w:numId w:val="0"/>
        </w:numPr>
        <w:ind w:left="702" w:hanging="672"/>
      </w:pPr>
      <w:r>
        <w:t>10.4.</w:t>
      </w:r>
      <w:r>
        <w:tab/>
        <w:t xml:space="preserve">Smluvní strany svým podpisem potvrzují, že se seznámily s obsahem této smlouvy, nemají k ní připomínek a tuto uzavírají svobodně, vážně, vědomi si všech </w:t>
      </w:r>
      <w:r>
        <w:t>jejích důsledků. Zástupci smluvních stran výslovně prohlašují, že tuto smlouvu podepsali jako osoby oprávněné za smluvní strany jednat a tyto zavazovat.</w:t>
      </w:r>
    </w:p>
    <w:p w:rsidR="001B4FA4" w:rsidRDefault="00AB4083">
      <w:pPr>
        <w:pStyle w:val="Podnadpis"/>
        <w:numPr>
          <w:ilvl w:val="0"/>
          <w:numId w:val="0"/>
        </w:numPr>
        <w:ind w:left="30"/>
      </w:pPr>
      <w:r>
        <w:t>10.5.</w:t>
      </w:r>
      <w:r>
        <w:tab/>
        <w:t>Nedílnou součást této smlouvy tvoří následující přílohy:</w:t>
      </w:r>
    </w:p>
    <w:p w:rsidR="001B4FA4" w:rsidRDefault="00AB4083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Technická specifikace,</w:t>
      </w:r>
    </w:p>
    <w:p w:rsidR="001B4FA4" w:rsidRDefault="001B4FA4">
      <w:pPr>
        <w:pStyle w:val="Odstavecseseznamem"/>
        <w:spacing w:after="120"/>
        <w:jc w:val="both"/>
        <w:rPr>
          <w:rFonts w:ascii="Arial" w:hAnsi="Arial" w:cs="Arial"/>
        </w:rPr>
      </w:pPr>
    </w:p>
    <w:p w:rsidR="001B4FA4" w:rsidRDefault="00AB4083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sz w:val="20"/>
          <w:szCs w:val="20"/>
        </w:rPr>
        <w:t xml:space="preserve">V Jílovém u Prahy, dne </w:t>
      </w:r>
      <w:r w:rsidR="00FE4BB7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1.6.2023            </w:t>
      </w:r>
      <w:r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i w:val="0"/>
          <w:sz w:val="20"/>
          <w:szCs w:val="20"/>
          <w:shd w:val="clear" w:color="auto" w:fill="FFFFFF"/>
        </w:rPr>
        <w:t xml:space="preserve">Ve Lhotě dne </w:t>
      </w:r>
      <w:r w:rsidR="00913319">
        <w:t>01.06.2023</w:t>
      </w:r>
    </w:p>
    <w:p w:rsidR="001B4FA4" w:rsidRDefault="00AB4083">
      <w:pPr>
        <w:pStyle w:val="Nadpis5"/>
        <w:spacing w:before="0" w:after="120"/>
        <w:jc w:val="both"/>
        <w:rPr>
          <w:shd w:val="clear" w:color="auto" w:fill="FFFFFF"/>
        </w:rPr>
      </w:pPr>
      <w:r>
        <w:rPr>
          <w:rFonts w:ascii="Arial" w:hAnsi="Arial" w:cs="Arial"/>
          <w:b w:val="0"/>
          <w:i w:val="0"/>
          <w:iCs w:val="0"/>
          <w:sz w:val="20"/>
          <w:szCs w:val="20"/>
          <w:shd w:val="clear" w:color="auto" w:fill="FFFFFF"/>
        </w:rPr>
        <w:t>Za kupujícího:</w:t>
      </w:r>
      <w:r>
        <w:rPr>
          <w:rFonts w:ascii="Arial" w:hAnsi="Arial" w:cs="Arial"/>
          <w:b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             Za prodávajícího:</w:t>
      </w:r>
    </w:p>
    <w:p w:rsidR="001B4FA4" w:rsidRDefault="00AB4083">
      <w:pPr>
        <w:spacing w:after="120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___________________________</w:t>
      </w:r>
      <w:r>
        <w:rPr>
          <w:rFonts w:ascii="Arial" w:hAnsi="Arial" w:cs="Arial"/>
          <w:sz w:val="20"/>
          <w:shd w:val="clear" w:color="auto" w:fill="FFFFFF"/>
        </w:rPr>
        <w:tab/>
      </w:r>
      <w:r>
        <w:rPr>
          <w:rFonts w:ascii="Arial" w:hAnsi="Arial" w:cs="Arial"/>
          <w:sz w:val="20"/>
          <w:shd w:val="clear" w:color="auto" w:fill="FFFFFF"/>
        </w:rPr>
        <w:tab/>
      </w:r>
      <w:r>
        <w:rPr>
          <w:rFonts w:ascii="Arial" w:hAnsi="Arial" w:cs="Arial"/>
          <w:sz w:val="20"/>
          <w:shd w:val="clear" w:color="auto" w:fill="FFFFFF"/>
        </w:rPr>
        <w:tab/>
        <w:t>____________________________</w:t>
      </w:r>
    </w:p>
    <w:p w:rsidR="001B4FA4" w:rsidRDefault="00AB4083">
      <w:pPr>
        <w:spacing w:after="120"/>
        <w:jc w:val="both"/>
        <w:rPr>
          <w:shd w:val="clear" w:color="auto" w:fill="FFFFFF"/>
        </w:rPr>
      </w:pPr>
      <w:r>
        <w:rPr>
          <w:rFonts w:ascii="Arial" w:hAnsi="Arial" w:cs="Arial"/>
          <w:b/>
          <w:bCs/>
          <w:iCs/>
          <w:sz w:val="20"/>
          <w:shd w:val="clear" w:color="auto" w:fill="FFFFFF"/>
        </w:rPr>
        <w:t xml:space="preserve">Střední odborná škola </w:t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fldChar w:fldCharType="begin">
          <w:ffData>
            <w:name w:val="Text752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instrText>FORMTEXT</w:instrText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fldChar w:fldCharType="separate"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>Amerex trade s.r.o.</w:t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fldChar w:fldCharType="end"/>
      </w:r>
    </w:p>
    <w:p w:rsidR="001B4FA4" w:rsidRDefault="00AB4083">
      <w:pPr>
        <w:spacing w:after="120"/>
        <w:jc w:val="both"/>
        <w:rPr>
          <w:shd w:val="clear" w:color="auto" w:fill="FFFFFF"/>
        </w:rPr>
      </w:pPr>
      <w:r>
        <w:rPr>
          <w:rFonts w:ascii="Arial" w:hAnsi="Arial" w:cs="Arial"/>
          <w:b/>
          <w:bCs/>
          <w:iCs/>
          <w:sz w:val="20"/>
          <w:shd w:val="clear" w:color="auto" w:fill="FFFFFF"/>
        </w:rPr>
        <w:t xml:space="preserve">a Střední odborné učiliště, Jílové u Prahy </w:t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  <w:t>Jaroslav Skala</w:t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iCs/>
          <w:sz w:val="20"/>
          <w:shd w:val="clear" w:color="auto" w:fill="FFFFFF"/>
        </w:rPr>
        <w:tab/>
      </w:r>
    </w:p>
    <w:p w:rsidR="001B4FA4" w:rsidRDefault="00AB4083">
      <w:pPr>
        <w:spacing w:after="120"/>
        <w:jc w:val="both"/>
        <w:rPr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Cs/>
          <w:sz w:val="20"/>
          <w:shd w:val="clear" w:color="auto" w:fill="FFFFFF"/>
        </w:rPr>
        <w:t>Šenflukova</w:t>
      </w:r>
      <w:proofErr w:type="spellEnd"/>
      <w:r>
        <w:rPr>
          <w:rFonts w:ascii="Arial" w:hAnsi="Arial" w:cs="Arial"/>
          <w:b/>
          <w:bCs/>
          <w:iCs/>
          <w:sz w:val="20"/>
          <w:shd w:val="clear" w:color="auto" w:fill="FFFFFF"/>
        </w:rPr>
        <w:t xml:space="preserve"> 220, 254 01 Jílové u Prahy                                      jednatel společnosti</w:t>
      </w:r>
    </w:p>
    <w:p w:rsidR="001B4FA4" w:rsidRDefault="00AB4083">
      <w:pPr>
        <w:spacing w:after="120"/>
        <w:jc w:val="both"/>
        <w:rPr>
          <w:shd w:val="clear" w:color="auto" w:fill="FFFFFF"/>
        </w:rPr>
      </w:pPr>
      <w:r>
        <w:rPr>
          <w:rFonts w:ascii="Arial" w:hAnsi="Arial" w:cs="Arial"/>
          <w:b/>
          <w:sz w:val="20"/>
          <w:shd w:val="clear" w:color="auto" w:fill="FFFFFF"/>
        </w:rPr>
        <w:t>Mgr. Radek Coufal, ř</w:t>
      </w:r>
      <w:r>
        <w:rPr>
          <w:rFonts w:ascii="Arial" w:hAnsi="Arial" w:cs="Arial"/>
          <w:b/>
          <w:sz w:val="20"/>
          <w:shd w:val="clear" w:color="auto" w:fill="FFFFFF"/>
        </w:rPr>
        <w:t>editel</w:t>
      </w: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  <w:shd w:val="clear" w:color="auto" w:fill="FFFFFF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  <w:sectPr w:rsidR="001B4FA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1B4FA4" w:rsidRDefault="00AB40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Příloha č. 1 – Technická specifikace</w:t>
      </w:r>
    </w:p>
    <w:tbl>
      <w:tblPr>
        <w:tblW w:w="136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702"/>
        <w:gridCol w:w="1360"/>
        <w:gridCol w:w="1140"/>
        <w:gridCol w:w="1300"/>
        <w:gridCol w:w="3329"/>
        <w:gridCol w:w="2559"/>
      </w:tblGrid>
      <w:tr w:rsidR="001B4FA4">
        <w:trPr>
          <w:trHeight w:val="288"/>
        </w:trPr>
        <w:tc>
          <w:tcPr>
            <w:tcW w:w="3209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Vybavení cukrářské dílny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588"/>
        </w:trPr>
        <w:tc>
          <w:tcPr>
            <w:tcW w:w="3209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564"/>
        </w:trPr>
        <w:tc>
          <w:tcPr>
            <w:tcW w:w="32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Název produktu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Počet kusů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Pr="00FA3322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3322">
              <w:rPr>
                <w:rFonts w:ascii="Calibri" w:hAnsi="Calibri" w:cs="Calibri"/>
                <w:b/>
                <w:bCs/>
                <w:color w:val="000000"/>
                <w:szCs w:val="24"/>
              </w:rPr>
              <w:t>Cena bez DPH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Pr="00FA3322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3322">
              <w:rPr>
                <w:rFonts w:ascii="Calibri" w:hAnsi="Calibri" w:cs="Calibri"/>
                <w:b/>
                <w:bCs/>
                <w:color w:val="000000"/>
                <w:szCs w:val="24"/>
              </w:rPr>
              <w:t>DPH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Pr="00FA3322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A3322">
              <w:rPr>
                <w:rFonts w:ascii="Calibri" w:hAnsi="Calibri" w:cs="Calibri"/>
                <w:b/>
                <w:bCs/>
                <w:color w:val="000000"/>
                <w:szCs w:val="24"/>
              </w:rPr>
              <w:t>Cena s DPH</w:t>
            </w:r>
          </w:p>
        </w:tc>
        <w:tc>
          <w:tcPr>
            <w:tcW w:w="33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Technická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specifikace</w:t>
            </w: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Poznámka</w:t>
            </w:r>
          </w:p>
        </w:tc>
      </w:tr>
      <w:tr w:rsidR="001B4FA4" w:rsidTr="00FA3322">
        <w:trPr>
          <w:trHeight w:val="330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Chladící vitrína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– 250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45999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9659,79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55658,79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Chladící vitrína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DPD903F Black</w:t>
            </w:r>
          </w:p>
        </w:tc>
      </w:tr>
      <w:tr w:rsidR="001B4FA4" w:rsidTr="00FA3322">
        <w:trPr>
          <w:trHeight w:val="288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Chladicí box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92457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19415,97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111872,97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2.Chladící box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Tefcold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210x300x200</w:t>
            </w:r>
          </w:p>
        </w:tc>
      </w:tr>
      <w:tr w:rsidR="001B4FA4" w:rsidTr="00FA3322">
        <w:trPr>
          <w:trHeight w:val="288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Chladící jednotka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8820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50820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Chladící jednotka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MHM012P</w:t>
            </w:r>
          </w:p>
        </w:tc>
      </w:tr>
      <w:tr w:rsidR="001B4FA4" w:rsidTr="00FA3322">
        <w:trPr>
          <w:trHeight w:val="576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Regálová sestava do chladicího boxu ve tvaru U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36380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7639,8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44019,8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Regálová sestava do chladicího boxu ve tvaru U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RM577/1700</w:t>
            </w:r>
          </w:p>
        </w:tc>
      </w:tr>
      <w:tr w:rsidR="001B4FA4" w:rsidTr="00FA3322">
        <w:trPr>
          <w:trHeight w:val="576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Pracovní stůl nerezový s policí vespod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4095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23595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Pracovní nerezový stůl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Nerezová výroba</w:t>
            </w:r>
          </w:p>
        </w:tc>
      </w:tr>
      <w:tr w:rsidR="001B4FA4" w:rsidTr="00FA3322">
        <w:trPr>
          <w:trHeight w:val="423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 El.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pekařská/cukrářská pec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169640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35624,4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205264,4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 Elektrická pekařská/cukrářská pec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Delimaster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DM 5</w:t>
            </w:r>
          </w:p>
        </w:tc>
      </w:tr>
      <w:tr w:rsidR="001B4FA4" w:rsidTr="00FA3322">
        <w:trPr>
          <w:trHeight w:val="576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 Podstavec pod pec nerezový se vsuny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16500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19965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 Podstavec pod pec nerezový se vsuny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STDM5</w:t>
            </w:r>
          </w:p>
        </w:tc>
      </w:tr>
      <w:tr w:rsidR="001B4FA4" w:rsidTr="00FA3322">
        <w:trPr>
          <w:trHeight w:val="288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 Plechy smaltované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5690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1194,9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6884,9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 Plechy smaltované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B4FA4" w:rsidTr="00FA3322">
        <w:trPr>
          <w:trHeight w:val="288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Plechy hliníkové děrované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16575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3480,75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20055,75</w:t>
            </w:r>
          </w:p>
        </w:tc>
        <w:tc>
          <w:tcPr>
            <w:tcW w:w="3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Plechy hliníkové, děrované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retigo</w:t>
            </w:r>
            <w:proofErr w:type="spellEnd"/>
          </w:p>
        </w:tc>
      </w:tr>
      <w:tr w:rsidR="001B4FA4" w:rsidTr="00FA3322">
        <w:trPr>
          <w:trHeight w:val="300"/>
        </w:trPr>
        <w:tc>
          <w:tcPr>
            <w:tcW w:w="32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Doprava a instalace, montáž.</w:t>
            </w:r>
          </w:p>
        </w:tc>
        <w:tc>
          <w:tcPr>
            <w:tcW w:w="7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23500</w:t>
            </w:r>
          </w:p>
        </w:tc>
        <w:tc>
          <w:tcPr>
            <w:tcW w:w="114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4935</w:t>
            </w:r>
          </w:p>
        </w:tc>
        <w:tc>
          <w:tcPr>
            <w:tcW w:w="130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28435</w:t>
            </w:r>
          </w:p>
        </w:tc>
        <w:tc>
          <w:tcPr>
            <w:tcW w:w="332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1B4FA4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amerex</w:t>
            </w:r>
            <w:proofErr w:type="spellEnd"/>
          </w:p>
        </w:tc>
      </w:tr>
      <w:tr w:rsidR="001B4FA4" w:rsidTr="00FA3322">
        <w:trPr>
          <w:trHeight w:val="564"/>
        </w:trPr>
        <w:tc>
          <w:tcPr>
            <w:tcW w:w="32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1B4FA4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468241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98330,61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FA4" w:rsidRPr="00FA3322" w:rsidRDefault="00AB4083" w:rsidP="00FA3322">
            <w:pPr>
              <w:widowControl w:val="0"/>
              <w:overflowPunct w:val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322">
              <w:rPr>
                <w:rFonts w:ascii="Calibri" w:hAnsi="Calibri" w:cs="Calibri"/>
                <w:color w:val="000000"/>
                <w:sz w:val="22"/>
                <w:szCs w:val="22"/>
              </w:rPr>
              <w:t>566571,61</w:t>
            </w:r>
          </w:p>
        </w:tc>
        <w:tc>
          <w:tcPr>
            <w:tcW w:w="33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1B4FA4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FA4" w:rsidRDefault="001B4FA4" w:rsidP="00FA3322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B4FA4" w:rsidRDefault="001B4FA4" w:rsidP="00FA3322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  <w:sectPr w:rsidR="001B4FA4">
          <w:headerReference w:type="default" r:id="rId10"/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tbl>
      <w:tblPr>
        <w:tblW w:w="92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0"/>
      </w:tblGrid>
      <w:tr w:rsidR="001B4FA4">
        <w:trPr>
          <w:trHeight w:val="288"/>
        </w:trPr>
        <w:tc>
          <w:tcPr>
            <w:tcW w:w="9260" w:type="dxa"/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1. Chladící vitrína</w:t>
            </w:r>
          </w:p>
        </w:tc>
      </w:tr>
      <w:tr w:rsidR="001B4FA4">
        <w:trPr>
          <w:trHeight w:val="288"/>
        </w:trPr>
        <w:tc>
          <w:tcPr>
            <w:tcW w:w="9260" w:type="dxa"/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Specifikace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Objem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200 - 250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Vnější hloubka 70-80 cm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Vnější výška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100 - 150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Vnější šířka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80 - 100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Teplotní rozsah +2 až +8 °C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Výstavní plocha 2 -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  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²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a typ dveří 2 posuvné prosklené dveře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Materiál dveří: tvrzené sklo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polic: 3 skleněné police + základna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Nožky / nohy 4 nastavitelné nožky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Vnější i vnitřní materiál: nerezová ocel / sklo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Napětí 230 V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Hlučnost 48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(A)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černé provedení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ventilované chlazení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digitální termostat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odtávání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vnitřní LED osvětlení pod každou policí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čelní a boční izolační skla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nastavitelné skleněné police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zadní posuvná skleněná dvířka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kolečka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energetická třída D</w:t>
            </w:r>
          </w:p>
        </w:tc>
      </w:tr>
      <w:tr w:rsidR="001B4FA4">
        <w:trPr>
          <w:trHeight w:val="288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Záruční lhůta minimálně 2 roky</w:t>
            </w:r>
          </w:p>
        </w:tc>
      </w:tr>
      <w:tr w:rsidR="001B4FA4">
        <w:trPr>
          <w:trHeight w:hRule="exact" w:val="288"/>
        </w:trPr>
        <w:tc>
          <w:tcPr>
            <w:tcW w:w="926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Funkce:</w:t>
            </w:r>
          </w:p>
        </w:tc>
      </w:tr>
      <w:tr w:rsidR="001B4FA4">
        <w:trPr>
          <w:trHeight w:val="2016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Ventilované chlazení: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chladící prostor je vychlazovaný výparníkem a pomocí vestavěného ventilátoru dochází k rychlému a výkonnému chlazení, které zaručuje rovnoměrnou teplotu v celém chladícím prostoru.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Vestavěný agregát ovládaný digitálním termostatem s ukazatelem teploty v 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ladícím prostoru.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Automatické odtávání výparníku zaručuje nenáročnou údržbu vitríny.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Propracované nerezové černé provedení s vnitřními LED osvětleními prezentuje vystavené produkty, vhodné především pro cukrářské výrobky.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tbl>
      <w:tblPr>
        <w:tblW w:w="94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B4FA4">
        <w:trPr>
          <w:trHeight w:val="288"/>
        </w:trPr>
        <w:tc>
          <w:tcPr>
            <w:tcW w:w="946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2. Chladící box</w:t>
            </w:r>
          </w:p>
        </w:tc>
      </w:tr>
      <w:tr w:rsidR="001B4FA4">
        <w:trPr>
          <w:trHeight w:val="288"/>
        </w:trPr>
        <w:tc>
          <w:tcPr>
            <w:tcW w:w="946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Specifikace: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zámkový systém spojování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snadná montáž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účinná polyuretanová izolace zaručující nízkou spotřebu energie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mnoho možností úpravy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snadný přístup k produktům</w:t>
            </w:r>
          </w:p>
        </w:tc>
      </w:tr>
      <w:tr w:rsidR="001B4FA4">
        <w:trPr>
          <w:trHeight w:val="576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podlaha je složená z nerezového protiskluzového plechu o síle 1 mm, z pozinkovaného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plechu a polyuretanové izolace o hustotě 42 kg/m3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chladicí jednotky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vnitřní a venkovní nátěr je v souladu s hygienickými předpisy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otevírání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dveří - doprava</w:t>
            </w:r>
            <w:proofErr w:type="gramEnd"/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umístění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dvěří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vlevo 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šírší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straně boxu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3000cm</w:t>
            </w:r>
            <w:proofErr w:type="gramEnd"/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křídlové, plné dveře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plastové lamely 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průchodu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šíře izolace: 80 mm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hustota izolace: 42 kg/m3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vnější rozměry (š x h x v): šíře: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210 - 220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cm, hloubka 300 - 320 cm, výška 210 - 220 cm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váha:400 -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500kg</w:t>
            </w:r>
            <w:proofErr w:type="gramEnd"/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Záruční lhůta minimálně 2 roky</w:t>
            </w:r>
          </w:p>
        </w:tc>
      </w:tr>
      <w:tr w:rsidR="001B4FA4">
        <w:trPr>
          <w:trHeight w:hRule="exact" w:val="288"/>
        </w:trPr>
        <w:tc>
          <w:tcPr>
            <w:tcW w:w="946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Funkce:</w:t>
            </w:r>
          </w:p>
        </w:tc>
      </w:tr>
      <w:tr w:rsidR="001B4FA4">
        <w:trPr>
          <w:trHeight w:val="172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Stavebnicový chladicí box s jednoduchou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rychlou montáží se zámkovým systémem spojování. Stavebnicové boxy se dají jednoduše rozebrat a následně znovu složit. Vnitřní a venkovní nátěr je v souladu s hygienickými předpisy, izolace je vysokotlaká polyuretanová bez freonů. Variabilní možnost sestave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ní boxu. Podlaha je složená z nerezového protiskluzového plechu o síle 1 mm, z pozinkovaného plechu a polyuretanové izolace o hustotě 42 kg/m3. Účinná polyuretanová izolace zaručuje nízkou spotřebu energie. Box není vybaven chladicí jednotkou.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tbl>
      <w:tblPr>
        <w:tblW w:w="105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1B4FA4">
        <w:trPr>
          <w:trHeight w:val="288"/>
        </w:trPr>
        <w:tc>
          <w:tcPr>
            <w:tcW w:w="1054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3.Chladící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jednotka</w:t>
            </w:r>
          </w:p>
        </w:tc>
      </w:tr>
      <w:tr w:rsidR="001B4FA4">
        <w:trPr>
          <w:trHeight w:val="288"/>
        </w:trPr>
        <w:tc>
          <w:tcPr>
            <w:tcW w:w="1054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Specifikace: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ventilované chlazení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chladivo R290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hermetický kompresor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výkon 6,7 - 13,6 m3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Množství chladiva: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130-160g</w:t>
            </w:r>
            <w:proofErr w:type="gramEnd"/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Příkon: 780 -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800W</w:t>
            </w:r>
            <w:proofErr w:type="gramEnd"/>
          </w:p>
        </w:tc>
      </w:tr>
      <w:tr w:rsidR="001B4FA4">
        <w:trPr>
          <w:trHeight w:val="300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Teplotní rozsah: -5 až + 4 °C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Hrubá váha 60 -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70kg</w:t>
            </w:r>
            <w:proofErr w:type="gramEnd"/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Napětí / Frekvence: 220-240/50VHz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Přepravní </w:t>
            </w:r>
            <w:r>
              <w:rPr>
                <w:rFonts w:ascii="Arial" w:hAnsi="Arial" w:cs="Arial"/>
                <w:color w:val="000000"/>
                <w:sz w:val="20"/>
              </w:rPr>
              <w:t>kontejner 40 stop: 100 - 104ks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Rozměry balení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ŠxHxV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): šíře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390-400mm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, hloubka 795 - 800mm, výška 710-730mm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Termometr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Typ ovládání: elektronicky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Záruční lhůta minimálně 2 roky</w:t>
            </w:r>
          </w:p>
        </w:tc>
      </w:tr>
      <w:tr w:rsidR="001B4FA4">
        <w:trPr>
          <w:trHeight w:val="288"/>
        </w:trPr>
        <w:tc>
          <w:tcPr>
            <w:tcW w:w="1054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Funkce: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Chladící jednotka zaručí ventilované chlazení chladících boxů, </w:t>
            </w:r>
            <w:r>
              <w:rPr>
                <w:rFonts w:ascii="Arial" w:hAnsi="Arial" w:cs="Arial"/>
                <w:color w:val="000000"/>
                <w:sz w:val="20"/>
              </w:rPr>
              <w:t>hermetický kompresor.</w:t>
            </w:r>
          </w:p>
        </w:tc>
      </w:tr>
      <w:tr w:rsidR="001B4FA4">
        <w:trPr>
          <w:trHeight w:hRule="exact" w:val="288"/>
        </w:trPr>
        <w:tc>
          <w:tcPr>
            <w:tcW w:w="1054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10540" w:type="dxa"/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Regálová sestava do chladicího boxu ve tvaru U</w:t>
            </w:r>
          </w:p>
        </w:tc>
      </w:tr>
      <w:tr w:rsidR="001B4FA4">
        <w:trPr>
          <w:trHeight w:val="288"/>
        </w:trPr>
        <w:tc>
          <w:tcPr>
            <w:tcW w:w="1054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Specifikace: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Materiál: vysoce pevnostní plast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Složení: 3 regály, 3x4police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Rozměry: hloubka 577, výška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1700mm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tvaru U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Nastavitelné nožičky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rozebrání, variabilita</w:t>
            </w:r>
          </w:p>
        </w:tc>
      </w:tr>
      <w:tr w:rsidR="001B4FA4">
        <w:trPr>
          <w:trHeight w:val="288"/>
        </w:trPr>
        <w:tc>
          <w:tcPr>
            <w:tcW w:w="10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Záruční lhůta minimálně 2 roky</w:t>
            </w:r>
          </w:p>
        </w:tc>
      </w:tr>
      <w:tr w:rsidR="001B4FA4">
        <w:trPr>
          <w:trHeight w:hRule="exact" w:val="288"/>
        </w:trPr>
        <w:tc>
          <w:tcPr>
            <w:tcW w:w="1054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1054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Funkce:</w:t>
            </w:r>
          </w:p>
        </w:tc>
      </w:tr>
      <w:tr w:rsidR="001B4FA4">
        <w:trPr>
          <w:trHeight w:val="864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Regálový systém do chladicího boxu slouží ke skladování jak u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suchých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vlhkých materiálů i černého nádobí, je dobře udržovatelný, rozebíratelný, výška polic lze nastavit, police jsou odlehčeny děrovaným profilem. Celý regálový systém je z vysoce pevnostního plastu.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tbl>
      <w:tblPr>
        <w:tblW w:w="92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1B4FA4">
        <w:trPr>
          <w:trHeight w:val="288"/>
        </w:trPr>
        <w:tc>
          <w:tcPr>
            <w:tcW w:w="924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5.Pracovní nerezový stůl</w:t>
            </w:r>
          </w:p>
        </w:tc>
      </w:tr>
      <w:tr w:rsidR="001B4FA4">
        <w:trPr>
          <w:trHeight w:val="288"/>
        </w:trPr>
        <w:tc>
          <w:tcPr>
            <w:tcW w:w="924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Specifikace:</w:t>
            </w:r>
          </w:p>
        </w:tc>
      </w:tr>
      <w:tr w:rsidR="001B4FA4">
        <w:trPr>
          <w:trHeight w:val="28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Materiál: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nerez ocel</w:t>
            </w:r>
          </w:p>
        </w:tc>
      </w:tr>
      <w:tr w:rsidR="001B4FA4">
        <w:trPr>
          <w:trHeight w:val="288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Hloubka 80 cm</w:t>
            </w:r>
          </w:p>
        </w:tc>
      </w:tr>
      <w:tr w:rsidR="001B4FA4">
        <w:trPr>
          <w:trHeight w:val="288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Výška 90 cm</w:t>
            </w:r>
          </w:p>
        </w:tc>
      </w:tr>
      <w:tr w:rsidR="001B4FA4">
        <w:trPr>
          <w:trHeight w:val="288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Šířka 220 cm</w:t>
            </w:r>
          </w:p>
        </w:tc>
      </w:tr>
      <w:tr w:rsidR="001B4FA4">
        <w:trPr>
          <w:trHeight w:val="288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Police ve spodní části stolu</w:t>
            </w:r>
          </w:p>
        </w:tc>
      </w:tr>
      <w:tr w:rsidR="001B4FA4">
        <w:trPr>
          <w:trHeight w:val="288"/>
        </w:trPr>
        <w:tc>
          <w:tcPr>
            <w:tcW w:w="9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Záruční lhůta minimálně 2 roky</w:t>
            </w:r>
          </w:p>
        </w:tc>
      </w:tr>
      <w:tr w:rsidR="001B4FA4">
        <w:trPr>
          <w:trHeight w:hRule="exact" w:val="288"/>
        </w:trPr>
        <w:tc>
          <w:tcPr>
            <w:tcW w:w="924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924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Funkce:</w:t>
            </w:r>
          </w:p>
        </w:tc>
      </w:tr>
      <w:tr w:rsidR="001B4FA4">
        <w:trPr>
          <w:trHeight w:val="576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nerezový stůl se policí ve spodní části stolu, slouží pro výrobu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curkřáských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potravinářských výrobků. Stůl je bez zadního lemu, pevný a dobře udržovatelný.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tbl>
      <w:tblPr>
        <w:tblW w:w="94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B4FA4">
        <w:trPr>
          <w:trHeight w:val="288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6.Elektrická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pekářská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/cukrářská pec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Technická specifikace: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Elektrická cukrářská pec s i injekčním vyvíjením páry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Užitná kapacita: 5 x GN 600 x 400 nebo modifikace na 5 </w:t>
            </w:r>
            <w:r>
              <w:rPr>
                <w:rFonts w:ascii="Arial" w:hAnsi="Arial" w:cs="Arial"/>
                <w:color w:val="000000"/>
                <w:sz w:val="20"/>
              </w:rPr>
              <w:t>x GN 1/1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Rozsah teplot: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30°C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až 300°C bez omezení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Rozměry zařízení: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šíře 900-940 mm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výška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780 - 790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mm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hloubka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860 - 870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mm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Celkový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příkon :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od10kW do 10,3 kW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Napájení: 3 N~/400 V/50 Hz splňuje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Váha: 105-115 kg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Přípojka vody (mm): G ¾“ / 50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Provedení: AISI304 nerezová ocel v celém provedení</w:t>
            </w:r>
          </w:p>
        </w:tc>
      </w:tr>
      <w:tr w:rsidR="001B4FA4">
        <w:trPr>
          <w:trHeight w:hRule="exact" w:val="288"/>
        </w:trPr>
        <w:tc>
          <w:tcPr>
            <w:tcW w:w="9460" w:type="dxa"/>
            <w:shd w:val="clear" w:color="auto" w:fill="auto"/>
            <w:vAlign w:val="center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4FA4">
        <w:trPr>
          <w:trHeight w:val="288"/>
        </w:trPr>
        <w:tc>
          <w:tcPr>
            <w:tcW w:w="946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Funkce: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Nabídka cukrářských technologií s možností jejich úpravy a modifikace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Ovládání pomocí dotykového panelu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Automatické mytí na sypké detergenty (prášek)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Příčné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zásuvy</w:t>
            </w:r>
            <w:proofErr w:type="spellEnd"/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Minimálně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500 - 1000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programů s 20 kroky, komunikace v češtině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Horký vzduch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30 – 300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o C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Kombinovaný režim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30 – 300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o C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Vaření v páře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30 – 130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o C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Minimálně 4.bodová teplotní sonda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Rychlá volba programů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Klapka pro odtah vlhkosti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 možnosti vložení do programu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Auto </w:t>
            </w:r>
            <w:r>
              <w:rPr>
                <w:rFonts w:ascii="Arial" w:hAnsi="Arial" w:cs="Arial"/>
                <w:color w:val="000000"/>
                <w:sz w:val="20"/>
              </w:rPr>
              <w:t>klima – kontrola sytosti páry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Rychlé zchlazení varného prostoru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Automatický předehřev/zchlazení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Automatický start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 rychlostí ventilátoru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Časování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zásuvů</w:t>
            </w:r>
            <w:proofErr w:type="spellEnd"/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Integrovaná sprcha pro snadné čištění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Automatické řízení kapacity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Servisní a diagnostický </w:t>
            </w:r>
            <w:r>
              <w:rPr>
                <w:rFonts w:ascii="Arial" w:hAnsi="Arial" w:cs="Arial"/>
                <w:color w:val="000000"/>
                <w:sz w:val="20"/>
              </w:rPr>
              <w:t>systém pro automatické vyhodnocení chyb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Okamžitý HACCP výpis a výpis spotřeby energie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Zaškolení obsluhy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Automatický změkčovač na 10L s regenerací 1-12 dnů, elektronický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Záruční lhůta minimálně 2 roky</w:t>
            </w:r>
          </w:p>
        </w:tc>
      </w:tr>
      <w:tr w:rsidR="001B4FA4">
        <w:trPr>
          <w:trHeight w:val="288"/>
        </w:trPr>
        <w:tc>
          <w:tcPr>
            <w:tcW w:w="9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Servis do 24 hodin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tbl>
      <w:tblPr>
        <w:tblW w:w="91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0"/>
      </w:tblGrid>
      <w:tr w:rsidR="001B4FA4">
        <w:trPr>
          <w:trHeight w:val="264"/>
        </w:trPr>
        <w:tc>
          <w:tcPr>
            <w:tcW w:w="912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7.Podstavec pod pec nerezový 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 vsuny</w:t>
            </w:r>
          </w:p>
        </w:tc>
      </w:tr>
      <w:tr w:rsidR="001B4FA4">
        <w:trPr>
          <w:trHeight w:val="288"/>
        </w:trPr>
        <w:tc>
          <w:tcPr>
            <w:tcW w:w="912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Technická specifikace:</w:t>
            </w:r>
          </w:p>
        </w:tc>
      </w:tr>
      <w:tr w:rsidR="001B4FA4">
        <w:trPr>
          <w:trHeight w:val="288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Materiál: nerez ocel</w:t>
            </w:r>
          </w:p>
        </w:tc>
      </w:tr>
      <w:tr w:rsidR="001B4FA4">
        <w:trPr>
          <w:trHeight w:val="288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vsuvů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pro plechy: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8 - 10</w:t>
            </w:r>
            <w:proofErr w:type="gramEnd"/>
          </w:p>
        </w:tc>
      </w:tr>
      <w:tr w:rsidR="001B4FA4">
        <w:trPr>
          <w:trHeight w:val="288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Rozměry podstavce pod pec:</w:t>
            </w:r>
          </w:p>
        </w:tc>
      </w:tr>
      <w:tr w:rsidR="001B4FA4">
        <w:trPr>
          <w:trHeight w:val="288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šíře 770-775 mm</w:t>
            </w:r>
          </w:p>
        </w:tc>
      </w:tr>
      <w:tr w:rsidR="001B4FA4">
        <w:trPr>
          <w:trHeight w:val="288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výška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700 -705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mm</w:t>
            </w:r>
          </w:p>
        </w:tc>
      </w:tr>
      <w:tr w:rsidR="001B4FA4">
        <w:trPr>
          <w:trHeight w:val="288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hloubka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520 - 530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mm</w:t>
            </w:r>
          </w:p>
        </w:tc>
      </w:tr>
      <w:tr w:rsidR="001B4FA4">
        <w:trPr>
          <w:trHeight w:val="288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Záruční lhůta minimálně 2 roky</w:t>
            </w:r>
          </w:p>
        </w:tc>
      </w:tr>
      <w:tr w:rsidR="001B4FA4">
        <w:trPr>
          <w:trHeight w:val="288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Nosnost: min.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200kg</w:t>
            </w:r>
            <w:proofErr w:type="gramEnd"/>
          </w:p>
        </w:tc>
      </w:tr>
      <w:tr w:rsidR="001B4FA4">
        <w:trPr>
          <w:trHeight w:hRule="exact" w:val="288"/>
        </w:trPr>
        <w:tc>
          <w:tcPr>
            <w:tcW w:w="912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912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Funkce:</w:t>
            </w:r>
          </w:p>
        </w:tc>
      </w:tr>
      <w:tr w:rsidR="001B4FA4">
        <w:trPr>
          <w:trHeight w:val="54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Horní plocha </w:t>
            </w:r>
            <w:r>
              <w:rPr>
                <w:rFonts w:ascii="Arial" w:hAnsi="Arial" w:cs="Arial"/>
                <w:color w:val="000000"/>
                <w:sz w:val="20"/>
              </w:rPr>
              <w:t>podstavce slouží k umístění pekařské/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cukrárské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pece, spodní část 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vsuvy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slouží k umístění plechů s pečivem. Celý podstavec je z nerezové oceli, dobře udržovatelný a omyvatelný.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tbl>
      <w:tblPr>
        <w:tblW w:w="86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0"/>
      </w:tblGrid>
      <w:tr w:rsidR="001B4FA4">
        <w:trPr>
          <w:trHeight w:val="288"/>
        </w:trPr>
        <w:tc>
          <w:tcPr>
            <w:tcW w:w="860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8. Plechy smaltované</w:t>
            </w:r>
          </w:p>
        </w:tc>
      </w:tr>
      <w:tr w:rsidR="001B4FA4">
        <w:trPr>
          <w:trHeight w:val="288"/>
        </w:trPr>
        <w:tc>
          <w:tcPr>
            <w:tcW w:w="860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Technická specifikace:</w:t>
            </w:r>
          </w:p>
        </w:tc>
      </w:tr>
      <w:tr w:rsidR="001B4FA4">
        <w:trPr>
          <w:trHeight w:val="288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Materiál: smaltovaný</w:t>
            </w:r>
          </w:p>
        </w:tc>
      </w:tr>
      <w:tr w:rsidR="001B4FA4">
        <w:trPr>
          <w:trHeight w:val="288"/>
        </w:trPr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Rozměry:</w:t>
            </w:r>
          </w:p>
        </w:tc>
      </w:tr>
      <w:tr w:rsidR="001B4FA4">
        <w:trPr>
          <w:trHeight w:val="288"/>
        </w:trPr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šíře 400 mm</w:t>
            </w:r>
          </w:p>
        </w:tc>
      </w:tr>
      <w:tr w:rsidR="001B4FA4">
        <w:trPr>
          <w:trHeight w:val="288"/>
        </w:trPr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výška 600 mm</w:t>
            </w:r>
          </w:p>
        </w:tc>
      </w:tr>
      <w:tr w:rsidR="001B4FA4">
        <w:trPr>
          <w:trHeight w:val="288"/>
        </w:trPr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hloubka 40 mm</w:t>
            </w:r>
          </w:p>
        </w:tc>
      </w:tr>
      <w:tr w:rsidR="001B4FA4">
        <w:trPr>
          <w:trHeight w:val="288"/>
        </w:trPr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Záruční lhůta minimálně 2 roky</w:t>
            </w:r>
          </w:p>
        </w:tc>
      </w:tr>
      <w:tr w:rsidR="001B4FA4">
        <w:trPr>
          <w:trHeight w:hRule="exact" w:val="288"/>
        </w:trPr>
        <w:tc>
          <w:tcPr>
            <w:tcW w:w="860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Funkce:</w:t>
            </w:r>
          </w:p>
        </w:tc>
      </w:tr>
      <w:tr w:rsidR="001B4FA4">
        <w:trPr>
          <w:trHeight w:val="804"/>
        </w:trPr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Plechy určené pro pekařské a cukrářské výrobky, dobře omyvatelné, lehce udržovatelné. Doporučené použití: rozpékání mražených těst, záviny, laskonky, odpalovaná </w:t>
            </w:r>
            <w:r>
              <w:rPr>
                <w:rFonts w:ascii="Arial" w:hAnsi="Arial" w:cs="Arial"/>
                <w:color w:val="000000"/>
                <w:sz w:val="20"/>
              </w:rPr>
              <w:t>těsta, bagety, bulky atd.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1B4FA4">
        <w:trPr>
          <w:trHeight w:val="288"/>
        </w:trPr>
        <w:tc>
          <w:tcPr>
            <w:tcW w:w="9380" w:type="dxa"/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 Plechy hliníkové, děrované</w:t>
            </w:r>
          </w:p>
        </w:tc>
      </w:tr>
      <w:tr w:rsidR="001B4FA4">
        <w:trPr>
          <w:trHeight w:val="28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Technická specifikace:</w:t>
            </w:r>
          </w:p>
        </w:tc>
      </w:tr>
      <w:tr w:rsidR="001B4FA4">
        <w:trPr>
          <w:trHeight w:val="288"/>
        </w:trPr>
        <w:tc>
          <w:tcPr>
            <w:tcW w:w="9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Materiál: hliníkový děrovaný</w:t>
            </w:r>
          </w:p>
        </w:tc>
      </w:tr>
      <w:tr w:rsidR="001B4FA4">
        <w:trPr>
          <w:trHeight w:val="288"/>
        </w:trPr>
        <w:tc>
          <w:tcPr>
            <w:tcW w:w="9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Rozměry:</w:t>
            </w:r>
          </w:p>
        </w:tc>
      </w:tr>
      <w:tr w:rsidR="001B4FA4">
        <w:trPr>
          <w:trHeight w:val="288"/>
        </w:trPr>
        <w:tc>
          <w:tcPr>
            <w:tcW w:w="9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Šíře: 400 mm</w:t>
            </w:r>
          </w:p>
        </w:tc>
      </w:tr>
      <w:tr w:rsidR="001B4FA4">
        <w:trPr>
          <w:trHeight w:val="288"/>
        </w:trPr>
        <w:tc>
          <w:tcPr>
            <w:tcW w:w="9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Výška: 600 mm</w:t>
            </w:r>
          </w:p>
        </w:tc>
      </w:tr>
      <w:tr w:rsidR="001B4FA4">
        <w:trPr>
          <w:trHeight w:val="288"/>
        </w:trPr>
        <w:tc>
          <w:tcPr>
            <w:tcW w:w="9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Hloubka - nízký</w:t>
            </w:r>
            <w:proofErr w:type="gramEnd"/>
          </w:p>
        </w:tc>
      </w:tr>
      <w:tr w:rsidR="001B4FA4">
        <w:trPr>
          <w:trHeight w:val="288"/>
        </w:trPr>
        <w:tc>
          <w:tcPr>
            <w:tcW w:w="9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Záruční lhůta minimálně 2 roky</w:t>
            </w:r>
          </w:p>
        </w:tc>
      </w:tr>
      <w:tr w:rsidR="001B4FA4">
        <w:trPr>
          <w:trHeight w:hRule="exact" w:val="288"/>
        </w:trPr>
        <w:tc>
          <w:tcPr>
            <w:tcW w:w="9380" w:type="dxa"/>
            <w:shd w:val="clear" w:color="auto" w:fill="auto"/>
            <w:vAlign w:val="bottom"/>
          </w:tcPr>
          <w:p w:rsidR="001B4FA4" w:rsidRDefault="001B4FA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4FA4">
        <w:trPr>
          <w:trHeight w:val="28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Funkce:</w:t>
            </w:r>
          </w:p>
        </w:tc>
      </w:tr>
      <w:tr w:rsidR="001B4FA4">
        <w:trPr>
          <w:trHeight w:val="540"/>
        </w:trPr>
        <w:tc>
          <w:tcPr>
            <w:tcW w:w="9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FA4" w:rsidRDefault="00AB408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Plechy určené pro pekařské a cukrářské </w:t>
            </w:r>
            <w:r>
              <w:rPr>
                <w:rFonts w:ascii="Arial" w:hAnsi="Arial" w:cs="Arial"/>
                <w:color w:val="000000"/>
                <w:sz w:val="20"/>
              </w:rPr>
              <w:t>výrobky, dobře omyvatelné, lehce udržovatelné. Doporučené použití: rozpékání mražených těst, záviny, laskonky, odpalovaná těsta, bagety, bulky atd.</w:t>
            </w:r>
          </w:p>
        </w:tc>
      </w:tr>
    </w:tbl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p w:rsidR="001B4FA4" w:rsidRDefault="001B4FA4">
      <w:pPr>
        <w:spacing w:after="120"/>
        <w:jc w:val="both"/>
        <w:rPr>
          <w:rFonts w:ascii="Arial" w:hAnsi="Arial" w:cs="Arial"/>
          <w:b/>
          <w:sz w:val="20"/>
        </w:rPr>
      </w:pPr>
    </w:p>
    <w:sectPr w:rsidR="001B4FA4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26" w:rsidRDefault="00573C26">
      <w:r>
        <w:separator/>
      </w:r>
    </w:p>
  </w:endnote>
  <w:endnote w:type="continuationSeparator" w:id="0">
    <w:p w:rsidR="00573C26" w:rsidRDefault="0057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813534"/>
      <w:docPartObj>
        <w:docPartGallery w:val="Page Numbers (Bottom of Page)"/>
        <w:docPartUnique/>
      </w:docPartObj>
    </w:sdtPr>
    <w:sdtEndPr/>
    <w:sdtContent>
      <w:p w:rsidR="001B4FA4" w:rsidRDefault="00AB4083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1B4FA4" w:rsidRDefault="001B4FA4">
    <w:pPr>
      <w:pStyle w:val="Zpat"/>
    </w:pPr>
  </w:p>
  <w:p w:rsidR="001B4FA4" w:rsidRDefault="001B4F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166110"/>
      <w:docPartObj>
        <w:docPartGallery w:val="Page Numbers (Bottom of Page)"/>
        <w:docPartUnique/>
      </w:docPartObj>
    </w:sdtPr>
    <w:sdtEndPr/>
    <w:sdtContent>
      <w:p w:rsidR="001B4FA4" w:rsidRDefault="00AB4083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1B4FA4" w:rsidRDefault="001B4FA4">
    <w:pPr>
      <w:pStyle w:val="Zpat"/>
    </w:pPr>
  </w:p>
  <w:p w:rsidR="001B4FA4" w:rsidRDefault="001B4F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82010"/>
      <w:docPartObj>
        <w:docPartGallery w:val="Page Numbers (Bottom of Page)"/>
        <w:docPartUnique/>
      </w:docPartObj>
    </w:sdtPr>
    <w:sdtEndPr/>
    <w:sdtContent>
      <w:p w:rsidR="001B4FA4" w:rsidRDefault="00AB4083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:rsidR="001B4FA4" w:rsidRDefault="001B4FA4">
    <w:pPr>
      <w:pStyle w:val="Zpat"/>
    </w:pPr>
  </w:p>
  <w:p w:rsidR="001B4FA4" w:rsidRDefault="001B4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26" w:rsidRDefault="00573C26">
      <w:r>
        <w:separator/>
      </w:r>
    </w:p>
  </w:footnote>
  <w:footnote w:type="continuationSeparator" w:id="0">
    <w:p w:rsidR="00573C26" w:rsidRDefault="0057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A4" w:rsidRDefault="001B4FA4">
    <w:pPr>
      <w:pStyle w:val="Zhlav"/>
    </w:pPr>
  </w:p>
  <w:p w:rsidR="001B4FA4" w:rsidRDefault="001B4F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A4" w:rsidRDefault="001B4FA4">
    <w:pPr>
      <w:pStyle w:val="Zhlav"/>
    </w:pPr>
  </w:p>
  <w:p w:rsidR="001B4FA4" w:rsidRDefault="001B4F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A4" w:rsidRDefault="001B4FA4">
    <w:pPr>
      <w:pStyle w:val="Zhlav"/>
    </w:pPr>
  </w:p>
  <w:p w:rsidR="001B4FA4" w:rsidRDefault="001B4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C45E5"/>
    <w:multiLevelType w:val="multilevel"/>
    <w:tmpl w:val="31F2952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E7287"/>
    <w:multiLevelType w:val="multilevel"/>
    <w:tmpl w:val="FD4CEA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D7F07"/>
    <w:multiLevelType w:val="multilevel"/>
    <w:tmpl w:val="036207F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D431F"/>
    <w:multiLevelType w:val="multilevel"/>
    <w:tmpl w:val="8994572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30633"/>
    <w:multiLevelType w:val="multilevel"/>
    <w:tmpl w:val="1F600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209508A"/>
    <w:multiLevelType w:val="multilevel"/>
    <w:tmpl w:val="E8328898"/>
    <w:lvl w:ilvl="0">
      <w:start w:val="1"/>
      <w:numFmt w:val="decimal"/>
      <w:pStyle w:val="Podnadpis"/>
      <w:lvlText w:val="%1."/>
      <w:lvlJc w:val="left"/>
      <w:pPr>
        <w:tabs>
          <w:tab w:val="num" w:pos="0"/>
        </w:tabs>
        <w:ind w:left="3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2160"/>
      </w:pPr>
    </w:lvl>
  </w:abstractNum>
  <w:abstractNum w:abstractNumId="6" w15:restartNumberingAfterBreak="0">
    <w:nsid w:val="657E4D46"/>
    <w:multiLevelType w:val="multilevel"/>
    <w:tmpl w:val="67C45C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2F583A"/>
    <w:multiLevelType w:val="multilevel"/>
    <w:tmpl w:val="FB52080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A4"/>
    <w:rsid w:val="001B4FA4"/>
    <w:rsid w:val="00573C26"/>
    <w:rsid w:val="00913319"/>
    <w:rsid w:val="00AB4083"/>
    <w:rsid w:val="00FA3322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926D"/>
  <w15:docId w15:val="{FE775912-6492-4E90-B023-033DF586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B5A"/>
    <w:pPr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4B5A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10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734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734B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734B5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734B5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draznn">
    <w:name w:val="Emphasis"/>
    <w:uiPriority w:val="20"/>
    <w:qFormat/>
    <w:rsid w:val="00734B5A"/>
    <w:rPr>
      <w:i/>
      <w:iCs/>
    </w:rPr>
  </w:style>
  <w:style w:type="character" w:customStyle="1" w:styleId="preformatted">
    <w:name w:val="preformatted"/>
    <w:basedOn w:val="Standardnpsmoodstavce"/>
    <w:qFormat/>
    <w:rsid w:val="00734B5A"/>
  </w:style>
  <w:style w:type="character" w:styleId="Siln">
    <w:name w:val="Strong"/>
    <w:basedOn w:val="Standardnpsmoodstavce"/>
    <w:uiPriority w:val="22"/>
    <w:qFormat/>
    <w:rsid w:val="00734B5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34B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563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63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B10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3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razka1Char">
    <w:name w:val="Odrazka 1 Char"/>
    <w:link w:val="Odrazka1"/>
    <w:qFormat/>
    <w:rsid w:val="0058664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54E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razka2Char">
    <w:name w:val="Odrazka 2 Char"/>
    <w:link w:val="Odrazka2"/>
    <w:qFormat/>
    <w:rsid w:val="00FC54EF"/>
    <w:rPr>
      <w:rFonts w:ascii="Calibri" w:eastAsia="Times New Roman" w:hAnsi="Calibri" w:cs="Times New Roman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210D4"/>
    <w:rPr>
      <w:rFonts w:ascii="Calibri" w:eastAsia="Calibri" w:hAnsi="Calibri" w:cs="Calibri"/>
      <w:color w:val="000000"/>
      <w:sz w:val="20"/>
      <w:szCs w:val="20"/>
      <w:u w:val="none" w:color="000000"/>
      <w:lang w:eastAsia="cs-CZ"/>
    </w:rPr>
  </w:style>
  <w:style w:type="character" w:styleId="Odkaznakoment">
    <w:name w:val="annotation reference"/>
    <w:basedOn w:val="Standardnpsmoodstavce"/>
    <w:unhideWhenUsed/>
    <w:qFormat/>
    <w:rsid w:val="008210D4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A44CD"/>
    <w:rPr>
      <w:rFonts w:ascii="Times New Roman" w:eastAsia="Times New Roman" w:hAnsi="Times New Roman" w:cs="Times New Roman"/>
      <w:b/>
      <w:bCs/>
      <w:color w:val="000000"/>
      <w:sz w:val="20"/>
      <w:szCs w:val="20"/>
      <w:u w:val="none" w:color="00000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qFormat/>
    <w:rsid w:val="00734B5A"/>
  </w:style>
  <w:style w:type="paragraph" w:styleId="Nzev">
    <w:name w:val="Title"/>
    <w:basedOn w:val="Normln"/>
    <w:link w:val="NzevChar"/>
    <w:qFormat/>
    <w:rsid w:val="00734B5A"/>
    <w:pPr>
      <w:ind w:left="-284" w:right="-709"/>
      <w:jc w:val="center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734B5A"/>
    <w:pPr>
      <w:overflowPunct w:val="0"/>
      <w:ind w:left="720"/>
      <w:textAlignment w:val="auto"/>
    </w:pPr>
    <w:rPr>
      <w:sz w:val="20"/>
    </w:rPr>
  </w:style>
  <w:style w:type="paragraph" w:styleId="Bezmezer">
    <w:name w:val="No Spacing"/>
    <w:uiPriority w:val="1"/>
    <w:qFormat/>
    <w:rsid w:val="00734B5A"/>
    <w:rPr>
      <w:rFonts w:cs="Calibri"/>
    </w:rPr>
  </w:style>
  <w:style w:type="paragraph" w:customStyle="1" w:styleId="Bezmezer1">
    <w:name w:val="Bez mezer1"/>
    <w:qFormat/>
    <w:rsid w:val="00734B5A"/>
    <w:pPr>
      <w:tabs>
        <w:tab w:val="left" w:pos="0"/>
      </w:tabs>
      <w:jc w:val="both"/>
    </w:pPr>
    <w:rPr>
      <w:rFonts w:ascii="Verdana" w:eastAsia="Arial" w:hAnsi="Verdana" w:cs="Calibri"/>
      <w:color w:val="000000"/>
      <w:sz w:val="19"/>
      <w:szCs w:val="19"/>
      <w:lang w:eastAsia="ar-SA"/>
    </w:rPr>
  </w:style>
  <w:style w:type="paragraph" w:customStyle="1" w:styleId="Odstavecseseznamem1">
    <w:name w:val="Odstavec se seznamem1"/>
    <w:basedOn w:val="Normln"/>
    <w:qFormat/>
    <w:rsid w:val="00734B5A"/>
    <w:pPr>
      <w:overflowPunct w:val="0"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563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56374"/>
    <w:pPr>
      <w:tabs>
        <w:tab w:val="center" w:pos="4536"/>
        <w:tab w:val="right" w:pos="9072"/>
      </w:tabs>
    </w:pPr>
  </w:style>
  <w:style w:type="paragraph" w:customStyle="1" w:styleId="Odrazka1">
    <w:name w:val="Odrazka 1"/>
    <w:basedOn w:val="Normln"/>
    <w:link w:val="Odrazka1Char"/>
    <w:qFormat/>
    <w:rsid w:val="003B101F"/>
    <w:pPr>
      <w:numPr>
        <w:numId w:val="2"/>
      </w:numPr>
      <w:overflowPunct w:val="0"/>
      <w:spacing w:before="60" w:after="60" w:line="276" w:lineRule="auto"/>
      <w:jc w:val="both"/>
      <w:textAlignment w:val="auto"/>
    </w:pPr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3B101F"/>
    <w:rPr>
      <w:rFonts w:ascii="Calibri" w:hAnsi="Calibri"/>
    </w:rPr>
  </w:style>
  <w:style w:type="paragraph" w:customStyle="1" w:styleId="Odrazka3">
    <w:name w:val="Odrazka 3"/>
    <w:basedOn w:val="Odrazka2"/>
    <w:qFormat/>
    <w:rsid w:val="003B101F"/>
  </w:style>
  <w:style w:type="paragraph" w:styleId="Podnadpis">
    <w:name w:val="Subtitle"/>
    <w:basedOn w:val="Odstavecseseznamem"/>
    <w:next w:val="Normln"/>
    <w:link w:val="PodnadpisChar"/>
    <w:uiPriority w:val="11"/>
    <w:qFormat/>
    <w:rsid w:val="000E1537"/>
    <w:pPr>
      <w:numPr>
        <w:numId w:val="1"/>
      </w:numPr>
      <w:spacing w:after="12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54EF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210D4"/>
    <w:pPr>
      <w:overflowPunct w:val="0"/>
      <w:spacing w:before="60" w:after="60"/>
      <w:jc w:val="both"/>
      <w:textAlignment w:val="auto"/>
    </w:pPr>
    <w:rPr>
      <w:rFonts w:ascii="Calibri" w:eastAsia="Calibri" w:hAnsi="Calibri" w:cs="Calibri"/>
      <w:color w:val="000000"/>
      <w:sz w:val="20"/>
      <w:u w:color="000000"/>
    </w:rPr>
  </w:style>
  <w:style w:type="paragraph" w:styleId="Revize">
    <w:name w:val="Revision"/>
    <w:uiPriority w:val="99"/>
    <w:semiHidden/>
    <w:qFormat/>
    <w:rsid w:val="00B62A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A44CD"/>
    <w:pPr>
      <w:suppressAutoHyphens w:val="0"/>
      <w:overflowPunct/>
      <w:spacing w:before="0" w:after="0"/>
      <w:jc w:val="left"/>
      <w:textAlignment w:val="baseline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0730-B2EE-416C-B5D9-D4B53F33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3730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Lahodová Monika</dc:creator>
  <dc:description/>
  <cp:lastModifiedBy>Radek Coufal</cp:lastModifiedBy>
  <cp:revision>4</cp:revision>
  <cp:lastPrinted>2023-04-14T08:47:00Z</cp:lastPrinted>
  <dcterms:created xsi:type="dcterms:W3CDTF">2023-06-01T14:37:00Z</dcterms:created>
  <dcterms:modified xsi:type="dcterms:W3CDTF">2023-06-01T14:39:00Z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