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11C70DE1" w:rsidR="00D92DA2" w:rsidRPr="00FA74BB" w:rsidRDefault="00005A63" w:rsidP="00FA74BB">
      <w:pPr>
        <w:jc w:val="center"/>
        <w:rPr>
          <w:b/>
          <w:sz w:val="28"/>
        </w:rPr>
      </w:pPr>
      <w:r>
        <w:rPr>
          <w:b/>
          <w:sz w:val="28"/>
        </w:rPr>
        <w:t>O/0235/2023/ŘDP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3BC6700A" w:rsidR="009C229C" w:rsidRPr="00B34D5F" w:rsidRDefault="00D148F5" w:rsidP="00426AE7">
      <w:pPr>
        <w:spacing w:after="0"/>
        <w:rPr>
          <w:b/>
        </w:rPr>
      </w:pPr>
      <w:r w:rsidRPr="00B34D5F">
        <w:rPr>
          <w:b/>
        </w:rPr>
        <w:t>Odborné učiliště a Základní škola Holešov,</w:t>
      </w:r>
      <w:r w:rsidR="009C229C" w:rsidRPr="00B34D5F">
        <w:rPr>
          <w:b/>
        </w:rPr>
        <w:t xml:space="preserve"> </w:t>
      </w:r>
    </w:p>
    <w:p w14:paraId="78F8360B" w14:textId="4B111D57" w:rsidR="009C229C" w:rsidRPr="00B34D5F" w:rsidRDefault="009C229C" w:rsidP="00426AE7">
      <w:pPr>
        <w:spacing w:after="0"/>
      </w:pPr>
      <w:r w:rsidRPr="00B34D5F">
        <w:t>se sídlem</w:t>
      </w:r>
      <w:r w:rsidR="00D148F5" w:rsidRPr="00B34D5F">
        <w:t xml:space="preserve"> </w:t>
      </w:r>
      <w:r w:rsidR="00FD151E" w:rsidRPr="00B34D5F">
        <w:t>Nádražní 525/1, 769 01  Holešov</w:t>
      </w:r>
    </w:p>
    <w:p w14:paraId="653E2F11" w14:textId="0A849649" w:rsidR="009C229C" w:rsidRPr="00B34D5F" w:rsidRDefault="009C229C" w:rsidP="00426AE7">
      <w:pPr>
        <w:spacing w:after="0"/>
      </w:pPr>
      <w:r w:rsidRPr="00B34D5F">
        <w:t>IČ</w:t>
      </w:r>
      <w:r w:rsidR="37DDD029" w:rsidRPr="00B34D5F">
        <w:t>O</w:t>
      </w:r>
      <w:r w:rsidR="00D148F5" w:rsidRPr="00B34D5F">
        <w:t xml:space="preserve"> 479 359 10</w:t>
      </w:r>
    </w:p>
    <w:p w14:paraId="1DA08EBF" w14:textId="12E8AEEF" w:rsidR="009C229C" w:rsidRPr="00B34D5F" w:rsidRDefault="00D148F5" w:rsidP="00426AE7">
      <w:pPr>
        <w:spacing w:after="0"/>
      </w:pPr>
      <w:r w:rsidRPr="00B34D5F">
        <w:t>Z</w:t>
      </w:r>
      <w:r w:rsidR="009C229C" w:rsidRPr="00B34D5F">
        <w:t>astoupená</w:t>
      </w:r>
      <w:r w:rsidRPr="00B34D5F">
        <w:t xml:space="preserve"> Ing. Zdeňkem Peškou</w:t>
      </w:r>
      <w:r w:rsidR="00FD151E" w:rsidRPr="00B34D5F">
        <w:t>, ředitelem školy</w:t>
      </w:r>
    </w:p>
    <w:p w14:paraId="3390FA9F" w14:textId="77777777" w:rsidR="00FA74BB" w:rsidRPr="00B34D5F" w:rsidRDefault="00FA74BB" w:rsidP="00426AE7">
      <w:pPr>
        <w:spacing w:after="0"/>
      </w:pPr>
      <w:r w:rsidRPr="00B34D5F">
        <w:t>(dále jen „</w:t>
      </w:r>
      <w:r w:rsidRPr="00B34D5F">
        <w:rPr>
          <w:b/>
        </w:rPr>
        <w:t>organizace</w:t>
      </w:r>
      <w:r w:rsidRPr="00B34D5F">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1E788947" w:rsidR="00671F68" w:rsidRDefault="00671F68" w:rsidP="00D148F5">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w:t>
      </w:r>
      <w:r w:rsidRPr="00B34D5F">
        <w:t xml:space="preserve">implementovanými nástroji v rámci realizovaných </w:t>
      </w:r>
      <w:r w:rsidR="00465367" w:rsidRPr="00B34D5F">
        <w:t>technick</w:t>
      </w:r>
      <w:r w:rsidR="00F25753" w:rsidRPr="00B34D5F">
        <w:t>ých</w:t>
      </w:r>
      <w:r w:rsidR="00465367" w:rsidRPr="00B34D5F">
        <w:t xml:space="preserve"> </w:t>
      </w:r>
      <w:r w:rsidRPr="00B34D5F">
        <w:t>opatření</w:t>
      </w:r>
      <w:r w:rsidR="00406D62" w:rsidRPr="00B34D5F">
        <w:t>, a to:</w:t>
      </w:r>
      <w:r w:rsidR="00D148F5" w:rsidRPr="00B34D5F">
        <w:t xml:space="preserve"> (jak</w:t>
      </w:r>
      <w:r w:rsidR="00556BE2">
        <w:t>o externí pracovník) xxxx</w:t>
      </w:r>
      <w:r w:rsidR="00406D62" w:rsidRPr="00B34D5F">
        <w:t>, telefon</w:t>
      </w:r>
      <w:r w:rsidR="00F25753" w:rsidRPr="00B34D5F">
        <w:t>:</w:t>
      </w:r>
      <w:r w:rsidR="00406D62" w:rsidRPr="00B34D5F">
        <w:t xml:space="preserve"> </w:t>
      </w:r>
      <w:r w:rsidR="00556BE2">
        <w:t>xxxx</w:t>
      </w:r>
      <w:r w:rsidR="00F25753" w:rsidRPr="00B34D5F">
        <w:t xml:space="preserve">, </w:t>
      </w:r>
      <w:r w:rsidR="00406D62" w:rsidRPr="00B34D5F">
        <w:t>e-mailová adresa</w:t>
      </w:r>
      <w:r w:rsidR="00F25753" w:rsidRPr="00B34D5F">
        <w:t xml:space="preserve">: </w:t>
      </w:r>
      <w:hyperlink r:id="rId11" w:history="1">
        <w:r w:rsidR="00556BE2">
          <w:rPr>
            <w:rStyle w:val="Hypertextovodkaz"/>
            <w:color w:val="auto"/>
          </w:rPr>
          <w:t>xxxxxxx</w:t>
        </w:r>
      </w:hyperlink>
      <w:r w:rsidR="00D148F5" w:rsidRPr="00B34D5F">
        <w:t>, aitelogic s.r.o., IČO 242 141 75</w:t>
      </w:r>
      <w:r w:rsidR="00B34D5F" w:rsidRPr="00B34D5F">
        <w:t>.</w:t>
      </w:r>
      <w:r w:rsidR="00B34D5F">
        <w:t xml:space="preserve"> </w:t>
      </w:r>
      <w:r w:rsidR="008C4E93" w:rsidRPr="00B34D5F">
        <w:t>Veškeré</w:t>
      </w:r>
      <w:r w:rsidR="00672007" w:rsidRPr="00B34D5F">
        <w:t xml:space="preserve"> změny informací/údajů uvedených shora v tomto odstavci se zavazuje organizace </w:t>
      </w:r>
      <w:r w:rsidR="00672007">
        <w:t xml:space="preserve">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025E20F3" w:rsidR="00192A6F" w:rsidRDefault="00192A6F" w:rsidP="00E40C0E">
      <w:pPr>
        <w:jc w:val="both"/>
      </w:pPr>
      <w:r>
        <w:t>V</w:t>
      </w:r>
      <w:r w:rsidR="00B34D5F">
        <w:t xml:space="preserve">e Zlíně </w:t>
      </w:r>
      <w:r>
        <w:t xml:space="preserve">dne…………...                                                          </w:t>
      </w:r>
      <w:r w:rsidR="00B34D5F">
        <w:tab/>
      </w:r>
      <w:r w:rsidR="00B34D5F">
        <w:tab/>
      </w:r>
      <w:r>
        <w:t>V</w:t>
      </w:r>
      <w:r w:rsidR="000F4A6A">
        <w:t> </w:t>
      </w:r>
      <w:r w:rsidR="00B34D5F">
        <w:t>Holešově</w:t>
      </w:r>
      <w:r w:rsidR="000F4A6A">
        <w:t xml:space="preserve">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39F299BF" w:rsidR="00192A6F" w:rsidRPr="00B34D5F" w:rsidRDefault="00BC0058" w:rsidP="00646665">
      <w:pPr>
        <w:spacing w:after="0" w:line="240" w:lineRule="auto"/>
        <w:jc w:val="both"/>
      </w:pPr>
      <w:r>
        <w:t>Ing. Martin Kobzáň</w:t>
      </w:r>
      <w:r w:rsidR="000E1B7D">
        <w:tab/>
      </w:r>
      <w:r w:rsidR="000E1B7D">
        <w:tab/>
      </w:r>
      <w:r w:rsidR="000E1B7D">
        <w:tab/>
      </w:r>
      <w:r w:rsidR="000E1B7D">
        <w:tab/>
      </w:r>
      <w:r w:rsidR="000E1B7D">
        <w:tab/>
      </w:r>
      <w:r w:rsidR="000E1B7D">
        <w:tab/>
        <w:t xml:space="preserve">      </w:t>
      </w:r>
      <w:r w:rsidR="000E1B7D" w:rsidRPr="00B34D5F">
        <w:t>Ing. Zdeněk Peška</w:t>
      </w:r>
    </w:p>
    <w:p w14:paraId="374451B8" w14:textId="2C291D20" w:rsidR="00BC0058" w:rsidRPr="00B34D5F" w:rsidRDefault="00BC0058" w:rsidP="00646665">
      <w:pPr>
        <w:spacing w:after="0" w:line="240" w:lineRule="auto"/>
        <w:jc w:val="both"/>
      </w:pPr>
      <w:r w:rsidRPr="00B34D5F">
        <w:t>vedoucí Odboru řízení dotačních pro</w:t>
      </w:r>
      <w:r w:rsidR="00432496" w:rsidRPr="00B34D5F">
        <w:t>jektů</w:t>
      </w:r>
      <w:r w:rsidR="000E1B7D" w:rsidRPr="00B34D5F">
        <w:tab/>
      </w:r>
      <w:r w:rsidR="000E1B7D" w:rsidRPr="00B34D5F">
        <w:tab/>
      </w:r>
      <w:r w:rsidR="000E1B7D" w:rsidRPr="00B34D5F">
        <w:tab/>
        <w:t xml:space="preserve">      ředitel Odborného učiliště </w:t>
      </w:r>
    </w:p>
    <w:p w14:paraId="5C329C48" w14:textId="269987D3" w:rsidR="00600E1F" w:rsidRDefault="00BC0058" w:rsidP="00E57CCF">
      <w:pPr>
        <w:spacing w:after="0" w:line="240" w:lineRule="auto"/>
        <w:jc w:val="both"/>
      </w:pPr>
      <w:r w:rsidRPr="00B34D5F">
        <w:t>na základě p</w:t>
      </w:r>
      <w:r w:rsidR="00432496" w:rsidRPr="00B34D5F">
        <w:t>ověření</w:t>
      </w:r>
      <w:r w:rsidRPr="00B34D5F">
        <w:t xml:space="preserve"> ze dne</w:t>
      </w:r>
      <w:r w:rsidR="00E6792A" w:rsidRPr="00B34D5F">
        <w:t xml:space="preserve"> </w:t>
      </w:r>
      <w:r w:rsidR="00B34D5F" w:rsidRPr="00B34D5F">
        <w:t>25. 4.</w:t>
      </w:r>
      <w:r w:rsidR="00E6792A" w:rsidRPr="00B34D5F">
        <w:t xml:space="preserve"> </w:t>
      </w:r>
      <w:r w:rsidRPr="00B34D5F">
        <w:t>20</w:t>
      </w:r>
      <w:r w:rsidR="00406D62" w:rsidRPr="00B34D5F">
        <w:t>23</w:t>
      </w:r>
      <w:r w:rsidR="000E1B7D" w:rsidRPr="00B34D5F">
        <w:tab/>
      </w:r>
      <w:r w:rsidR="000E1B7D" w:rsidRPr="00B34D5F">
        <w:tab/>
      </w:r>
      <w:r w:rsidR="000E1B7D" w:rsidRPr="00B34D5F">
        <w:tab/>
      </w:r>
      <w:r w:rsidR="000E1B7D" w:rsidRPr="00B34D5F">
        <w:tab/>
        <w:t xml:space="preserve">      a Základní školy Holešov</w:t>
      </w:r>
    </w:p>
    <w:p w14:paraId="6AFC5F4C" w14:textId="503D3DB7" w:rsidR="000F4A6A" w:rsidRDefault="000F4A6A" w:rsidP="00E57CCF">
      <w:pPr>
        <w:spacing w:after="0" w:line="240" w:lineRule="auto"/>
        <w:jc w:val="both"/>
      </w:pPr>
    </w:p>
    <w:p w14:paraId="5875674D" w14:textId="72F8A251" w:rsidR="000F4A6A" w:rsidRDefault="000F4A6A" w:rsidP="00E57CCF">
      <w:pPr>
        <w:spacing w:after="0" w:line="240" w:lineRule="auto"/>
        <w:jc w:val="both"/>
      </w:pPr>
    </w:p>
    <w:p w14:paraId="4777EB1F" w14:textId="4FBDBCDD" w:rsidR="000F4A6A" w:rsidRPr="00B34D5F" w:rsidRDefault="000F4A6A" w:rsidP="00E57CCF">
      <w:pPr>
        <w:spacing w:after="0" w:line="240" w:lineRule="auto"/>
        <w:jc w:val="both"/>
      </w:pPr>
      <w:r>
        <w:t>kontroloval:</w:t>
      </w:r>
      <w:bookmarkStart w:id="0" w:name="_GoBack"/>
      <w:bookmarkEnd w:id="0"/>
    </w:p>
    <w:sectPr w:rsidR="000F4A6A" w:rsidRPr="00B34D5F">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9D9A3" w14:textId="77777777" w:rsidR="001A3004" w:rsidRDefault="001A3004" w:rsidP="00BC0058">
      <w:pPr>
        <w:spacing w:after="0" w:line="240" w:lineRule="auto"/>
      </w:pPr>
      <w:r>
        <w:separator/>
      </w:r>
    </w:p>
  </w:endnote>
  <w:endnote w:type="continuationSeparator" w:id="0">
    <w:p w14:paraId="40C43C1E" w14:textId="77777777" w:rsidR="001A3004" w:rsidRDefault="001A3004" w:rsidP="00BC0058">
      <w:pPr>
        <w:spacing w:after="0" w:line="240" w:lineRule="auto"/>
      </w:pPr>
      <w:r>
        <w:continuationSeparator/>
      </w:r>
    </w:p>
  </w:endnote>
  <w:endnote w:type="continuationNotice" w:id="1">
    <w:p w14:paraId="011641A6" w14:textId="77777777" w:rsidR="001A3004" w:rsidRDefault="001A3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43C7A721"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556BE2">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556BE2">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66C92" w14:textId="77777777" w:rsidR="001A3004" w:rsidRDefault="001A3004" w:rsidP="00BC0058">
      <w:pPr>
        <w:spacing w:after="0" w:line="240" w:lineRule="auto"/>
      </w:pPr>
      <w:r>
        <w:separator/>
      </w:r>
    </w:p>
  </w:footnote>
  <w:footnote w:type="continuationSeparator" w:id="0">
    <w:p w14:paraId="48AB0EC8" w14:textId="77777777" w:rsidR="001A3004" w:rsidRDefault="001A3004" w:rsidP="00BC0058">
      <w:pPr>
        <w:spacing w:after="0" w:line="240" w:lineRule="auto"/>
      </w:pPr>
      <w:r>
        <w:continuationSeparator/>
      </w:r>
    </w:p>
  </w:footnote>
  <w:footnote w:type="continuationNotice" w:id="1">
    <w:p w14:paraId="1F21FA70" w14:textId="77777777" w:rsidR="001A3004" w:rsidRDefault="001A3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05A63"/>
    <w:rsid w:val="00037D7F"/>
    <w:rsid w:val="00066310"/>
    <w:rsid w:val="00081CFC"/>
    <w:rsid w:val="000A0AA0"/>
    <w:rsid w:val="000B0E25"/>
    <w:rsid w:val="000D3736"/>
    <w:rsid w:val="000E13D5"/>
    <w:rsid w:val="000E1B7D"/>
    <w:rsid w:val="000F4A6A"/>
    <w:rsid w:val="000F5193"/>
    <w:rsid w:val="00115363"/>
    <w:rsid w:val="00121D8C"/>
    <w:rsid w:val="001259A9"/>
    <w:rsid w:val="001416EE"/>
    <w:rsid w:val="00173ADE"/>
    <w:rsid w:val="00192A6F"/>
    <w:rsid w:val="001A232B"/>
    <w:rsid w:val="001A3004"/>
    <w:rsid w:val="001C31EA"/>
    <w:rsid w:val="001D2A6F"/>
    <w:rsid w:val="001E6924"/>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56BE2"/>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86F9A"/>
    <w:rsid w:val="00993362"/>
    <w:rsid w:val="00997113"/>
    <w:rsid w:val="009C229C"/>
    <w:rsid w:val="009C35AD"/>
    <w:rsid w:val="009C377E"/>
    <w:rsid w:val="009D2DE8"/>
    <w:rsid w:val="009F3036"/>
    <w:rsid w:val="009F7864"/>
    <w:rsid w:val="00A000D8"/>
    <w:rsid w:val="00A1136B"/>
    <w:rsid w:val="00A25D15"/>
    <w:rsid w:val="00A6283A"/>
    <w:rsid w:val="00A85026"/>
    <w:rsid w:val="00A93C8D"/>
    <w:rsid w:val="00AC08D6"/>
    <w:rsid w:val="00B2255B"/>
    <w:rsid w:val="00B34D5F"/>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148F5"/>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D151E"/>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k@aitelogic.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4150f1f-2587-4b66-b618-bb474c30dc47"/>
    <ds:schemaRef ds:uri="6844c560-6a7d-4bf2-8182-932cb50ea38f"/>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2D26767E-5FE0-47A3-B8DB-C02001C1E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D22B4-7407-48C1-8A0B-3E6E9A75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9649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2023-06-06T06:16:00Z</dcterms:created>
  <dcterms:modified xsi:type="dcterms:W3CDTF">2023-06-06T06:16:00Z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