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642" w:right="642"/>
        <w:jc w:val="center"/>
      </w:pPr>
      <w:r>
        <w:rPr/>
        <w:t>DODATEK Č. 1</w:t>
      </w:r>
    </w:p>
    <w:p>
      <w:pPr>
        <w:spacing w:before="120"/>
        <w:ind w:left="642" w:right="642" w:firstLine="0"/>
        <w:jc w:val="center"/>
        <w:rPr>
          <w:b/>
          <w:sz w:val="20"/>
        </w:rPr>
      </w:pPr>
      <w:r>
        <w:rPr>
          <w:b/>
          <w:sz w:val="20"/>
        </w:rPr>
        <w:t>KE SMLOUVĚ O POSKYTNUTÍ NADAČNÍHO PŘÍSPĚVKU č. NP/017/2022</w:t>
      </w:r>
    </w:p>
    <w:p>
      <w:pPr>
        <w:pStyle w:val="BodyText"/>
        <w:rPr>
          <w:b/>
          <w:sz w:val="24"/>
        </w:rPr>
      </w:pPr>
    </w:p>
    <w:p>
      <w:pPr>
        <w:spacing w:before="193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Nadace Karel Komárek Family Foundation</w:t>
      </w:r>
    </w:p>
    <w:p>
      <w:pPr>
        <w:pStyle w:val="BodyText"/>
        <w:spacing w:line="243" w:lineRule="exact" w:before="119"/>
        <w:ind w:left="118"/>
      </w:pPr>
      <w:r>
        <w:rPr/>
        <w:t>se sídlem Evropská 866/71, Praha 6 – Vokovice, 160 00, IČO: 06212093,</w:t>
      </w:r>
    </w:p>
    <w:p>
      <w:pPr>
        <w:pStyle w:val="BodyText"/>
        <w:spacing w:line="242" w:lineRule="exact"/>
        <w:ind w:left="118"/>
      </w:pPr>
      <w:r>
        <w:rPr/>
        <w:t>vedená v nadačním rejstříku u Městského soudu v Praze pod sp. zn. N 1525</w:t>
      </w:r>
    </w:p>
    <w:p>
      <w:pPr>
        <w:pStyle w:val="BodyText"/>
        <w:tabs>
          <w:tab w:pos="1558" w:val="left" w:leader="none"/>
        </w:tabs>
        <w:spacing w:line="360" w:lineRule="auto"/>
        <w:ind w:left="118" w:right="4175"/>
      </w:pPr>
      <w:r>
        <w:rPr/>
        <w:t>zastoupená:</w:t>
        <w:tab/>
        <w:t>Luboš Veselý, na základě plné moci (dále jen</w:t>
      </w:r>
      <w:r>
        <w:rPr>
          <w:spacing w:val="-4"/>
        </w:rPr>
        <w:t> </w:t>
      </w:r>
      <w:r>
        <w:rPr>
          <w:b/>
        </w:rPr>
        <w:t>„Nadace”</w:t>
      </w:r>
      <w:r>
        <w:rPr/>
        <w:t>)</w:t>
      </w:r>
    </w:p>
    <w:p>
      <w:pPr>
        <w:pStyle w:val="Heading1"/>
        <w:spacing w:before="120"/>
      </w:pPr>
      <w:r>
        <w:rPr>
          <w:w w:val="99"/>
        </w:rPr>
        <w:t>a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Dům dětí a mládeže hlavního města Prahy</w:t>
      </w:r>
    </w:p>
    <w:p>
      <w:pPr>
        <w:pStyle w:val="BodyText"/>
        <w:spacing w:before="133"/>
        <w:ind w:left="118"/>
      </w:pPr>
      <w:r>
        <w:rPr/>
        <w:t>se sídlem: Karlínské náměstí 316/7, Karlín, 186 00 Praha, IČO: 00064289,</w:t>
      </w:r>
    </w:p>
    <w:p>
      <w:pPr>
        <w:pStyle w:val="BodyText"/>
        <w:spacing w:before="24"/>
        <w:ind w:left="118"/>
      </w:pPr>
      <w:r>
        <w:rPr/>
        <w:t>zapsaná v rejstříku škol, resortní identifikátor (RED-IZO): 600039943,</w:t>
      </w:r>
    </w:p>
    <w:p>
      <w:pPr>
        <w:pStyle w:val="BodyText"/>
        <w:spacing w:before="38"/>
        <w:ind w:left="118"/>
      </w:pPr>
      <w:r>
        <w:rPr/>
        <w:t>kterou zastupuje: Libor Bezděk, ředitel,</w:t>
      </w:r>
    </w:p>
    <w:p>
      <w:pPr>
        <w:pStyle w:val="BodyText"/>
        <w:spacing w:before="38"/>
        <w:ind w:left="118"/>
      </w:pPr>
      <w:r>
        <w:rPr/>
        <w:t>bankovní spojení: č. účtu: 2000150008/6000, vedený u PPF banka a.s.</w:t>
      </w:r>
    </w:p>
    <w:p>
      <w:pPr>
        <w:spacing w:line="243" w:lineRule="exact" w:before="133"/>
        <w:ind w:left="118" w:right="0" w:firstLine="0"/>
        <w:jc w:val="left"/>
        <w:rPr>
          <w:sz w:val="20"/>
        </w:rPr>
      </w:pPr>
      <w:r>
        <w:rPr>
          <w:sz w:val="20"/>
        </w:rPr>
        <w:t>(dále jen </w:t>
      </w:r>
      <w:r>
        <w:rPr>
          <w:b/>
          <w:sz w:val="20"/>
        </w:rPr>
        <w:t>„Příjemce”</w:t>
      </w:r>
      <w:r>
        <w:rPr>
          <w:sz w:val="20"/>
        </w:rPr>
        <w:t>, společně s Nadací jako „</w:t>
      </w:r>
      <w:r>
        <w:rPr>
          <w:b/>
          <w:sz w:val="20"/>
        </w:rPr>
        <w:t>Smluvní strany</w:t>
      </w:r>
      <w:r>
        <w:rPr>
          <w:sz w:val="20"/>
        </w:rPr>
        <w:t>“ a každá samostatně jako</w:t>
      </w:r>
    </w:p>
    <w:p>
      <w:pPr>
        <w:pStyle w:val="Heading1"/>
        <w:spacing w:line="243" w:lineRule="exact"/>
        <w:rPr>
          <w:b w:val="0"/>
        </w:rPr>
      </w:pPr>
      <w:r>
        <w:rPr>
          <w:b w:val="0"/>
        </w:rPr>
        <w:t>„</w:t>
      </w:r>
      <w:r>
        <w:rPr/>
        <w:t>Smluvní strana</w:t>
      </w:r>
      <w:r>
        <w:rPr>
          <w:b w:val="0"/>
        </w:rPr>
        <w:t>“)</w:t>
      </w:r>
    </w:p>
    <w:p>
      <w:pPr>
        <w:pStyle w:val="BodyText"/>
        <w:rPr>
          <w:sz w:val="24"/>
        </w:rPr>
      </w:pPr>
    </w:p>
    <w:p>
      <w:pPr>
        <w:spacing w:before="193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VZHLEDEM K TOMU, ŽE: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115" w:hanging="624"/>
        <w:jc w:val="both"/>
        <w:rPr>
          <w:sz w:val="20"/>
        </w:rPr>
      </w:pPr>
      <w:r>
        <w:rPr>
          <w:sz w:val="20"/>
        </w:rPr>
        <w:t>Smluvní strany uzavřely dne 19. 12. 2022 Smlouvu o poskytnutí nadačního příspěvku,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7"/>
          <w:sz w:val="20"/>
        </w:rPr>
        <w:t> </w:t>
      </w:r>
      <w:r>
        <w:rPr>
          <w:sz w:val="20"/>
        </w:rPr>
        <w:t>Nadace</w:t>
      </w:r>
      <w:r>
        <w:rPr>
          <w:spacing w:val="-7"/>
          <w:sz w:val="20"/>
        </w:rPr>
        <w:t> </w:t>
      </w:r>
      <w:r>
        <w:rPr>
          <w:sz w:val="20"/>
        </w:rPr>
        <w:t>poskytuje</w:t>
      </w:r>
      <w:r>
        <w:rPr>
          <w:spacing w:val="-6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nadační</w:t>
      </w:r>
      <w:r>
        <w:rPr>
          <w:spacing w:val="-3"/>
          <w:sz w:val="20"/>
        </w:rPr>
        <w:t> </w:t>
      </w:r>
      <w:r>
        <w:rPr>
          <w:sz w:val="20"/>
        </w:rPr>
        <w:t>příspěvek</w:t>
      </w:r>
      <w:r>
        <w:rPr>
          <w:spacing w:val="-6"/>
          <w:sz w:val="20"/>
        </w:rPr>
        <w:t> </w:t>
      </w:r>
      <w:r>
        <w:rPr>
          <w:sz w:val="20"/>
        </w:rPr>
        <w:t>určený</w:t>
      </w:r>
      <w:r>
        <w:rPr>
          <w:spacing w:val="-6"/>
          <w:sz w:val="20"/>
        </w:rPr>
        <w:t> </w:t>
      </w:r>
      <w:r>
        <w:rPr>
          <w:sz w:val="20"/>
        </w:rPr>
        <w:t>na pokrytí nákladů v souvislosti s organizací a realizací zimních ozdravných táborů pro děti ukrajinských uprchlíků a děti z českých rodin ve finanční tísni (s lokalitou na rozhraní Jizerských hor a Krkonoš), které se uskutečnily v době pražských jarních prázdnin 2023, tj. první turnus 4.2. – 11.2.2023 a druhý turnus 11.3. – 18.3.2023 (dále jen</w:t>
      </w:r>
      <w:r>
        <w:rPr>
          <w:spacing w:val="-4"/>
          <w:sz w:val="20"/>
        </w:rPr>
        <w:t> </w:t>
      </w:r>
      <w:r>
        <w:rPr>
          <w:sz w:val="20"/>
        </w:rPr>
        <w:t>„</w:t>
      </w:r>
      <w:r>
        <w:rPr>
          <w:b/>
          <w:sz w:val="20"/>
        </w:rPr>
        <w:t>Smlouva</w:t>
      </w:r>
      <w:r>
        <w:rPr>
          <w:sz w:val="20"/>
        </w:rPr>
        <w:t>“);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35" w:lineRule="auto" w:before="0" w:after="0"/>
        <w:ind w:left="742" w:right="117" w:hanging="624"/>
        <w:jc w:val="both"/>
        <w:rPr>
          <w:sz w:val="20"/>
        </w:rPr>
      </w:pPr>
      <w:r>
        <w:rPr>
          <w:sz w:val="20"/>
        </w:rPr>
        <w:t>Strany mají zájem prodloužit termín čerpání nadačního příspěvku uvedený ve Smlouvě, a to do </w:t>
      </w:r>
      <w:r>
        <w:rPr>
          <w:b/>
          <w:sz w:val="20"/>
        </w:rPr>
        <w:t>30. 6.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2023</w:t>
      </w:r>
      <w:r>
        <w:rPr>
          <w:sz w:val="20"/>
        </w:rPr>
        <w:t>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65" w:lineRule="exact" w:before="1" w:after="0"/>
        <w:ind w:left="742" w:right="0" w:hanging="625"/>
        <w:jc w:val="left"/>
        <w:rPr>
          <w:sz w:val="20"/>
        </w:rPr>
      </w:pPr>
      <w:r>
        <w:rPr>
          <w:sz w:val="20"/>
        </w:rPr>
        <w:t>pojmy</w:t>
      </w:r>
      <w:r>
        <w:rPr>
          <w:spacing w:val="14"/>
          <w:sz w:val="20"/>
        </w:rPr>
        <w:t> </w:t>
      </w:r>
      <w:r>
        <w:rPr>
          <w:sz w:val="20"/>
        </w:rPr>
        <w:t>definované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Smlouvě</w:t>
      </w:r>
      <w:r>
        <w:rPr>
          <w:spacing w:val="15"/>
          <w:sz w:val="20"/>
        </w:rPr>
        <w:t> </w:t>
      </w:r>
      <w:r>
        <w:rPr>
          <w:sz w:val="20"/>
        </w:rPr>
        <w:t>mají</w:t>
      </w:r>
      <w:r>
        <w:rPr>
          <w:spacing w:val="15"/>
          <w:sz w:val="20"/>
        </w:rPr>
        <w:t> </w:t>
      </w:r>
      <w:r>
        <w:rPr>
          <w:sz w:val="20"/>
        </w:rPr>
        <w:t>tentýž</w:t>
      </w:r>
      <w:r>
        <w:rPr>
          <w:spacing w:val="15"/>
          <w:sz w:val="20"/>
        </w:rPr>
        <w:t> </w:t>
      </w:r>
      <w:r>
        <w:rPr>
          <w:sz w:val="20"/>
        </w:rPr>
        <w:t>význam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tomto</w:t>
      </w:r>
      <w:r>
        <w:rPr>
          <w:spacing w:val="-3"/>
          <w:sz w:val="20"/>
        </w:rPr>
        <w:t> </w:t>
      </w:r>
      <w:r>
        <w:rPr>
          <w:sz w:val="20"/>
        </w:rPr>
        <w:t>Dodatku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</w:p>
    <w:p>
      <w:pPr>
        <w:pStyle w:val="BodyText"/>
        <w:spacing w:line="241" w:lineRule="exact"/>
        <w:ind w:left="742"/>
      </w:pPr>
      <w:r>
        <w:rPr/>
        <w:t>(dále jen „</w:t>
      </w:r>
      <w:r>
        <w:rPr>
          <w:b/>
        </w:rPr>
        <w:t>Dodatek</w:t>
      </w:r>
      <w:r>
        <w:rPr/>
        <w:t>“), ledaže z tohoto Dodatku vyplývá jinak;</w:t>
      </w:r>
    </w:p>
    <w:p>
      <w:pPr>
        <w:pStyle w:val="BodyText"/>
        <w:rPr>
          <w:sz w:val="24"/>
        </w:rPr>
      </w:pPr>
    </w:p>
    <w:p>
      <w:pPr>
        <w:pStyle w:val="Heading1"/>
        <w:spacing w:before="187"/>
      </w:pPr>
      <w:r>
        <w:rPr/>
        <w:t>UZAVÍRAJÍ SMLUVNÍ STRANY TENTO DODATEK KE SMLOUVĚ V NÁSLEDUJÍCÍM ZNĚNÍ: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DODATKU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23" w:lineRule="auto" w:before="0" w:after="0"/>
        <w:ind w:left="838" w:right="117" w:hanging="720"/>
        <w:jc w:val="both"/>
        <w:rPr>
          <w:sz w:val="20"/>
        </w:rPr>
      </w:pPr>
      <w:r>
        <w:rPr>
          <w:sz w:val="20"/>
        </w:rPr>
        <w:t>Smluvní strany se dohodly na změně, konkrétně prodloužení, termínu čerpání Příspěvku tak, že Příjemce je oprávněn čerpat Příspěvek </w:t>
      </w:r>
      <w:r>
        <w:rPr>
          <w:b/>
          <w:sz w:val="20"/>
        </w:rPr>
        <w:t>až do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30.6.2023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0"/>
        </w:rPr>
      </w:pPr>
      <w:r>
        <w:rPr>
          <w:sz w:val="20"/>
        </w:rPr>
        <w:t>Smluvní strany proto mění Smlouvu způsobem uvedeným dále v tomto</w:t>
      </w:r>
      <w:r>
        <w:rPr>
          <w:spacing w:val="-12"/>
          <w:sz w:val="20"/>
        </w:rPr>
        <w:t> </w:t>
      </w:r>
      <w:r>
        <w:rPr>
          <w:sz w:val="20"/>
        </w:rPr>
        <w:t>Dodatku.</w:t>
      </w:r>
    </w:p>
    <w:p>
      <w:pPr>
        <w:pStyle w:val="Heading1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224" w:after="0"/>
        <w:ind w:left="838" w:right="0" w:hanging="721"/>
        <w:jc w:val="left"/>
      </w:pPr>
      <w:r>
        <w:rPr/>
        <w:t>ZMĚNA</w:t>
      </w:r>
      <w:r>
        <w:rPr>
          <w:spacing w:val="-2"/>
        </w:rPr>
        <w:t> </w:t>
      </w:r>
      <w:r>
        <w:rPr/>
        <w:t>SMLOUVY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23" w:lineRule="auto" w:before="0" w:after="0"/>
        <w:ind w:left="838" w:right="121" w:hanging="720"/>
        <w:jc w:val="both"/>
        <w:rPr>
          <w:sz w:val="20"/>
        </w:rPr>
      </w:pPr>
      <w:r>
        <w:rPr>
          <w:sz w:val="20"/>
        </w:rPr>
        <w:t>Ustanovení článku 1.6 Smlouvy se ruší a nahrazuje se novým ustanovením následujícího</w:t>
      </w:r>
      <w:r>
        <w:rPr>
          <w:spacing w:val="-3"/>
          <w:sz w:val="20"/>
        </w:rPr>
        <w:t> </w:t>
      </w:r>
      <w:r>
        <w:rPr>
          <w:sz w:val="20"/>
        </w:rPr>
        <w:t>znění: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1537" w:val="left" w:leader="none"/>
        </w:tabs>
        <w:spacing w:before="1"/>
        <w:ind w:left="826" w:right="0" w:firstLine="0"/>
        <w:jc w:val="left"/>
        <w:rPr>
          <w:i/>
          <w:sz w:val="20"/>
        </w:rPr>
      </w:pPr>
      <w:r>
        <w:rPr>
          <w:i/>
          <w:sz w:val="20"/>
        </w:rPr>
        <w:t>„1.6</w:t>
        <w:tab/>
        <w:t>Příjemce je oprávněn čerpat Příspěvek až 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30.6.2023.“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18" w:top="1020" w:bottom="1200" w:left="1300" w:right="130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39" w:val="left" w:leader="none"/>
        </w:tabs>
        <w:spacing w:line="240" w:lineRule="auto" w:before="77" w:after="0"/>
        <w:ind w:left="838" w:right="0" w:hanging="721"/>
        <w:jc w:val="left"/>
        <w:rPr>
          <w:sz w:val="20"/>
        </w:rPr>
      </w:pPr>
      <w:r>
        <w:rPr>
          <w:sz w:val="20"/>
        </w:rPr>
        <w:t>Ostatní ustanovení Smlouvy, která nejsou tímto Dodatkem dotčena, se</w:t>
      </w:r>
      <w:r>
        <w:rPr>
          <w:spacing w:val="-14"/>
          <w:sz w:val="20"/>
        </w:rPr>
        <w:t> </w:t>
      </w:r>
      <w:r>
        <w:rPr>
          <w:sz w:val="20"/>
        </w:rPr>
        <w:t>nemění.</w:t>
      </w:r>
    </w:p>
    <w:p>
      <w:pPr>
        <w:pStyle w:val="Heading1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223" w:after="0"/>
        <w:ind w:left="838" w:right="0" w:hanging="721"/>
        <w:jc w:val="left"/>
      </w:pPr>
      <w:r>
        <w:rPr/>
        <w:t>OSTATNÍ</w:t>
      </w:r>
      <w:r>
        <w:rPr>
          <w:spacing w:val="2"/>
        </w:rPr>
        <w:t> </w:t>
      </w:r>
      <w:r>
        <w:rPr/>
        <w:t>USTANOVENÍ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30" w:lineRule="auto" w:before="230" w:after="0"/>
        <w:ind w:left="838" w:right="116" w:hanging="720"/>
        <w:jc w:val="both"/>
        <w:rPr>
          <w:sz w:val="20"/>
        </w:rPr>
      </w:pPr>
      <w:r>
        <w:rPr>
          <w:sz w:val="20"/>
        </w:rPr>
        <w:t>Příjemce prohlašuje, že splnil veškeré zákonem či svými vnitřními předpisy stanovené náležitosti nutné pro uzavření tohoto Dodatku a je tak oprávněn tento Dodatek platně</w:t>
      </w:r>
      <w:r>
        <w:rPr>
          <w:spacing w:val="-4"/>
          <w:sz w:val="20"/>
        </w:rPr>
        <w:t> </w:t>
      </w:r>
      <w:r>
        <w:rPr>
          <w:sz w:val="20"/>
        </w:rPr>
        <w:t>uzavřít.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</w:pPr>
      <w:r>
        <w:rPr/>
        <w:t>ZÁVĚREČNÁ USTANOVENÍ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23" w:lineRule="auto" w:before="0" w:after="0"/>
        <w:ind w:left="838" w:right="115" w:hanging="720"/>
        <w:jc w:val="both"/>
        <w:rPr>
          <w:sz w:val="20"/>
        </w:rPr>
      </w:pPr>
      <w:r>
        <w:rPr>
          <w:sz w:val="20"/>
        </w:rPr>
        <w:t>Tento Dodatek se řídí českým právem, zejm. příslušnými ustanoveními zákona    č. 89/2012 Sb., občanský zákoník, ve znění pozdějších</w:t>
      </w:r>
      <w:r>
        <w:rPr>
          <w:spacing w:val="-13"/>
          <w:sz w:val="20"/>
        </w:rPr>
        <w:t> </w:t>
      </w:r>
      <w:r>
        <w:rPr>
          <w:sz w:val="20"/>
        </w:rPr>
        <w:t>předpisů.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23" w:lineRule="auto" w:before="0" w:after="0"/>
        <w:ind w:left="838" w:right="121" w:hanging="720"/>
        <w:jc w:val="both"/>
        <w:rPr>
          <w:sz w:val="20"/>
        </w:rPr>
      </w:pP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Dodatek</w:t>
      </w:r>
      <w:r>
        <w:rPr>
          <w:spacing w:val="-8"/>
          <w:sz w:val="20"/>
        </w:rPr>
        <w:t> </w:t>
      </w:r>
      <w:r>
        <w:rPr>
          <w:sz w:val="20"/>
        </w:rPr>
        <w:t>může</w:t>
      </w:r>
      <w:r>
        <w:rPr>
          <w:spacing w:val="-9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měněn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9"/>
          <w:sz w:val="20"/>
        </w:rPr>
        <w:t> </w:t>
      </w:r>
      <w:r>
        <w:rPr>
          <w:sz w:val="20"/>
        </w:rPr>
        <w:t>písemně;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písemnou</w:t>
      </w:r>
      <w:r>
        <w:rPr>
          <w:spacing w:val="-5"/>
          <w:sz w:val="20"/>
        </w:rPr>
        <w:t> </w:t>
      </w:r>
      <w:r>
        <w:rPr>
          <w:sz w:val="20"/>
        </w:rPr>
        <w:t>formu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tento účel považována výměna e-mailových či jiných elektronických zpráv ani</w:t>
      </w:r>
      <w:r>
        <w:rPr>
          <w:spacing w:val="-38"/>
          <w:sz w:val="20"/>
        </w:rPr>
        <w:t> </w:t>
      </w:r>
      <w:r>
        <w:rPr>
          <w:sz w:val="20"/>
        </w:rPr>
        <w:t>oznámení.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23" w:lineRule="auto" w:before="0" w:after="0"/>
        <w:ind w:left="838" w:right="118" w:hanging="720"/>
        <w:jc w:val="both"/>
        <w:rPr>
          <w:sz w:val="20"/>
        </w:rPr>
      </w:pPr>
      <w:r>
        <w:rPr>
          <w:sz w:val="20"/>
        </w:rPr>
        <w:t>Tento Dodatek nabývá platnosti dnem jeho popisu poslední Smluvní stranou a účinnosti dnem jejího uveřejnění v registru smluv dle zákona č. 340/2015</w:t>
      </w:r>
      <w:r>
        <w:rPr>
          <w:spacing w:val="41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line="243" w:lineRule="exact" w:before="5"/>
        <w:ind w:left="838"/>
        <w:jc w:val="both"/>
      </w:pPr>
      <w:r>
        <w:rPr/>
        <w:t>o zvláštních podmínkách účinnosti některých smluv, uveřejňování těchto smluv a</w:t>
      </w:r>
    </w:p>
    <w:p>
      <w:pPr>
        <w:pStyle w:val="BodyText"/>
        <w:ind w:left="838" w:right="116"/>
        <w:jc w:val="both"/>
      </w:pPr>
      <w:r>
        <w:rPr/>
        <w:t>o registru smluv (zákon o registru smluv), ve znění pozdějších předpisů, za předpokladu, že tento zákon na Příjemce dopadá a danou povinnost mu stanoví.  V opačném případě nabývá Dodatek účinnosti dnem podpisu poslední Smluvní stranou.</w:t>
      </w:r>
    </w:p>
    <w:p>
      <w:pPr>
        <w:pStyle w:val="BodyText"/>
        <w:spacing w:before="120"/>
        <w:ind w:left="838" w:right="119"/>
        <w:jc w:val="both"/>
      </w:pPr>
      <w:r>
        <w:rPr/>
        <w:t>Uveřejnění tohoto Dodatku v registru smluv zajistí Příjemce. Příjemce písemně potvrdí Nadaci splnění povinnosti zveřejnit Dodatek v registru smluv bez zbytečného odkladu po jeho uveřejnění.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32" w:lineRule="auto" w:before="128" w:after="0"/>
        <w:ind w:left="838" w:right="118" w:hanging="720"/>
        <w:jc w:val="both"/>
        <w:rPr>
          <w:sz w:val="20"/>
        </w:rPr>
      </w:pPr>
      <w:r>
        <w:rPr>
          <w:sz w:val="20"/>
        </w:rPr>
        <w:t>Tento Dodatek je vyhotoven ve dvou vyhotoveních, z nichž každá Smluvní strana obdrží jedno vyhotovení. V případě podpisu Dodatku v elektronické podobě bude tento podepsán kvalifikovaným elektronickým podpisem oběma Smluvními stranami, přičemž každá Smluvní strana obdrží dané</w:t>
      </w:r>
      <w:r>
        <w:rPr>
          <w:spacing w:val="-7"/>
          <w:sz w:val="20"/>
        </w:rPr>
        <w:t> </w:t>
      </w:r>
      <w:r>
        <w:rPr>
          <w:sz w:val="20"/>
        </w:rPr>
        <w:t>vyhotovení.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Smluvní strany prohlašují, že si tento Dodatek přečetly, že jeho obsahu rozumí, souhlasí</w:t>
      </w:r>
    </w:p>
    <w:p>
      <w:pPr>
        <w:pStyle w:val="BodyText"/>
        <w:spacing w:before="2"/>
        <w:ind w:left="118"/>
      </w:pPr>
      <w:r>
        <w:rPr/>
        <w:t>s ním a na důkaz pravé a svobodné vůle připojují níže své podpisy.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738" w:val="left" w:leader="none"/>
          <w:tab w:pos="5159" w:val="left" w:leader="none"/>
          <w:tab w:pos="8652" w:val="left" w:leader="none"/>
        </w:tabs>
        <w:spacing w:before="100"/>
        <w:ind w:left="118"/>
      </w:pPr>
      <w:r>
        <w:rPr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</w:t>
      </w:r>
      <w:r>
        <w:rPr>
          <w:u w:val="single"/>
        </w:rPr>
        <w:t> </w:t>
        <w:tab/>
      </w:r>
      <w:r>
        <w:rPr/>
        <w:tab/>
        <w:t>V Praze</w:t>
      </w:r>
      <w:r>
        <w:rPr>
          <w:spacing w:val="-5"/>
        </w:rPr>
        <w:t> </w:t>
      </w:r>
      <w:r>
        <w:rPr/>
        <w:t>dne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tabs>
          <w:tab w:pos="5159" w:val="left" w:leader="none"/>
        </w:tabs>
        <w:spacing w:before="99"/>
        <w:ind w:left="118" w:right="0" w:firstLine="0"/>
        <w:jc w:val="left"/>
        <w:rPr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b/>
          <w:sz w:val="20"/>
        </w:rPr>
        <w:t>Nadaci</w:t>
      </w:r>
      <w:r>
        <w:rPr>
          <w:sz w:val="20"/>
        </w:rPr>
        <w:t>:</w:t>
        <w:tab/>
        <w:t>Za</w:t>
      </w:r>
      <w:r>
        <w:rPr>
          <w:spacing w:val="-2"/>
          <w:sz w:val="20"/>
        </w:rPr>
        <w:t> </w:t>
      </w:r>
      <w:r>
        <w:rPr>
          <w:b/>
          <w:sz w:val="20"/>
        </w:rPr>
        <w:t>Příjemce</w:t>
      </w:r>
      <w:r>
        <w:rPr>
          <w:sz w:val="20"/>
        </w:rPr>
        <w:t>:</w:t>
      </w:r>
    </w:p>
    <w:p>
      <w:pPr>
        <w:spacing w:line="237" w:lineRule="auto" w:before="168"/>
        <w:ind w:left="1932" w:right="5874" w:firstLine="0"/>
        <w:jc w:val="left"/>
        <w:rPr>
          <w:rFonts w:ascii="Calibri" w:hAnsi="Calibri"/>
          <w:sz w:val="19"/>
        </w:rPr>
      </w:pPr>
      <w:r>
        <w:rPr/>
        <w:pict>
          <v:group style="position:absolute;margin-left:322.989990pt;margin-top:12.049857pt;width:178.1pt;height:49.5pt;mso-position-horizontal-relative:page;mso-position-vertical-relative:paragraph;z-index:251664384" coordorigin="6460,241" coordsize="3562,990">
            <v:line style="position:absolute" from="6460,1225" to="10021,1225" stroked="true" strokeweight=".587640pt" strokecolor="#000000">
              <v:stroke dashstyle="solid"/>
            </v:line>
            <v:shape style="position:absolute;left:7777;top:250;width:922;height:916" coordorigin="7777,251" coordsize="922,916" path="m7943,973l7863,1025,7812,1075,7785,1119,7777,1151,7783,1163,7788,1166,7847,1166,7853,1164,7795,1164,7803,1130,7833,1082,7881,1027,7943,973xm8171,251l8153,263,8143,292,8140,324,8139,347,8140,367,8142,390,8145,413,8149,438,8153,462,8159,488,8165,514,8171,539,8164,569,8145,624,8115,697,8077,782,8033,871,7985,959,7935,1039,7885,1104,7838,1148,7795,1164,7853,1164,7856,1163,7905,1121,7964,1046,8033,935,8042,933,8033,933,8089,833,8129,751,8157,686,8176,634,8188,591,8221,591,8200,536,8207,488,8188,488,8177,447,8170,407,8166,370,8165,336,8165,322,8167,298,8173,273,8185,257,8207,257,8195,252,8171,251xm8690,931l8663,931,8653,940,8653,965,8663,975,8690,975,8694,970,8666,970,8658,963,8658,943,8666,935,8694,935,8690,931xm8694,935l8687,935,8693,943,8693,963,8687,970,8694,970,8699,965,8699,940,8694,935xm8682,938l8667,938,8667,965,8672,965,8672,955,8684,955,8683,954,8680,953,8686,951,8672,951,8672,944,8685,944,8685,942,8682,938xm8684,955l8677,955,8679,958,8680,961,8681,965,8686,965,8685,961,8685,957,8684,955xm8685,944l8678,944,8680,945,8680,950,8677,951,8686,951,8686,948,8685,944xm8221,591l8188,591,8239,693,8292,762,8341,806,8381,832,8314,845,8244,862,8173,882,8102,905,8033,933,8042,933,8103,914,8178,894,8257,878,8337,865,8415,856,8486,856,8471,849,8535,846,8680,846,8656,833,8620,826,8430,826,8408,813,8386,800,8365,786,8345,771,8298,724,8259,667,8226,603,8221,591xm8486,856l8415,856,8477,883,8538,904,8594,918,8641,922,8660,921,8675,917,8685,910,8686,907,8661,907,8623,903,8577,891,8525,873,8486,856xm8690,901l8683,903,8673,907,8686,907,8690,901xm8680,846l8535,846,8609,848,8669,861,8693,890,8696,884,8699,881,8699,874,8688,850,8680,846xm8542,819l8517,820,8490,821,8430,826,8620,826,8606,822,8542,819xm8216,328l8211,356,8206,391,8198,435,8188,488,8207,488,8208,482,8212,431,8215,380,8216,328xm8207,257l8185,257,8195,263,8204,273,8212,289,8216,311,8220,276,8212,258,8207,257xe" filled="true" fillcolor="#ffd8d8" stroked="false">
              <v:path arrowok="t"/>
              <v:fill type="solid"/>
            </v:shape>
            <v:shape style="position:absolute;left:6487;top:290;width:1129;height:386" type="#_x0000_t202" filled="false" stroked="false">
              <v:textbox inset="0,0,0,0">
                <w:txbxContent>
                  <w:p>
                    <w:pPr>
                      <w:spacing w:line="385" w:lineRule="exact" w:before="0"/>
                      <w:ind w:left="0" w:right="0" w:firstLine="0"/>
                      <w:jc w:val="lef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Ing.Mgr.</w:t>
                    </w:r>
                  </w:p>
                </w:txbxContent>
              </v:textbox>
              <w10:wrap type="none"/>
            </v:shape>
            <v:shape style="position:absolute;left:8269;top:241;width:1684;height:450" type="#_x0000_t202" filled="false" stroked="false">
              <v:textbox inset="0,0,0,0">
                <w:txbxContent>
                  <w:p>
                    <w:pPr>
                      <w:spacing w:line="249" w:lineRule="auto" w:before="4"/>
                      <w:ind w:left="0" w:right="-8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>Digitálně podepsal Ing.Mgr. Libor Bezděk</w:t>
                    </w:r>
                  </w:p>
                </w:txbxContent>
              </v:textbox>
              <w10:wrap type="none"/>
            </v:shape>
            <v:shape style="position:absolute;left:6487;top:675;width:3238;height:386" type="#_x0000_t202" filled="false" stroked="false">
              <v:textbox inset="0,0,0,0">
                <w:txbxContent>
                  <w:p>
                    <w:pPr>
                      <w:spacing w:line="382" w:lineRule="exact" w:before="3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position w:val="-10"/>
                        <w:sz w:val="32"/>
                      </w:rPr>
                      <w:t>Libor</w:t>
                    </w:r>
                    <w:r>
                      <w:rPr>
                        <w:rFonts w:ascii="Calibri" w:hAnsi="Calibri"/>
                        <w:spacing w:val="-27"/>
                        <w:w w:val="105"/>
                        <w:position w:val="-10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position w:val="-10"/>
                        <w:sz w:val="32"/>
                      </w:rPr>
                      <w:t>Bezděk</w:t>
                    </w:r>
                    <w:r>
                      <w:rPr>
                        <w:rFonts w:ascii="Calibri" w:hAnsi="Calibri"/>
                        <w:spacing w:val="-33"/>
                        <w:w w:val="105"/>
                        <w:position w:val="-10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Datum:</w:t>
                    </w:r>
                    <w:r>
                      <w:rPr>
                        <w:rFonts w:ascii="Calibri" w:hAnsi="Calibri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w w:val="105"/>
                        <w:sz w:val="18"/>
                      </w:rPr>
                      <w:t>2023.06.02</w:t>
                    </w:r>
                  </w:p>
                </w:txbxContent>
              </v:textbox>
              <w10:wrap type="none"/>
            </v:shape>
            <v:shape style="position:absolute;left:8269;top:919;width:1259;height:222" type="#_x0000_t202" filled="false" stroked="false">
              <v:textbox inset="0,0,0,0">
                <w:txbxContent>
                  <w:p>
                    <w:pPr>
                      <w:spacing w:line="217" w:lineRule="exact" w:before="4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13:56:39 +02'00'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2.731445pt;margin-top:8.84479pt;width:64.95pt;height:45.95pt;mso-position-horizontal-relative:page;mso-position-vertical-relative:paragraph;z-index:251665408" coordorigin="1655,177" coordsize="1299,919">
            <v:rect style="position:absolute;left:1654;top:176;width:1299;height:919" filled="true" fillcolor="#ffffff" stroked="false">
              <v:fill type="solid"/>
            </v:rect>
            <v:shape style="position:absolute;left:1886;top:217;width:838;height:838" type="#_x0000_t75" stroked="false">
              <v:imagedata r:id="rId6" o:title=""/>
            </v:shape>
            <w10:wrap type="none"/>
          </v:group>
        </w:pict>
      </w:r>
      <w:r>
        <w:rPr>
          <w:rFonts w:ascii="Calibri" w:hAnsi="Calibri"/>
          <w:sz w:val="19"/>
        </w:rPr>
        <w:t>Digitálně podepsal Luboš Veselý Datum: 2023.06.01</w:t>
      </w:r>
    </w:p>
    <w:p>
      <w:pPr>
        <w:pStyle w:val="BodyText"/>
        <w:spacing w:line="227" w:lineRule="exact"/>
        <w:ind w:left="1932"/>
        <w:rPr>
          <w:rFonts w:ascii="Calibri"/>
        </w:rPr>
      </w:pPr>
      <w:r>
        <w:rPr>
          <w:rFonts w:ascii="Calibri"/>
          <w:position w:val="-4"/>
        </w:rPr>
        <w:pict>
          <v:shape style="width:63.6pt;height:11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19:23:20 </w:t>
                  </w:r>
                  <w:r>
                    <w:rPr>
                      <w:rFonts w:ascii="Calibri"/>
                      <w:spacing w:val="-3"/>
                      <w:sz w:val="19"/>
                    </w:rPr>
                    <w:t>+02'00'</w:t>
                  </w:r>
                </w:p>
              </w:txbxContent>
            </v:textbox>
          </v:shape>
        </w:pict>
      </w:r>
      <w:r>
        <w:rPr>
          <w:rFonts w:ascii="Calibri"/>
          <w:position w:val="-4"/>
        </w:rPr>
      </w:r>
    </w:p>
    <w:p>
      <w:pPr>
        <w:pStyle w:val="BodyText"/>
        <w:spacing w:before="10"/>
        <w:rPr>
          <w:rFonts w:ascii="Calibri"/>
          <w:sz w:val="7"/>
        </w:rPr>
      </w:pPr>
      <w:r>
        <w:rPr/>
        <w:pict>
          <v:shape style="position:absolute;margin-left:70.944pt;margin-top:7.071664pt;width:178.15pt;height:.1pt;mso-position-horizontal-relative:page;mso-position-vertical-relative:paragraph;z-index:-251657216;mso-wrap-distance-left:0;mso-wrap-distance-right:0" coordorigin="1419,141" coordsize="3563,0" path="m1419,141l4981,141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59" w:val="left" w:leader="none"/>
        </w:tabs>
        <w:ind w:left="118"/>
      </w:pPr>
      <w:r>
        <w:rPr/>
        <w:t>Luboš</w:t>
      </w:r>
      <w:r>
        <w:rPr>
          <w:spacing w:val="-5"/>
        </w:rPr>
        <w:t> </w:t>
      </w:r>
      <w:r>
        <w:rPr/>
        <w:t>Veselý</w:t>
        <w:tab/>
        <w:t>Libor</w:t>
      </w:r>
      <w:r>
        <w:rPr>
          <w:spacing w:val="1"/>
        </w:rPr>
        <w:t> </w:t>
      </w:r>
      <w:r>
        <w:rPr/>
        <w:t>Bezděk</w:t>
      </w:r>
    </w:p>
    <w:p>
      <w:pPr>
        <w:pStyle w:val="BodyText"/>
        <w:tabs>
          <w:tab w:pos="5159" w:val="left" w:leader="none"/>
        </w:tabs>
        <w:spacing w:before="1"/>
        <w:ind w:left="118"/>
      </w:pPr>
      <w:r>
        <w:rPr/>
        <w:t>ředitel nadace, na základě</w:t>
      </w:r>
      <w:r>
        <w:rPr>
          <w:spacing w:val="-11"/>
        </w:rPr>
        <w:t> </w:t>
      </w:r>
      <w:r>
        <w:rPr/>
        <w:t>plné</w:t>
      </w:r>
      <w:r>
        <w:rPr>
          <w:spacing w:val="-4"/>
        </w:rPr>
        <w:t> </w:t>
      </w:r>
      <w:r>
        <w:rPr/>
        <w:t>moci</w:t>
        <w:tab/>
        <w:t>ředitel Dům dětí a mládeže</w:t>
      </w:r>
      <w:r>
        <w:rPr>
          <w:spacing w:val="15"/>
        </w:rPr>
        <w:t> </w:t>
      </w:r>
      <w:r>
        <w:rPr/>
        <w:t>hlavního</w:t>
      </w:r>
    </w:p>
    <w:p>
      <w:pPr>
        <w:pStyle w:val="BodyText"/>
        <w:ind w:left="5159"/>
      </w:pPr>
      <w:r>
        <w:rPr/>
        <w:t>města Prahy</w:t>
      </w:r>
    </w:p>
    <w:sectPr>
      <w:pgSz w:w="11910" w:h="16840"/>
      <w:pgMar w:header="0" w:footer="1018" w:top="90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529999pt;margin-top:780.002502pt;width:12.35pt;height:14.15pt;mso-position-horizontal-relative:page;mso-position-vertical-relative:page;z-index:-2517985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72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33" w:hanging="72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79" w:hanging="72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26" w:hanging="72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3" w:hanging="72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19" w:hanging="72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66" w:hanging="72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13" w:hanging="720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upperLetter"/>
      <w:lvlText w:val="(%1)"/>
      <w:lvlJc w:val="left"/>
      <w:pPr>
        <w:ind w:left="742" w:hanging="624"/>
        <w:jc w:val="left"/>
      </w:pPr>
      <w:rPr>
        <w:rFonts w:hint="default" w:ascii="Verdana" w:hAnsi="Verdana" w:eastAsia="Verdana" w:cs="Verdana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596" w:hanging="62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53" w:hanging="62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09" w:hanging="62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66" w:hanging="62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23" w:hanging="62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79" w:hanging="62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36" w:hanging="62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93" w:hanging="624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 w:cs="Verdana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38" w:hanging="720"/>
      <w:jc w:val="both"/>
    </w:pPr>
    <w:rPr>
      <w:rFonts w:ascii="Verdana" w:hAnsi="Verdana" w:eastAsia="Verdana" w:cs="Verdana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Kupilíková Karla</dc:creator>
  <dcterms:created xsi:type="dcterms:W3CDTF">2023-06-05T09:34:19Z</dcterms:created>
  <dcterms:modified xsi:type="dcterms:W3CDTF">2023-06-05T09:34:19Z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2023-06-05T00:00:00Z</vt:filetime>
  </property>
</Properties>
</file>