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Garamond" w:hAnsi="Garamond"/>
          <w:b/>
          <w:b/>
          <w:sz w:val="32"/>
          <w:szCs w:val="32"/>
        </w:rPr>
      </w:pPr>
      <w:r>
        <w:rPr>
          <w:rFonts w:ascii="Garamond" w:hAnsi="Garamond"/>
          <w:b/>
          <w:sz w:val="32"/>
          <w:szCs w:val="32"/>
        </w:rPr>
        <w:t xml:space="preserve">Rámcová smlouva o provádění úklidu </w:t>
      </w:r>
    </w:p>
    <w:p>
      <w:pPr>
        <w:pStyle w:val="Normal"/>
        <w:spacing w:lineRule="atLeast" w:line="280"/>
        <w:jc w:val="center"/>
        <w:rPr>
          <w:rFonts w:ascii="Garamond" w:hAnsi="Garamond" w:cs="Calibri"/>
          <w:i/>
          <w:i/>
          <w:sz w:val="24"/>
          <w:szCs w:val="24"/>
        </w:rPr>
      </w:pPr>
      <w:r>
        <w:rPr>
          <w:rFonts w:ascii="Garamond" w:hAnsi="Garamond"/>
          <w:i/>
          <w:sz w:val="24"/>
          <w:szCs w:val="24"/>
        </w:rPr>
        <w:t xml:space="preserve">Uzavřená dle ustanovení </w:t>
      </w:r>
      <w:r>
        <w:rPr>
          <w:rFonts w:cs="Calibri" w:ascii="Garamond" w:hAnsi="Garamond"/>
          <w:i/>
          <w:sz w:val="24"/>
          <w:szCs w:val="24"/>
        </w:rPr>
        <w:t>§ 2586 a násl. zákona č. 89/2012 Sb., občanský zákoník, ve znění pozdějších předpisů (dále jen „</w:t>
      </w:r>
      <w:r>
        <w:rPr>
          <w:rFonts w:cs="Calibri" w:ascii="Garamond" w:hAnsi="Garamond"/>
          <w:b/>
          <w:i/>
          <w:sz w:val="24"/>
          <w:szCs w:val="24"/>
        </w:rPr>
        <w:t>Občanský zákoník</w:t>
      </w:r>
      <w:r>
        <w:rPr>
          <w:rFonts w:cs="Calibri" w:ascii="Garamond" w:hAnsi="Garamond"/>
          <w:i/>
          <w:sz w:val="24"/>
          <w:szCs w:val="24"/>
        </w:rPr>
        <w:t xml:space="preserve">“) </w:t>
      </w:r>
    </w:p>
    <w:p>
      <w:pPr>
        <w:pStyle w:val="NoSpacing"/>
        <w:ind w:left="0" w:hanging="0"/>
        <w:rPr>
          <w:rFonts w:ascii="Garamond" w:hAnsi="Garamond"/>
          <w:sz w:val="24"/>
          <w:szCs w:val="24"/>
        </w:rPr>
      </w:pPr>
      <w:r>
        <w:rPr>
          <w:rFonts w:ascii="Garamond" w:hAnsi="Garamond"/>
          <w:sz w:val="24"/>
          <w:szCs w:val="24"/>
        </w:rPr>
      </w:r>
    </w:p>
    <w:p>
      <w:pPr>
        <w:pStyle w:val="NoSpacing"/>
        <w:jc w:val="center"/>
        <w:rPr>
          <w:rFonts w:ascii="Garamond" w:hAnsi="Garamond"/>
          <w:sz w:val="24"/>
          <w:szCs w:val="24"/>
        </w:rPr>
      </w:pPr>
      <w:r>
        <w:rPr>
          <w:rFonts w:ascii="Garamond" w:hAnsi="Garamond"/>
          <w:sz w:val="24"/>
          <w:szCs w:val="24"/>
        </w:rPr>
        <w:t>(dále jen „</w:t>
      </w:r>
      <w:r>
        <w:rPr>
          <w:rFonts w:ascii="Garamond" w:hAnsi="Garamond"/>
          <w:b/>
          <w:sz w:val="24"/>
          <w:szCs w:val="24"/>
        </w:rPr>
        <w:t>Smlouva</w:t>
      </w:r>
      <w:r>
        <w:rPr>
          <w:rFonts w:ascii="Garamond" w:hAnsi="Garamond"/>
          <w:sz w:val="24"/>
          <w:szCs w:val="24"/>
        </w:rPr>
        <w:t>“)</w:t>
      </w:r>
    </w:p>
    <w:p>
      <w:pPr>
        <w:pStyle w:val="Normal"/>
        <w:widowControl w:val="false"/>
        <w:spacing w:before="120" w:after="120"/>
        <w:jc w:val="both"/>
        <w:rPr>
          <w:rFonts w:ascii="Garamond" w:hAnsi="Garamond"/>
          <w:caps/>
          <w:sz w:val="24"/>
          <w:szCs w:val="24"/>
        </w:rPr>
      </w:pPr>
      <w:r>
        <w:rPr>
          <w:rFonts w:ascii="Garamond" w:hAnsi="Garamond"/>
          <w:caps/>
          <w:sz w:val="24"/>
          <w:szCs w:val="24"/>
        </w:rPr>
      </w:r>
    </w:p>
    <w:p>
      <w:pPr>
        <w:pStyle w:val="NoSpacing"/>
        <w:spacing w:before="120" w:after="280"/>
        <w:rPr>
          <w:rFonts w:ascii="Garamond" w:hAnsi="Garamond"/>
          <w:b/>
          <w:b/>
          <w:sz w:val="24"/>
          <w:szCs w:val="24"/>
        </w:rPr>
      </w:pPr>
      <w:r>
        <w:rPr>
          <w:rFonts w:ascii="Garamond" w:hAnsi="Garamond"/>
          <w:b/>
          <w:sz w:val="24"/>
          <w:szCs w:val="24"/>
        </w:rPr>
        <w:t>Psychiatrická nemocnice v Kroměříži</w:t>
      </w:r>
    </w:p>
    <w:p>
      <w:pPr>
        <w:pStyle w:val="NoSpacing"/>
        <w:spacing w:before="120" w:after="280"/>
        <w:rPr>
          <w:rFonts w:ascii="Garamond" w:hAnsi="Garamond"/>
          <w:sz w:val="24"/>
          <w:szCs w:val="24"/>
        </w:rPr>
      </w:pPr>
      <w:r>
        <w:rPr>
          <w:rFonts w:ascii="Garamond" w:hAnsi="Garamond"/>
          <w:sz w:val="24"/>
          <w:szCs w:val="24"/>
        </w:rPr>
        <w:t>Se sídlem: Havlíčkova 1265, 767 40 Kroměříž</w:t>
      </w:r>
    </w:p>
    <w:p>
      <w:pPr>
        <w:pStyle w:val="NoSpacing"/>
        <w:spacing w:before="120" w:after="280"/>
        <w:rPr>
          <w:rFonts w:ascii="Garamond" w:hAnsi="Garamond"/>
          <w:sz w:val="24"/>
          <w:szCs w:val="24"/>
        </w:rPr>
      </w:pPr>
      <w:r>
        <w:rPr>
          <w:rFonts w:ascii="Garamond" w:hAnsi="Garamond"/>
          <w:sz w:val="24"/>
          <w:szCs w:val="24"/>
        </w:rPr>
        <w:t xml:space="preserve">IČO: 00567914 </w:t>
      </w:r>
    </w:p>
    <w:p>
      <w:pPr>
        <w:pStyle w:val="NoSpacing"/>
        <w:spacing w:before="120" w:after="280"/>
        <w:rPr>
          <w:rFonts w:ascii="Garamond" w:hAnsi="Garamond"/>
          <w:sz w:val="24"/>
          <w:szCs w:val="24"/>
        </w:rPr>
      </w:pPr>
      <w:r>
        <w:rPr>
          <w:rFonts w:ascii="Garamond" w:hAnsi="Garamond"/>
          <w:sz w:val="24"/>
          <w:szCs w:val="24"/>
        </w:rPr>
        <w:t>DIČ: CZ00567914</w:t>
      </w:r>
    </w:p>
    <w:p>
      <w:pPr>
        <w:pStyle w:val="NoSpacing"/>
        <w:spacing w:before="120" w:after="280"/>
        <w:rPr>
          <w:rFonts w:ascii="Garamond" w:hAnsi="Garamond"/>
          <w:sz w:val="24"/>
          <w:szCs w:val="24"/>
        </w:rPr>
      </w:pPr>
      <w:r>
        <w:rPr>
          <w:rFonts w:ascii="Garamond" w:hAnsi="Garamond"/>
          <w:sz w:val="24"/>
          <w:szCs w:val="24"/>
        </w:rPr>
        <w:t>Bankovní spojení: účet vedený u ČNB, 39630691/0710</w:t>
      </w:r>
    </w:p>
    <w:p>
      <w:pPr>
        <w:pStyle w:val="NoSpacing"/>
        <w:spacing w:before="120" w:after="280"/>
        <w:rPr>
          <w:rFonts w:ascii="Garamond" w:hAnsi="Garamond"/>
          <w:sz w:val="24"/>
          <w:szCs w:val="24"/>
        </w:rPr>
      </w:pPr>
      <w:r>
        <w:rPr>
          <w:rFonts w:ascii="Garamond" w:hAnsi="Garamond"/>
          <w:sz w:val="24"/>
          <w:szCs w:val="24"/>
        </w:rPr>
        <w:t>Zřízena na základě Zřizovací listiny vydané Ministerstvem zdravotnictví dne 29. března 2013 pod čj.: 8870-IX/2013, ve znění změn provedených Opatřením Ministerstva zdravotnictví vydaného pod čj.: MZDR 49619/2016-1/OPŘ ze dne 6. září 2016 ve znění změn provedených Opatřením Ministerstva zdravotnictví vydaného pod čj.: MZDR 28063/2018-2/OPŘ ze dne 18. září 2018 a ve znění změn provedených Opatřením Ministerstva zdravotnictví vydaného pod čj. MZDR 3335/2023-1 OPŘ</w:t>
      </w:r>
    </w:p>
    <w:p>
      <w:pPr>
        <w:pStyle w:val="NoSpacing"/>
        <w:spacing w:before="120" w:after="280"/>
        <w:rPr>
          <w:rFonts w:ascii="Garamond" w:hAnsi="Garamond"/>
          <w:sz w:val="24"/>
          <w:szCs w:val="24"/>
        </w:rPr>
      </w:pPr>
      <w:r>
        <w:rPr>
          <w:rFonts w:ascii="Garamond" w:hAnsi="Garamond"/>
          <w:sz w:val="24"/>
          <w:szCs w:val="24"/>
        </w:rPr>
        <w:t>Jejímž jménem jedná: Mgr. Pavel Polák, ředitel</w:t>
      </w:r>
    </w:p>
    <w:p>
      <w:pPr>
        <w:pStyle w:val="NoSpacing"/>
        <w:spacing w:before="120" w:after="280"/>
        <w:rPr/>
      </w:pPr>
      <w:r>
        <w:rPr>
          <w:rFonts w:ascii="Garamond" w:hAnsi="Garamond"/>
          <w:sz w:val="24"/>
          <w:szCs w:val="24"/>
        </w:rPr>
        <w:t xml:space="preserve">Kontaktní osoba ve věcech technických: </w:t>
      </w:r>
      <w:r>
        <w:rPr>
          <w:rFonts w:ascii="Garamond" w:hAnsi="Garamond"/>
          <w:color w:val="000000"/>
          <w:sz w:val="24"/>
          <w:szCs w:val="24"/>
          <w:highlight w:val="black"/>
        </w:rPr>
        <w:t>xxxxxxxxxxxx</w:t>
      </w:r>
      <w:r>
        <w:rPr>
          <w:rFonts w:ascii="Garamond" w:hAnsi="Garamond"/>
          <w:sz w:val="24"/>
          <w:szCs w:val="24"/>
        </w:rPr>
        <w:t xml:space="preserve">, vedoucí provozního oddělení, </w:t>
      </w:r>
      <w:r>
        <w:rPr>
          <w:rFonts w:ascii="Garamond" w:hAnsi="Garamond"/>
          <w:color w:val="000000"/>
          <w:sz w:val="24"/>
          <w:szCs w:val="24"/>
          <w:highlight w:val="black"/>
        </w:rPr>
        <w:t>xxxxxxxxxxx</w:t>
      </w:r>
      <w:r>
        <w:rPr>
          <w:rFonts w:ascii="Garamond" w:hAnsi="Garamond"/>
          <w:sz w:val="24"/>
          <w:szCs w:val="24"/>
        </w:rPr>
        <w:t xml:space="preserve">, </w:t>
      </w:r>
      <w:r>
        <w:rPr>
          <w:rFonts w:ascii="Garamond" w:hAnsi="Garamond"/>
          <w:color w:val="000000"/>
          <w:sz w:val="24"/>
          <w:szCs w:val="24"/>
          <w:highlight w:val="black"/>
        </w:rPr>
        <w:t>xxxxxxxxxxxxx</w:t>
      </w:r>
      <w:r>
        <w:rPr>
          <w:rFonts w:ascii="Garamond" w:hAnsi="Garamond"/>
          <w:sz w:val="24"/>
          <w:szCs w:val="24"/>
        </w:rPr>
        <w:t>@pnkm.cz</w:t>
      </w:r>
    </w:p>
    <w:p>
      <w:pPr>
        <w:pStyle w:val="NoSpacing"/>
        <w:spacing w:before="120" w:after="280"/>
        <w:rPr/>
      </w:pPr>
      <w:r>
        <w:rPr>
          <w:rFonts w:ascii="Garamond" w:hAnsi="Garamond"/>
          <w:sz w:val="24"/>
          <w:szCs w:val="24"/>
        </w:rPr>
        <w:t>Kontaktní osoba ve věcech smluvních:</w:t>
      </w:r>
      <w:r>
        <w:rPr>
          <w:rFonts w:ascii="Garamond" w:hAnsi="Garamond"/>
          <w:sz w:val="24"/>
          <w:szCs w:val="24"/>
        </w:rPr>
        <w:t>x</w:t>
      </w:r>
      <w:r>
        <w:rPr>
          <w:rFonts w:ascii="Garamond" w:hAnsi="Garamond"/>
          <w:color w:val="000000"/>
          <w:sz w:val="24"/>
          <w:szCs w:val="24"/>
          <w:highlight w:val="black"/>
        </w:rPr>
        <w:t>xxxxxxxxx</w:t>
      </w:r>
      <w:r>
        <w:rPr>
          <w:rFonts w:ascii="Garamond" w:hAnsi="Garamond"/>
          <w:sz w:val="24"/>
          <w:szCs w:val="24"/>
        </w:rPr>
        <w:t>, ekonomický náměstek,</w:t>
      </w:r>
      <w:r>
        <w:rPr>
          <w:rFonts w:ascii="Garamond" w:hAnsi="Garamond"/>
          <w:color w:val="000000"/>
          <w:sz w:val="24"/>
          <w:szCs w:val="24"/>
          <w:highlight w:val="black"/>
        </w:rPr>
        <w:t>xxxxxxxxxxxxxx</w:t>
      </w:r>
      <w:r>
        <w:rPr>
          <w:rFonts w:ascii="Garamond" w:hAnsi="Garamond"/>
          <w:sz w:val="24"/>
          <w:szCs w:val="24"/>
        </w:rPr>
        <w:t xml:space="preserve">, </w:t>
      </w:r>
      <w:r>
        <w:rPr>
          <w:rFonts w:ascii="Garamond" w:hAnsi="Garamond"/>
          <w:color w:val="000000"/>
          <w:sz w:val="24"/>
          <w:szCs w:val="24"/>
          <w:highlight w:val="black"/>
        </w:rPr>
        <w:t>xxxxxxxxxxx</w:t>
      </w:r>
      <w:r>
        <w:rPr>
          <w:rFonts w:ascii="Garamond" w:hAnsi="Garamond"/>
          <w:sz w:val="24"/>
          <w:szCs w:val="24"/>
        </w:rPr>
        <w:t>@pnkm.cz</w:t>
      </w:r>
      <w:r>
        <w:rPr>
          <w:rFonts w:cs="Calibri" w:ascii="Garamond" w:hAnsi="Garamond" w:cstheme="minorHAnsi"/>
          <w:sz w:val="24"/>
          <w:szCs w:val="24"/>
        </w:rPr>
        <w:t xml:space="preserve"> </w:t>
      </w:r>
    </w:p>
    <w:p>
      <w:pPr>
        <w:pStyle w:val="NoSpacing"/>
        <w:spacing w:before="120" w:after="280"/>
        <w:rPr>
          <w:rFonts w:ascii="Garamond" w:hAnsi="Garamond" w:cs="Calibri" w:cstheme="minorHAnsi"/>
          <w:sz w:val="24"/>
          <w:szCs w:val="24"/>
        </w:rPr>
      </w:pPr>
      <w:r>
        <w:rPr>
          <w:rFonts w:cs="Calibri" w:ascii="Garamond" w:hAnsi="Garamond" w:cstheme="minorHAnsi"/>
          <w:sz w:val="24"/>
          <w:szCs w:val="24"/>
        </w:rPr>
        <w:t>(dále jen „</w:t>
      </w:r>
      <w:r>
        <w:rPr>
          <w:rFonts w:cs="Calibri" w:ascii="Garamond" w:hAnsi="Garamond" w:cstheme="minorHAnsi"/>
          <w:b/>
          <w:sz w:val="24"/>
          <w:szCs w:val="24"/>
        </w:rPr>
        <w:t>Objednatel</w:t>
      </w:r>
      <w:r>
        <w:rPr>
          <w:rFonts w:cs="Calibri" w:ascii="Garamond" w:hAnsi="Garamond" w:cstheme="minorHAnsi"/>
          <w:sz w:val="24"/>
          <w:szCs w:val="24"/>
        </w:rPr>
        <w:t>“)</w:t>
      </w:r>
    </w:p>
    <w:p>
      <w:pPr>
        <w:pStyle w:val="Normal"/>
        <w:spacing w:before="120" w:after="120"/>
        <w:jc w:val="both"/>
        <w:rPr>
          <w:rFonts w:ascii="Garamond" w:hAnsi="Garamond" w:cs="Calibri" w:cstheme="minorHAnsi"/>
          <w:sz w:val="24"/>
          <w:szCs w:val="24"/>
        </w:rPr>
      </w:pPr>
      <w:r>
        <w:rPr>
          <w:rFonts w:cs="Calibri" w:ascii="Garamond" w:hAnsi="Garamond" w:cstheme="minorHAnsi"/>
          <w:sz w:val="24"/>
          <w:szCs w:val="24"/>
        </w:rPr>
        <w:t>a</w:t>
      </w:r>
    </w:p>
    <w:p>
      <w:pPr>
        <w:pStyle w:val="NoSpacing"/>
        <w:spacing w:before="120" w:after="280"/>
        <w:rPr>
          <w:rFonts w:ascii="Garamond" w:hAnsi="Garamond"/>
          <w:sz w:val="24"/>
          <w:szCs w:val="24"/>
        </w:rPr>
      </w:pPr>
      <w:r>
        <w:rPr>
          <w:rFonts w:ascii="Garamond" w:hAnsi="Garamond"/>
          <w:sz w:val="24"/>
          <w:szCs w:val="24"/>
        </w:rPr>
        <w:t>Dorfner s.r.o.</w:t>
      </w:r>
    </w:p>
    <w:p>
      <w:pPr>
        <w:pStyle w:val="NoSpacing"/>
        <w:spacing w:before="120" w:after="280"/>
        <w:ind w:left="0" w:hanging="0"/>
        <w:rPr>
          <w:rFonts w:ascii="Garamond" w:hAnsi="Garamond"/>
          <w:sz w:val="24"/>
          <w:szCs w:val="24"/>
        </w:rPr>
      </w:pPr>
      <w:r>
        <w:rPr>
          <w:rFonts w:ascii="Garamond" w:hAnsi="Garamond"/>
          <w:sz w:val="24"/>
          <w:szCs w:val="24"/>
        </w:rPr>
        <w:t>Se sídlem: Republikánská 1102/45, Lobzy, 312 00 Plzeň</w:t>
      </w:r>
    </w:p>
    <w:p>
      <w:pPr>
        <w:pStyle w:val="NoSpacing"/>
        <w:spacing w:before="120" w:after="280"/>
        <w:rPr>
          <w:rFonts w:ascii="Garamond" w:hAnsi="Garamond"/>
          <w:sz w:val="24"/>
          <w:szCs w:val="24"/>
        </w:rPr>
      </w:pPr>
      <w:r>
        <w:rPr>
          <w:rFonts w:ascii="Garamond" w:hAnsi="Garamond"/>
          <w:sz w:val="24"/>
          <w:szCs w:val="24"/>
        </w:rPr>
        <w:t>Zastoupena: Janem Staščákem</w:t>
      </w:r>
    </w:p>
    <w:p>
      <w:pPr>
        <w:pStyle w:val="NoSpacing"/>
        <w:spacing w:before="120" w:after="280"/>
        <w:rPr>
          <w:rFonts w:ascii="Garamond" w:hAnsi="Garamond"/>
          <w:sz w:val="24"/>
          <w:szCs w:val="24"/>
        </w:rPr>
      </w:pPr>
      <w:r>
        <w:rPr>
          <w:rFonts w:ascii="Garamond" w:hAnsi="Garamond"/>
          <w:sz w:val="24"/>
          <w:szCs w:val="24"/>
        </w:rPr>
        <w:t xml:space="preserve">IČO: </w:t>
      </w:r>
      <w:bookmarkStart w:id="0" w:name="__DdeLink__2570_2466252956"/>
      <w:r>
        <w:rPr>
          <w:rFonts w:ascii="Garamond" w:hAnsi="Garamond"/>
          <w:sz w:val="24"/>
          <w:szCs w:val="24"/>
        </w:rPr>
        <w:t>271 77 831</w:t>
      </w:r>
      <w:bookmarkEnd w:id="0"/>
    </w:p>
    <w:p>
      <w:pPr>
        <w:pStyle w:val="NoSpacing"/>
        <w:spacing w:before="120" w:after="280"/>
        <w:rPr>
          <w:rFonts w:ascii="Garamond" w:hAnsi="Garamond"/>
          <w:sz w:val="24"/>
          <w:szCs w:val="24"/>
        </w:rPr>
      </w:pPr>
      <w:r>
        <w:rPr>
          <w:rFonts w:ascii="Garamond" w:hAnsi="Garamond"/>
          <w:sz w:val="24"/>
          <w:szCs w:val="24"/>
        </w:rPr>
        <w:t>DIČ: CZ 271 77 831</w:t>
      </w:r>
    </w:p>
    <w:p>
      <w:pPr>
        <w:pStyle w:val="NoSpacing"/>
        <w:spacing w:before="120" w:after="280"/>
        <w:rPr>
          <w:rFonts w:ascii="Garamond" w:hAnsi="Garamond"/>
          <w:sz w:val="24"/>
          <w:szCs w:val="24"/>
        </w:rPr>
      </w:pPr>
      <w:r>
        <w:rPr>
          <w:rFonts w:ascii="Garamond" w:hAnsi="Garamond"/>
          <w:sz w:val="24"/>
          <w:szCs w:val="24"/>
        </w:rPr>
        <w:t>Zapsaná v obchodním rejstříku vedeném u Krajského soudu v Plzni oddíl C, vložka 18380</w:t>
      </w:r>
    </w:p>
    <w:p>
      <w:pPr>
        <w:pStyle w:val="NoSpacing"/>
        <w:spacing w:before="120" w:after="280"/>
        <w:rPr>
          <w:rFonts w:ascii="Garamond" w:hAnsi="Garamond"/>
          <w:sz w:val="24"/>
          <w:szCs w:val="24"/>
        </w:rPr>
      </w:pPr>
      <w:r>
        <w:rPr>
          <w:rFonts w:ascii="Garamond" w:hAnsi="Garamond"/>
          <w:sz w:val="24"/>
          <w:szCs w:val="24"/>
        </w:rPr>
        <w:t>Bankovní spojení: UniCredit Bank, č.ú. 584 495 2004/2700</w:t>
      </w:r>
    </w:p>
    <w:p>
      <w:pPr>
        <w:pStyle w:val="NoSpacing"/>
        <w:spacing w:before="120" w:after="280"/>
        <w:rPr>
          <w:rFonts w:ascii="Garamond" w:hAnsi="Garamond"/>
          <w:sz w:val="24"/>
          <w:szCs w:val="24"/>
        </w:rPr>
      </w:pPr>
      <w:r>
        <w:rPr>
          <w:rFonts w:ascii="Garamond" w:hAnsi="Garamond"/>
          <w:sz w:val="24"/>
          <w:szCs w:val="24"/>
        </w:rPr>
        <w:t>Jejímž jménem jedná: Jan Staščák, regionální manažer ČR</w:t>
      </w:r>
    </w:p>
    <w:p>
      <w:pPr>
        <w:pStyle w:val="NoSpacing"/>
        <w:spacing w:before="120" w:after="280"/>
        <w:rPr/>
      </w:pPr>
      <w:r>
        <w:rPr>
          <w:rFonts w:ascii="Garamond" w:hAnsi="Garamond"/>
          <w:sz w:val="24"/>
          <w:szCs w:val="24"/>
        </w:rPr>
        <w:t xml:space="preserve">Kontaktní osoba ve věcech technických: </w:t>
      </w:r>
      <w:r>
        <w:rPr>
          <w:highlight w:val="black"/>
        </w:rPr>
        <w:t>xxxxxxxxxxxxx</w:t>
      </w:r>
      <w:r>
        <w:rPr>
          <w:rFonts w:ascii="Garamond" w:hAnsi="Garamond"/>
          <w:sz w:val="24"/>
          <w:szCs w:val="24"/>
        </w:rPr>
        <w:t>, tel:</w:t>
      </w:r>
      <w:r>
        <w:rPr>
          <w:rFonts w:ascii="Garamond" w:hAnsi="Garamond"/>
          <w:color w:val="000000"/>
          <w:sz w:val="24"/>
          <w:szCs w:val="24"/>
          <w:highlight w:val="black"/>
        </w:rPr>
        <w:t>xxxxxxxxxxxxxx</w:t>
      </w:r>
    </w:p>
    <w:p>
      <w:pPr>
        <w:pStyle w:val="NoSpacing"/>
        <w:spacing w:before="120" w:after="280"/>
        <w:rPr/>
      </w:pPr>
      <w:r>
        <w:rPr>
          <w:rFonts w:ascii="Garamond" w:hAnsi="Garamond"/>
          <w:sz w:val="24"/>
          <w:szCs w:val="24"/>
        </w:rPr>
        <w:t xml:space="preserve">Kontaktní osoba ve věcech smluvních: </w:t>
      </w:r>
      <w:r>
        <w:rPr>
          <w:rFonts w:ascii="Garamond" w:hAnsi="Garamond"/>
          <w:sz w:val="24"/>
          <w:szCs w:val="24"/>
          <w:highlight w:val="black"/>
        </w:rPr>
        <w:t>xxxxxxxxxxxx</w:t>
      </w:r>
      <w:r>
        <w:rPr>
          <w:rFonts w:ascii="Garamond" w:hAnsi="Garamond"/>
          <w:color w:val="000000"/>
          <w:sz w:val="24"/>
          <w:szCs w:val="24"/>
          <w:highlight w:val="black"/>
        </w:rPr>
        <w:t>xx</w:t>
      </w:r>
      <w:r>
        <w:rPr>
          <w:rFonts w:ascii="Garamond" w:hAnsi="Garamond"/>
          <w:sz w:val="24"/>
          <w:szCs w:val="24"/>
        </w:rPr>
        <w:t>, tel:</w:t>
      </w:r>
      <w:r>
        <w:rPr>
          <w:rFonts w:ascii="Garamond" w:hAnsi="Garamond"/>
          <w:color w:val="000000"/>
          <w:sz w:val="24"/>
          <w:szCs w:val="24"/>
          <w:highlight w:val="black"/>
        </w:rPr>
        <w:t>xxxxxxxxxxxxxx</w:t>
      </w:r>
      <w:r>
        <w:rPr>
          <w:rFonts w:ascii="Garamond" w:hAnsi="Garamond"/>
          <w:color w:val="000000"/>
          <w:sz w:val="24"/>
          <w:szCs w:val="24"/>
          <w:highlight w:val="black"/>
        </w:rPr>
        <w:t xml:space="preserve"> </w:t>
      </w:r>
    </w:p>
    <w:p>
      <w:pPr>
        <w:pStyle w:val="Normal"/>
        <w:spacing w:before="120" w:after="120"/>
        <w:jc w:val="both"/>
        <w:rPr>
          <w:rFonts w:ascii="Garamond" w:hAnsi="Garamond" w:cs="Calibri" w:cstheme="minorHAnsi"/>
          <w:sz w:val="24"/>
          <w:szCs w:val="24"/>
        </w:rPr>
      </w:pPr>
      <w:r>
        <w:rPr>
          <w:rFonts w:cs="Calibri" w:ascii="Garamond" w:hAnsi="Garamond" w:cstheme="minorHAnsi"/>
          <w:sz w:val="24"/>
          <w:szCs w:val="24"/>
        </w:rPr>
        <w:t>(dále jen „</w:t>
      </w:r>
      <w:r>
        <w:rPr>
          <w:rFonts w:cs="Calibri" w:ascii="Garamond" w:hAnsi="Garamond" w:cstheme="minorHAnsi"/>
          <w:b/>
          <w:sz w:val="24"/>
          <w:szCs w:val="24"/>
        </w:rPr>
        <w:t>Dodavatel</w:t>
      </w:r>
      <w:r>
        <w:rPr>
          <w:rFonts w:cs="Calibri" w:ascii="Garamond" w:hAnsi="Garamond" w:cstheme="minorHAnsi"/>
          <w:sz w:val="24"/>
          <w:szCs w:val="24"/>
        </w:rPr>
        <w:t>“)</w:t>
      </w:r>
    </w:p>
    <w:p>
      <w:pPr>
        <w:pStyle w:val="Normal"/>
        <w:spacing w:before="120" w:after="280"/>
        <w:jc w:val="both"/>
        <w:rPr>
          <w:rFonts w:ascii="Garamond" w:hAnsi="Garamond" w:cs="Calibri" w:cstheme="minorHAnsi"/>
          <w:sz w:val="24"/>
          <w:szCs w:val="24"/>
        </w:rPr>
      </w:pPr>
      <w:r>
        <w:rPr>
          <w:rFonts w:cs="Calibri" w:cstheme="minorHAnsi" w:ascii="Garamond" w:hAnsi="Garamond"/>
          <w:sz w:val="24"/>
          <w:szCs w:val="24"/>
        </w:rPr>
      </w:r>
    </w:p>
    <w:p>
      <w:pPr>
        <w:pStyle w:val="Normal"/>
        <w:spacing w:before="120" w:after="280"/>
        <w:jc w:val="both"/>
        <w:rPr>
          <w:rFonts w:ascii="Garamond" w:hAnsi="Garamond" w:cs="Calibri" w:cstheme="minorHAnsi"/>
          <w:sz w:val="24"/>
          <w:szCs w:val="24"/>
        </w:rPr>
      </w:pPr>
      <w:r>
        <w:rPr>
          <w:rFonts w:cs="Calibri" w:ascii="Garamond" w:hAnsi="Garamond" w:cstheme="minorHAnsi"/>
          <w:sz w:val="24"/>
          <w:szCs w:val="24"/>
        </w:rPr>
        <w:t>(Objednatel a Dodavatel dále společně jen „</w:t>
      </w:r>
      <w:r>
        <w:rPr>
          <w:rFonts w:cs="Calibri" w:ascii="Garamond" w:hAnsi="Garamond" w:cstheme="minorHAnsi"/>
          <w:b/>
          <w:sz w:val="24"/>
          <w:szCs w:val="24"/>
        </w:rPr>
        <w:t>Smluvní strany</w:t>
      </w:r>
      <w:r>
        <w:rPr>
          <w:rFonts w:cs="Calibri" w:ascii="Garamond" w:hAnsi="Garamond" w:cstheme="minorHAnsi"/>
          <w:sz w:val="24"/>
          <w:szCs w:val="24"/>
        </w:rPr>
        <w:t>“)</w:t>
      </w:r>
    </w:p>
    <w:p>
      <w:pPr>
        <w:pStyle w:val="Normal"/>
        <w:widowControl w:val="false"/>
        <w:spacing w:before="120" w:after="280"/>
        <w:jc w:val="both"/>
        <w:rPr>
          <w:rFonts w:ascii="Garamond" w:hAnsi="Garamond" w:cs="Calibri" w:cstheme="minorHAnsi"/>
          <w:bCs/>
          <w:sz w:val="24"/>
          <w:szCs w:val="24"/>
        </w:rPr>
      </w:pPr>
      <w:r>
        <w:rPr>
          <w:rFonts w:cs="Calibri" w:cstheme="minorHAnsi" w:ascii="Garamond" w:hAnsi="Garamond"/>
          <w:bCs/>
          <w:sz w:val="24"/>
          <w:szCs w:val="24"/>
        </w:rPr>
      </w:r>
    </w:p>
    <w:p>
      <w:pPr>
        <w:pStyle w:val="Normal"/>
        <w:widowControl w:val="false"/>
        <w:spacing w:before="120" w:after="280"/>
        <w:jc w:val="both"/>
        <w:rPr>
          <w:rFonts w:ascii="Garamond" w:hAnsi="Garamond" w:cs="Calibri" w:cstheme="minorHAnsi"/>
          <w:sz w:val="24"/>
          <w:szCs w:val="24"/>
        </w:rPr>
      </w:pPr>
      <w:r>
        <w:rPr>
          <w:rFonts w:cs="Calibri" w:ascii="Garamond" w:hAnsi="Garamond" w:cstheme="minorHAnsi"/>
          <w:bCs/>
          <w:sz w:val="24"/>
          <w:szCs w:val="24"/>
        </w:rPr>
        <w:t>níže uvedeného dne, měsíce a roku uzavřeli</w:t>
      </w:r>
      <w:r>
        <w:rPr>
          <w:rFonts w:cs="Calibri" w:ascii="Garamond" w:hAnsi="Garamond" w:cstheme="minorHAnsi"/>
          <w:sz w:val="24"/>
          <w:szCs w:val="24"/>
        </w:rPr>
        <w:t xml:space="preserve"> na základě výběru nabídky Dodavatele jako nabídky nejvhodnější v rámci veřejné zakázky s názvem „</w:t>
      </w:r>
      <w:r>
        <w:rPr>
          <w:rFonts w:ascii="Garamond" w:hAnsi="Garamond"/>
          <w:b/>
          <w:bCs/>
          <w:sz w:val="24"/>
          <w:szCs w:val="24"/>
        </w:rPr>
        <w:t>PNKM – úklidové služby</w:t>
      </w:r>
      <w:r>
        <w:rPr>
          <w:rFonts w:cs="Calibri" w:ascii="Garamond" w:hAnsi="Garamond" w:cstheme="minorHAnsi"/>
          <w:b/>
          <w:bCs/>
          <w:sz w:val="24"/>
          <w:szCs w:val="24"/>
        </w:rPr>
        <w:t>“</w:t>
      </w:r>
      <w:r>
        <w:rPr>
          <w:rFonts w:cs="Calibri" w:ascii="Garamond" w:hAnsi="Garamond" w:cstheme="minorHAnsi"/>
          <w:sz w:val="24"/>
          <w:szCs w:val="24"/>
        </w:rPr>
        <w:t xml:space="preserve"> </w:t>
      </w:r>
      <w:r>
        <w:rPr>
          <w:rFonts w:cs="Calibri" w:ascii="Garamond" w:hAnsi="Garamond" w:cstheme="minorHAnsi"/>
          <w:bCs/>
          <w:sz w:val="24"/>
          <w:szCs w:val="24"/>
        </w:rPr>
        <w:t xml:space="preserve">následující smlouvu </w:t>
      </w:r>
      <w:r>
        <w:rPr>
          <w:rFonts w:cs="Calibri" w:ascii="Garamond" w:hAnsi="Garamond" w:cstheme="minorHAnsi"/>
          <w:sz w:val="24"/>
          <w:szCs w:val="24"/>
        </w:rPr>
        <w:t>(dále jen „</w:t>
      </w:r>
      <w:r>
        <w:rPr>
          <w:rFonts w:cs="Calibri" w:ascii="Garamond" w:hAnsi="Garamond" w:cstheme="minorHAnsi"/>
          <w:b/>
          <w:sz w:val="24"/>
          <w:szCs w:val="24"/>
        </w:rPr>
        <w:t>Smlouva</w:t>
      </w:r>
      <w:r>
        <w:rPr>
          <w:rFonts w:cs="Calibri" w:ascii="Garamond" w:hAnsi="Garamond" w:cstheme="minorHAnsi"/>
          <w:sz w:val="24"/>
          <w:szCs w:val="24"/>
        </w:rPr>
        <w:t xml:space="preserve">“). Tato Smlouva je uzavřena s Dodavatelem na základě výsledku Zadávacího řízení. </w:t>
      </w:r>
    </w:p>
    <w:p>
      <w:pPr>
        <w:pStyle w:val="Odstavecseseznamem1"/>
        <w:suppressAutoHyphens w:val="false"/>
        <w:spacing w:lineRule="atLeast" w:line="280"/>
        <w:ind w:left="0" w:hanging="0"/>
        <w:rPr>
          <w:rFonts w:ascii="Garamond" w:hAnsi="Garamond" w:cs="Calibri"/>
          <w:sz w:val="24"/>
          <w:szCs w:val="24"/>
        </w:rPr>
      </w:pPr>
      <w:r>
        <w:rPr>
          <w:rFonts w:cs="Calibri" w:ascii="Garamond" w:hAnsi="Garamond"/>
          <w:sz w:val="24"/>
          <w:szCs w:val="24"/>
        </w:rPr>
        <w:t>Dodavatel potvrzuje, že se detailně seznámil s povahou a rozsahem plnění, které má být poskytováno na základě této Smlouvy, že mu jsou známy veškeré technické, kvalitativní a jiné podmínky nezbytné k řádnému poskytování plnění dle této Smlouvy a že disponuje takovou kapacitou a odbornými znalostmi, které jsou nezbytné pro řádné poskytování plnění dle této Smlouvy.</w:t>
      </w:r>
    </w:p>
    <w:p>
      <w:pPr>
        <w:pStyle w:val="Normal"/>
        <w:widowControl w:val="false"/>
        <w:spacing w:before="120" w:after="280"/>
        <w:jc w:val="center"/>
        <w:rPr>
          <w:rFonts w:ascii="Garamond" w:hAnsi="Garamond" w:cs="Calibri" w:cstheme="minorHAnsi"/>
          <w:b/>
          <w:b/>
          <w:sz w:val="24"/>
          <w:szCs w:val="24"/>
        </w:rPr>
      </w:pPr>
      <w:r>
        <w:rPr>
          <w:rFonts w:cs="Calibri" w:ascii="Garamond" w:hAnsi="Garamond" w:cstheme="minorHAnsi"/>
          <w:b/>
          <w:sz w:val="24"/>
          <w:szCs w:val="24"/>
        </w:rPr>
        <w:t>Preambule</w:t>
      </w:r>
    </w:p>
    <w:p>
      <w:pPr>
        <w:pStyle w:val="Normal"/>
        <w:widowControl w:val="false"/>
        <w:spacing w:before="120" w:after="280"/>
        <w:jc w:val="both"/>
        <w:rPr>
          <w:rFonts w:ascii="Garamond" w:hAnsi="Garamond" w:cs="Calibri" w:cstheme="minorHAnsi"/>
          <w:sz w:val="24"/>
          <w:szCs w:val="24"/>
        </w:rPr>
      </w:pPr>
      <w:r>
        <w:rPr>
          <w:rFonts w:cs="Calibri" w:ascii="Garamond" w:hAnsi="Garamond" w:cstheme="minorHAnsi"/>
          <w:sz w:val="24"/>
          <w:szCs w:val="24"/>
        </w:rPr>
        <w:t>Uzavření Smlouvy je výsledkem výběrového řízení veřejné zakázky malého rozsahu zadávané v podlimitním režimu zákona č. 134/2016 Sb., o zadávání veřejných zakázek, ve znění pozdějších předpisů, pro veřejnou zakázku č. VZ0162344.</w:t>
      </w:r>
    </w:p>
    <w:p>
      <w:pPr>
        <w:pStyle w:val="Normal"/>
        <w:widowControl w:val="false"/>
        <w:spacing w:before="120" w:after="280"/>
        <w:jc w:val="both"/>
        <w:rPr>
          <w:rFonts w:ascii="Garamond" w:hAnsi="Garamond" w:cs="Calibri" w:cstheme="minorHAnsi"/>
          <w:b/>
          <w:b/>
          <w:sz w:val="24"/>
          <w:szCs w:val="24"/>
        </w:rPr>
      </w:pPr>
      <w:r>
        <w:rPr>
          <w:rFonts w:cs="Calibri" w:ascii="Garamond" w:hAnsi="Garamond" w:cstheme="minorHAnsi"/>
          <w:sz w:val="24"/>
          <w:szCs w:val="24"/>
        </w:rPr>
        <w:t>1</w:t>
        <w:tab/>
      </w:r>
      <w:r>
        <w:rPr>
          <w:rFonts w:cs="Calibri" w:ascii="Garamond" w:hAnsi="Garamond" w:cstheme="minorHAnsi"/>
          <w:b/>
          <w:sz w:val="24"/>
          <w:szCs w:val="24"/>
        </w:rPr>
        <w:t xml:space="preserve">Předmět Smlouvy </w:t>
      </w:r>
    </w:p>
    <w:p>
      <w:pPr>
        <w:pStyle w:val="Podseznam"/>
        <w:spacing w:before="120" w:after="56"/>
        <w:ind w:left="1418" w:hanging="709"/>
        <w:jc w:val="both"/>
        <w:rPr>
          <w:rFonts w:ascii="Garamond" w:hAnsi="Garamond"/>
          <w:sz w:val="24"/>
          <w:szCs w:val="24"/>
        </w:rPr>
      </w:pPr>
      <w:r>
        <w:rPr>
          <w:rFonts w:ascii="Garamond" w:hAnsi="Garamond"/>
          <w:sz w:val="24"/>
          <w:szCs w:val="24"/>
        </w:rPr>
        <w:t xml:space="preserve">1.1 </w:t>
        <w:tab/>
        <w:t xml:space="preserve">Dodavatel se zavazuje na základě podmínek této Smlouvy na svůj náklad a na své nebezpeční a v souladu s právními předpisy a účinnými technickými normami ČSN, ČN, EN v rozsahu, způsobem, v jakosti a ve lhůtách podle této Smlouvy řádně a včas poskytnout objednanou úklidovou službu. </w:t>
      </w:r>
    </w:p>
    <w:p>
      <w:pPr>
        <w:pStyle w:val="Podseznam"/>
        <w:numPr>
          <w:ilvl w:val="1"/>
          <w:numId w:val="2"/>
        </w:numPr>
        <w:spacing w:before="120" w:after="56"/>
        <w:jc w:val="both"/>
        <w:rPr>
          <w:rFonts w:ascii="Garamond" w:hAnsi="Garamond"/>
          <w:sz w:val="24"/>
          <w:szCs w:val="24"/>
        </w:rPr>
      </w:pPr>
      <w:r>
        <w:rPr>
          <w:rFonts w:cs="Calibri" w:ascii="Garamond" w:hAnsi="Garamond" w:cstheme="minorHAnsi"/>
          <w:sz w:val="24"/>
          <w:szCs w:val="24"/>
        </w:rPr>
        <w:t xml:space="preserve">Služba se dle této Smlouvy rozumí závazek Dodavatele provést pro Objednatele práce spočívající v úklidu požadovaných prostor. Služba je blíže specifikována v Příloze č. 1 – Cenový rozklad (dále jako „Příloha č. 1“ či „Cena“), Příloze č. 2 Technická specifikace (dále jako „Příloha č. 2“ nebo „Specifikace“, Příloze č. 3 – Čestné prohlášení – důstojné pracovní podmínky (dále jako „Příloha č.3“), Příloze č. 4 – Čestné prohlášení – ekologický úklid (dále jako Příloha č. 4). </w:t>
      </w:r>
    </w:p>
    <w:p>
      <w:pPr>
        <w:pStyle w:val="Podseznam"/>
        <w:numPr>
          <w:ilvl w:val="1"/>
          <w:numId w:val="2"/>
        </w:numPr>
        <w:spacing w:before="120" w:after="56"/>
        <w:jc w:val="both"/>
        <w:rPr>
          <w:rFonts w:ascii="Garamond" w:hAnsi="Garamond"/>
          <w:sz w:val="24"/>
          <w:szCs w:val="24"/>
        </w:rPr>
      </w:pPr>
      <w:r>
        <w:rPr>
          <w:rFonts w:cs="Calibri" w:ascii="Garamond" w:hAnsi="Garamond" w:cstheme="minorHAnsi"/>
          <w:sz w:val="24"/>
          <w:szCs w:val="24"/>
        </w:rPr>
        <w:t xml:space="preserve">Poskytnutí služby zahrnuje komplexní rozsah úklidových prací, včetně dodávek všech materiálů a užití všech nástrojů, strojů a přístrojů nezbytných pro plnění a taktéž dopravu na místo plnění – viz Příloha č. 1 a 2 Smlouvy. </w:t>
      </w:r>
    </w:p>
    <w:p>
      <w:pPr>
        <w:pStyle w:val="Podseznam"/>
        <w:numPr>
          <w:ilvl w:val="1"/>
          <w:numId w:val="2"/>
        </w:numPr>
        <w:spacing w:before="120" w:after="56"/>
        <w:jc w:val="both"/>
        <w:rPr>
          <w:rFonts w:ascii="Garamond" w:hAnsi="Garamond"/>
          <w:sz w:val="24"/>
          <w:szCs w:val="24"/>
        </w:rPr>
      </w:pPr>
      <w:r>
        <w:rPr>
          <w:rFonts w:ascii="Garamond" w:hAnsi="Garamond"/>
          <w:sz w:val="24"/>
          <w:szCs w:val="24"/>
        </w:rPr>
        <w:t xml:space="preserve">Požadované úklidové práce budou během doby plnění Smlouvy rozvrženy nerovnoměrně, dle momentálních potřeb Objednatele. </w:t>
      </w:r>
    </w:p>
    <w:p>
      <w:pPr>
        <w:pStyle w:val="Podseznam"/>
        <w:numPr>
          <w:ilvl w:val="1"/>
          <w:numId w:val="2"/>
        </w:numPr>
        <w:spacing w:before="120" w:after="56"/>
        <w:jc w:val="both"/>
        <w:rPr>
          <w:rFonts w:ascii="Garamond" w:hAnsi="Garamond"/>
          <w:sz w:val="24"/>
          <w:szCs w:val="24"/>
        </w:rPr>
      </w:pPr>
      <w:r>
        <w:rPr>
          <w:rFonts w:cs="Calibri" w:ascii="Garamond" w:hAnsi="Garamond" w:cstheme="minorHAnsi"/>
          <w:sz w:val="24"/>
          <w:szCs w:val="24"/>
        </w:rPr>
        <w:t xml:space="preserve">Objednatel se zavazuje, že dokončenou Službu dle dílčích objednávek dle bodu </w:t>
      </w:r>
      <w:r>
        <w:rPr>
          <w:rFonts w:cs="Calibri" w:ascii="Garamond" w:hAnsi="Garamond" w:cstheme="minorHAnsi"/>
          <w:color w:val="auto"/>
          <w:sz w:val="24"/>
          <w:szCs w:val="24"/>
        </w:rPr>
        <w:t xml:space="preserve">4.2 </w:t>
      </w:r>
      <w:r>
        <w:rPr>
          <w:rFonts w:cs="Calibri" w:ascii="Garamond" w:hAnsi="Garamond" w:cstheme="minorHAnsi"/>
          <w:sz w:val="24"/>
          <w:szCs w:val="24"/>
        </w:rPr>
        <w:t>této Smlouvy řádně převezme a zaplatí za jeho provedení dohodnutou cenu dle Přílohy č. 1 – Cenový rozklad.</w:t>
      </w:r>
    </w:p>
    <w:p>
      <w:pPr>
        <w:pStyle w:val="Podseznam"/>
        <w:numPr>
          <w:ilvl w:val="1"/>
          <w:numId w:val="2"/>
        </w:numPr>
        <w:spacing w:before="120" w:after="56"/>
        <w:jc w:val="both"/>
        <w:rPr>
          <w:rFonts w:ascii="Garamond" w:hAnsi="Garamond"/>
          <w:sz w:val="24"/>
          <w:szCs w:val="24"/>
        </w:rPr>
      </w:pPr>
      <w:r>
        <w:rPr>
          <w:rFonts w:cs="Calibri" w:ascii="Garamond" w:hAnsi="Garamond" w:cstheme="minorHAnsi"/>
          <w:sz w:val="24"/>
          <w:szCs w:val="24"/>
        </w:rPr>
        <w:t xml:space="preserve">Objednatel je povinen vytvořit vhodné podmínky pro poskytování Služeb ze strany Dodavatele za podmínek sjednaných touto Smlouvou. </w:t>
      </w:r>
    </w:p>
    <w:p>
      <w:pPr>
        <w:pStyle w:val="Podseznam"/>
        <w:numPr>
          <w:ilvl w:val="1"/>
          <w:numId w:val="2"/>
        </w:numPr>
        <w:spacing w:before="120" w:after="56"/>
        <w:jc w:val="both"/>
        <w:rPr>
          <w:rFonts w:ascii="Garamond" w:hAnsi="Garamond"/>
          <w:sz w:val="24"/>
          <w:szCs w:val="24"/>
        </w:rPr>
      </w:pPr>
      <w:r>
        <w:rPr>
          <w:rFonts w:ascii="Garamond" w:hAnsi="Garamond"/>
          <w:sz w:val="24"/>
          <w:szCs w:val="24"/>
        </w:rPr>
        <w:t xml:space="preserve">Objednatel je povinen před nástupem pracovníků Dodavatele k prvnímu výkonu poskytování Služeb dle této Smlouvy provést jejich instruktáž v součinnosti s odpovědnou osobou Dodavatele, v rámci které seznámí pracovníky Dodavatele s místními podmínkami pro zajištění bezpečnosti a ochrany zdraví při práci, požární ochrany a dalších souvisejících předpisů. </w:t>
      </w:r>
    </w:p>
    <w:p>
      <w:pPr>
        <w:pStyle w:val="Podseznam"/>
        <w:numPr>
          <w:ilvl w:val="1"/>
          <w:numId w:val="2"/>
        </w:numPr>
        <w:spacing w:before="120" w:after="56"/>
        <w:jc w:val="both"/>
        <w:rPr>
          <w:rFonts w:ascii="Garamond" w:hAnsi="Garamond"/>
          <w:sz w:val="24"/>
          <w:szCs w:val="24"/>
        </w:rPr>
      </w:pPr>
      <w:r>
        <w:rPr>
          <w:rFonts w:ascii="Garamond" w:hAnsi="Garamond"/>
          <w:sz w:val="24"/>
          <w:szCs w:val="24"/>
        </w:rPr>
        <w:t xml:space="preserve">Poskytnutí prostor pro uskladnění nástrojů a technologií nutných pro plnění této Smlouvy je možné dle domluvy. </w:t>
      </w:r>
    </w:p>
    <w:p>
      <w:pPr>
        <w:pStyle w:val="Podseznam"/>
        <w:numPr>
          <w:ilvl w:val="1"/>
          <w:numId w:val="2"/>
        </w:numPr>
        <w:spacing w:before="120" w:after="56"/>
        <w:jc w:val="both"/>
        <w:rPr>
          <w:rFonts w:ascii="Garamond" w:hAnsi="Garamond"/>
          <w:sz w:val="24"/>
          <w:szCs w:val="24"/>
        </w:rPr>
      </w:pPr>
      <w:r>
        <w:rPr>
          <w:rFonts w:ascii="Garamond" w:hAnsi="Garamond"/>
          <w:sz w:val="24"/>
          <w:szCs w:val="24"/>
        </w:rPr>
        <w:t>Objednatel umožní Dodavateli k plnění předmětu Smlouvy bezplatný odběr vody a elektrické energie.</w:t>
      </w:r>
    </w:p>
    <w:p>
      <w:pPr>
        <w:pStyle w:val="ListParagraph"/>
        <w:tabs>
          <w:tab w:val="clear" w:pos="708"/>
          <w:tab w:val="left" w:pos="705" w:leader="none"/>
        </w:tabs>
        <w:spacing w:before="120" w:after="360"/>
        <w:ind w:left="705" w:right="44" w:firstLine="709"/>
        <w:contextualSpacing/>
        <w:rPr>
          <w:rFonts w:ascii="Garamond" w:hAnsi="Garamond"/>
          <w:sz w:val="24"/>
          <w:szCs w:val="24"/>
        </w:rPr>
      </w:pPr>
      <w:r>
        <w:rPr>
          <w:rFonts w:ascii="Garamond" w:hAnsi="Garamond"/>
          <w:sz w:val="24"/>
          <w:szCs w:val="24"/>
        </w:rPr>
      </w:r>
    </w:p>
    <w:p>
      <w:pPr>
        <w:pStyle w:val="ListParagraph"/>
        <w:numPr>
          <w:ilvl w:val="0"/>
          <w:numId w:val="1"/>
        </w:numPr>
        <w:tabs>
          <w:tab w:val="clear" w:pos="708"/>
          <w:tab w:val="left" w:pos="709" w:leader="none"/>
        </w:tabs>
        <w:spacing w:before="120" w:after="128"/>
        <w:ind w:left="360" w:right="44" w:hanging="76"/>
        <w:contextualSpacing/>
        <w:rPr>
          <w:rFonts w:ascii="Garamond" w:hAnsi="Garamond"/>
          <w:b/>
          <w:b/>
          <w:sz w:val="24"/>
          <w:szCs w:val="24"/>
        </w:rPr>
      </w:pPr>
      <w:r>
        <w:rPr>
          <w:rFonts w:ascii="Garamond" w:hAnsi="Garamond"/>
          <w:b/>
          <w:sz w:val="24"/>
          <w:szCs w:val="24"/>
        </w:rPr>
        <w:t>Doba plnění a ukončení Smlouvy</w:t>
      </w:r>
    </w:p>
    <w:p>
      <w:pPr>
        <w:pStyle w:val="Tlotextu"/>
        <w:numPr>
          <w:ilvl w:val="1"/>
          <w:numId w:val="1"/>
        </w:numPr>
        <w:spacing w:before="120" w:after="120"/>
        <w:rPr>
          <w:rFonts w:ascii="Garamond" w:hAnsi="Garamond" w:cs="Calibri" w:cstheme="minorHAnsi"/>
        </w:rPr>
      </w:pPr>
      <w:r>
        <w:rPr>
          <w:rFonts w:cs="Calibri" w:ascii="Garamond" w:hAnsi="Garamond" w:cstheme="minorHAnsi"/>
          <w:lang w:val="cs-CZ"/>
        </w:rPr>
        <w:t xml:space="preserve">Doba plnění činí 12 měsíců od nabytí účinnosti této smlouvy.  </w:t>
      </w:r>
    </w:p>
    <w:p>
      <w:pPr>
        <w:pStyle w:val="Tlotextu"/>
        <w:numPr>
          <w:ilvl w:val="1"/>
          <w:numId w:val="1"/>
        </w:numPr>
        <w:spacing w:before="120" w:after="120"/>
        <w:rPr>
          <w:rFonts w:ascii="Garamond" w:hAnsi="Garamond" w:cs="Calibri" w:cstheme="minorHAnsi"/>
        </w:rPr>
      </w:pPr>
      <w:r>
        <w:rPr>
          <w:rFonts w:cs="Calibri" w:ascii="Garamond" w:hAnsi="Garamond" w:cstheme="minorHAnsi"/>
          <w:lang w:val="cs-CZ"/>
        </w:rPr>
        <w:t>Smlouvu lze ukončit následujícími způsoby:</w:t>
      </w:r>
    </w:p>
    <w:p>
      <w:pPr>
        <w:pStyle w:val="Tlotextu"/>
        <w:numPr>
          <w:ilvl w:val="2"/>
          <w:numId w:val="1"/>
        </w:numPr>
        <w:spacing w:before="120" w:after="120"/>
        <w:rPr>
          <w:rFonts w:ascii="Garamond" w:hAnsi="Garamond" w:cs="Calibri" w:cstheme="minorHAnsi"/>
        </w:rPr>
      </w:pPr>
      <w:r>
        <w:rPr>
          <w:rFonts w:cs="Calibri" w:ascii="Garamond" w:hAnsi="Garamond" w:cstheme="minorHAnsi"/>
          <w:lang w:val="cs-CZ"/>
        </w:rPr>
        <w:t>Písemnou dohodou Smluvních stran,</w:t>
      </w:r>
    </w:p>
    <w:p>
      <w:pPr>
        <w:pStyle w:val="Tlotextu"/>
        <w:numPr>
          <w:ilvl w:val="2"/>
          <w:numId w:val="1"/>
        </w:numPr>
        <w:spacing w:before="120" w:after="160"/>
        <w:rPr>
          <w:rFonts w:ascii="Garamond" w:hAnsi="Garamond" w:cs="Calibri" w:cstheme="minorHAnsi"/>
        </w:rPr>
      </w:pPr>
      <w:r>
        <w:rPr>
          <w:rFonts w:cs="Calibri" w:ascii="Garamond" w:hAnsi="Garamond" w:cstheme="minorHAnsi"/>
        </w:rPr>
        <w:t xml:space="preserve">Výpovědí některou ze Smluvních stran učiněnou Smluvní straně druhé – </w:t>
      </w:r>
      <w:r>
        <w:rPr>
          <w:rFonts w:cs="Calibri" w:ascii="Garamond" w:hAnsi="Garamond" w:cstheme="minorHAnsi"/>
          <w:lang w:val="cs-CZ"/>
        </w:rPr>
        <w:t>Objednatel,</w:t>
      </w:r>
      <w:r>
        <w:rPr>
          <w:rFonts w:cs="Calibri" w:ascii="Garamond" w:hAnsi="Garamond" w:cstheme="minorHAnsi"/>
        </w:rPr>
        <w:t xml:space="preserve"> resp. </w:t>
      </w:r>
      <w:r>
        <w:rPr>
          <w:rFonts w:cs="Calibri" w:ascii="Garamond" w:hAnsi="Garamond" w:cstheme="minorHAnsi"/>
          <w:lang w:val="cs-CZ"/>
        </w:rPr>
        <w:t>Dodavatel</w:t>
      </w:r>
      <w:r>
        <w:rPr>
          <w:rFonts w:cs="Calibri" w:ascii="Garamond" w:hAnsi="Garamond" w:cstheme="minorHAnsi"/>
        </w:rPr>
        <w:t xml:space="preserve"> je oprávněn tuto Smlouvu písemně vypovědět bez uvedení důvodu </w:t>
      </w:r>
      <w:r>
        <w:rPr>
          <w:rFonts w:cs="Calibri" w:ascii="Garamond" w:hAnsi="Garamond" w:cstheme="minorHAnsi"/>
          <w:lang w:val="cs-CZ"/>
        </w:rPr>
        <w:t>jednoměsíční (1)</w:t>
      </w:r>
      <w:r>
        <w:rPr>
          <w:rFonts w:cs="Calibri" w:ascii="Garamond" w:hAnsi="Garamond" w:cstheme="minorHAnsi"/>
        </w:rPr>
        <w:t xml:space="preserve"> výpovědní lhůtou. Výpovědní lhůta začíná běžet prvním dnem následujícím po dni, v němž byla výpověď doručena příslušné Smluvní straně. </w:t>
      </w:r>
    </w:p>
    <w:p>
      <w:pPr>
        <w:pStyle w:val="Tlotextu"/>
        <w:numPr>
          <w:ilvl w:val="2"/>
          <w:numId w:val="1"/>
        </w:numPr>
        <w:spacing w:before="120" w:after="160"/>
        <w:rPr>
          <w:rFonts w:ascii="Garamond" w:hAnsi="Garamond" w:cs="Calibri" w:cstheme="minorHAnsi"/>
        </w:rPr>
      </w:pPr>
      <w:r>
        <w:rPr>
          <w:rFonts w:cs="Calibri" w:ascii="Garamond" w:hAnsi="Garamond" w:cstheme="minorHAnsi"/>
          <w:lang w:val="cs-CZ"/>
        </w:rPr>
        <w:t>Uplynutím doby plnění dle čl. 2.1 Smlouvy či bodu 3.1, dle toho, která skutečnost nastane dříve.</w:t>
      </w:r>
    </w:p>
    <w:p>
      <w:pPr>
        <w:pStyle w:val="Tlotextu"/>
        <w:spacing w:before="120" w:after="160"/>
        <w:ind w:left="1855" w:hanging="0"/>
        <w:rPr>
          <w:rFonts w:ascii="Garamond" w:hAnsi="Garamond" w:cs="Calibri" w:cstheme="minorHAnsi"/>
        </w:rPr>
      </w:pPr>
      <w:r>
        <w:rPr>
          <w:rFonts w:cs="Calibri" w:cstheme="minorHAnsi" w:ascii="Garamond" w:hAnsi="Garamond"/>
        </w:rPr>
      </w:r>
    </w:p>
    <w:p>
      <w:pPr>
        <w:pStyle w:val="Tlotextu"/>
        <w:widowControl w:val="false"/>
        <w:numPr>
          <w:ilvl w:val="0"/>
          <w:numId w:val="1"/>
        </w:numPr>
        <w:spacing w:before="120" w:after="240"/>
        <w:ind w:left="857" w:hanging="573"/>
        <w:rPr>
          <w:rFonts w:ascii="Garamond" w:hAnsi="Garamond" w:cs="Calibri" w:cstheme="minorHAnsi"/>
          <w:b/>
          <w:b/>
        </w:rPr>
      </w:pPr>
      <w:r>
        <w:rPr>
          <w:rFonts w:cs="Calibri" w:ascii="Garamond" w:hAnsi="Garamond" w:cstheme="minorHAnsi"/>
          <w:b/>
          <w:lang w:val="cs-CZ"/>
        </w:rPr>
        <w:t>Cenové ujednání a platební podmínky</w:t>
      </w:r>
    </w:p>
    <w:p>
      <w:pPr>
        <w:pStyle w:val="Tlotextu"/>
        <w:widowControl w:val="false"/>
        <w:numPr>
          <w:ilvl w:val="1"/>
          <w:numId w:val="1"/>
        </w:numPr>
        <w:spacing w:before="120" w:after="0"/>
        <w:ind w:left="1560" w:hanging="709"/>
        <w:rPr>
          <w:rFonts w:ascii="Garamond" w:hAnsi="Garamond"/>
        </w:rPr>
      </w:pPr>
      <w:r>
        <w:rPr>
          <w:rFonts w:ascii="Garamond" w:hAnsi="Garamond"/>
        </w:rPr>
        <w:t xml:space="preserve">Ceny za služby poskytované </w:t>
      </w:r>
      <w:r>
        <w:rPr>
          <w:rFonts w:ascii="Garamond" w:hAnsi="Garamond"/>
          <w:lang w:val="cs-CZ"/>
        </w:rPr>
        <w:t>Dodavatelem</w:t>
      </w:r>
      <w:r>
        <w:rPr>
          <w:rFonts w:ascii="Garamond" w:hAnsi="Garamond"/>
        </w:rPr>
        <w:t xml:space="preserve"> jsou stanoveny v Příloze č.1 této smlouvy a jsou platné po dobu </w:t>
      </w:r>
      <w:r>
        <w:rPr>
          <w:rFonts w:ascii="Garamond" w:hAnsi="Garamond"/>
          <w:lang w:val="cs-CZ"/>
        </w:rPr>
        <w:t xml:space="preserve">platnosti této Smlouvy a maximální hodnota plnění této smlouvy nepřekročí 240.000,- Kč bez DPH. Celková hodnota plnění nemusí být za dobu plnění zcela vyčerpána. </w:t>
      </w:r>
    </w:p>
    <w:p>
      <w:pPr>
        <w:pStyle w:val="Tlotextu"/>
        <w:widowControl w:val="false"/>
        <w:numPr>
          <w:ilvl w:val="1"/>
          <w:numId w:val="1"/>
        </w:numPr>
        <w:spacing w:before="120" w:after="0"/>
        <w:ind w:left="1560" w:hanging="709"/>
        <w:rPr>
          <w:rFonts w:ascii="Garamond" w:hAnsi="Garamond"/>
        </w:rPr>
      </w:pPr>
      <w:r>
        <w:rPr>
          <w:rFonts w:ascii="Garamond" w:hAnsi="Garamond"/>
        </w:rPr>
        <w:t xml:space="preserve">Splatnost všech faktur </w:t>
      </w:r>
      <w:r>
        <w:rPr>
          <w:rFonts w:ascii="Garamond" w:hAnsi="Garamond"/>
          <w:lang w:val="cs-CZ"/>
        </w:rPr>
        <w:t>je stanovena na 30 kalendářních</w:t>
      </w:r>
      <w:r>
        <w:rPr>
          <w:rFonts w:ascii="Garamond" w:hAnsi="Garamond"/>
        </w:rPr>
        <w:t xml:space="preserve"> dnů s tím, že splatnost faktur začíná běžet dnem doručení faktur </w:t>
      </w:r>
      <w:r>
        <w:rPr>
          <w:rFonts w:ascii="Garamond" w:hAnsi="Garamond"/>
          <w:lang w:val="cs-CZ"/>
        </w:rPr>
        <w:t>Objednateli.</w:t>
      </w:r>
    </w:p>
    <w:p>
      <w:pPr>
        <w:pStyle w:val="Tlotextu"/>
        <w:widowControl w:val="false"/>
        <w:numPr>
          <w:ilvl w:val="1"/>
          <w:numId w:val="1"/>
        </w:numPr>
        <w:spacing w:before="120" w:after="0"/>
        <w:ind w:left="1560" w:hanging="709"/>
        <w:rPr>
          <w:rFonts w:ascii="Garamond" w:hAnsi="Garamond"/>
        </w:rPr>
      </w:pPr>
      <w:r>
        <w:rPr>
          <w:rFonts w:cs="Calibri" w:ascii="Garamond" w:hAnsi="Garamond" w:cstheme="minorHAnsi"/>
        </w:rPr>
        <w:t xml:space="preserve">Faktura – daňový doklad bude obsahovat veškeré náležitosti daňového dokladu. Nebude-li faktura obsahovat náležitosti daňového dokladu, je </w:t>
      </w:r>
      <w:r>
        <w:rPr>
          <w:rFonts w:cs="Calibri" w:ascii="Garamond" w:hAnsi="Garamond" w:cstheme="minorHAnsi"/>
          <w:lang w:val="cs-CZ"/>
        </w:rPr>
        <w:t>Objednatel</w:t>
      </w:r>
      <w:r>
        <w:rPr>
          <w:rFonts w:cs="Calibri" w:ascii="Garamond" w:hAnsi="Garamond" w:cstheme="minorHAnsi"/>
        </w:rPr>
        <w:t xml:space="preserve"> oprávněn fakturu vrátit. V takovém případě se přeruší plynutí lhůty splatnosti a nová lhůta splatnosti začne plynout od data doručení opravené faktury</w:t>
      </w:r>
      <w:r>
        <w:rPr>
          <w:rFonts w:cs="Calibri" w:ascii="Garamond" w:hAnsi="Garamond" w:cstheme="minorHAnsi"/>
          <w:lang w:val="cs-CZ"/>
        </w:rPr>
        <w:t xml:space="preserve"> Objednateli.</w:t>
      </w:r>
    </w:p>
    <w:p>
      <w:pPr>
        <w:pStyle w:val="Tlotextu"/>
        <w:widowControl w:val="false"/>
        <w:numPr>
          <w:ilvl w:val="1"/>
          <w:numId w:val="1"/>
        </w:numPr>
        <w:spacing w:before="120" w:after="0"/>
        <w:ind w:left="1560" w:hanging="709"/>
        <w:rPr/>
      </w:pPr>
      <w:r>
        <w:rPr>
          <w:rFonts w:cs="Calibri" w:ascii="Garamond" w:hAnsi="Garamond" w:cstheme="minorHAnsi"/>
          <w:lang w:val="cs-CZ"/>
        </w:rPr>
        <w:t xml:space="preserve">Faktury jsou zasílány elektronicky na email: </w:t>
      </w:r>
      <w:r>
        <w:rPr>
          <w:rFonts w:cs="Calibri" w:ascii="Garamond" w:hAnsi="Garamond" w:cstheme="minorHAnsi"/>
          <w:color w:val="000000"/>
          <w:highlight w:val="black"/>
          <w:lang w:val="cs-CZ"/>
        </w:rPr>
        <w:t>xxxxxxxxxxxx</w:t>
      </w:r>
      <w:hyperlink r:id="rId2">
        <w:r>
          <w:rPr>
            <w:rStyle w:val="Internetovodkaz"/>
            <w:rFonts w:cs="Calibri" w:ascii="Garamond" w:hAnsi="Garamond" w:cstheme="minorHAnsi"/>
            <w:lang w:val="cs-CZ"/>
          </w:rPr>
          <w:t>@pnkm.cz</w:t>
        </w:r>
      </w:hyperlink>
      <w:r>
        <w:rPr>
          <w:rStyle w:val="Internetovodkaz"/>
          <w:rFonts w:cs="Calibri" w:ascii="Garamond" w:hAnsi="Garamond" w:cstheme="minorHAnsi"/>
          <w:lang w:val="cs-CZ"/>
        </w:rPr>
        <w:t>.</w:t>
      </w:r>
    </w:p>
    <w:p>
      <w:pPr>
        <w:pStyle w:val="Tlotextu"/>
        <w:widowControl w:val="false"/>
        <w:numPr>
          <w:ilvl w:val="1"/>
          <w:numId w:val="1"/>
        </w:numPr>
        <w:spacing w:before="120" w:after="0"/>
        <w:ind w:left="1560" w:hanging="709"/>
        <w:rPr>
          <w:rStyle w:val="Internetovodkaz"/>
          <w:rFonts w:ascii="Garamond" w:hAnsi="Garamond"/>
          <w:color w:val="auto"/>
          <w:u w:val="none"/>
        </w:rPr>
      </w:pPr>
      <w:r>
        <w:rPr>
          <w:rStyle w:val="Internetovodkaz"/>
          <w:rFonts w:cs="Calibri" w:ascii="Garamond" w:hAnsi="Garamond" w:cstheme="minorHAnsi"/>
          <w:color w:val="auto"/>
          <w:u w:val="none"/>
          <w:lang w:val="cs-CZ"/>
        </w:rPr>
        <w:t xml:space="preserve">Objednatel neposkytuje Dodavateli zálohu na Cenu za dílo. </w:t>
      </w:r>
    </w:p>
    <w:p>
      <w:pPr>
        <w:pStyle w:val="Tlotextu"/>
        <w:widowControl w:val="false"/>
        <w:numPr>
          <w:ilvl w:val="1"/>
          <w:numId w:val="1"/>
        </w:numPr>
        <w:spacing w:before="120" w:after="0"/>
        <w:ind w:left="1560" w:hanging="709"/>
        <w:rPr>
          <w:rFonts w:ascii="Garamond" w:hAnsi="Garamond"/>
        </w:rPr>
      </w:pPr>
      <w:r>
        <w:rPr>
          <w:rStyle w:val="Internetovodkaz"/>
          <w:rFonts w:cs="Calibri" w:ascii="Garamond" w:hAnsi="Garamond" w:cstheme="minorHAnsi"/>
          <w:color w:val="auto"/>
          <w:u w:val="none"/>
          <w:lang w:val="cs-CZ"/>
        </w:rPr>
        <w:t>Nedílnou součástí faktury je protokol dokazující plnění např. předávací protokol, výkaz provedených prací dle čl. 4.3 této Smlouvy</w:t>
      </w:r>
    </w:p>
    <w:p>
      <w:pPr>
        <w:pStyle w:val="Tlotextu"/>
        <w:widowControl w:val="false"/>
        <w:spacing w:before="120" w:after="0"/>
        <w:rPr>
          <w:rFonts w:ascii="Garamond" w:hAnsi="Garamond"/>
        </w:rPr>
      </w:pPr>
      <w:r>
        <w:rPr>
          <w:rFonts w:ascii="Garamond" w:hAnsi="Garamond"/>
        </w:rPr>
      </w:r>
    </w:p>
    <w:p>
      <w:pPr>
        <w:pStyle w:val="Tlotextu"/>
        <w:widowControl w:val="false"/>
        <w:numPr>
          <w:ilvl w:val="0"/>
          <w:numId w:val="1"/>
        </w:numPr>
        <w:spacing w:before="120" w:after="240"/>
        <w:ind w:left="857" w:hanging="573"/>
        <w:rPr>
          <w:rFonts w:ascii="Garamond" w:hAnsi="Garamond" w:cs="Calibri" w:cstheme="minorHAnsi"/>
          <w:b/>
          <w:b/>
        </w:rPr>
      </w:pPr>
      <w:r>
        <w:rPr>
          <w:rFonts w:cs="Calibri" w:ascii="Garamond" w:hAnsi="Garamond" w:cstheme="minorHAnsi"/>
          <w:b/>
          <w:lang w:val="cs-CZ"/>
        </w:rPr>
        <w:t>Provádění a převzetí Díla</w:t>
      </w:r>
    </w:p>
    <w:p>
      <w:pPr>
        <w:pStyle w:val="Tlotextu"/>
        <w:widowControl w:val="false"/>
        <w:numPr>
          <w:ilvl w:val="1"/>
          <w:numId w:val="1"/>
        </w:numPr>
        <w:spacing w:before="120" w:after="240"/>
        <w:rPr>
          <w:rFonts w:ascii="Garamond" w:hAnsi="Garamond" w:cs="Calibri" w:cstheme="minorHAnsi"/>
          <w:lang w:val="cs-CZ"/>
        </w:rPr>
      </w:pPr>
      <w:r>
        <w:rPr>
          <w:rFonts w:cs="Calibri" w:ascii="Garamond" w:hAnsi="Garamond" w:cstheme="minorHAnsi"/>
          <w:lang w:val="cs-CZ"/>
        </w:rPr>
        <w:t xml:space="preserve">Před plněním Služby zašle Objednatel Dodavateli Objednávku s požadavkem na konkrétní plnění Služby min. 14 kalendářních dnů před požadovaným termínem plnění. </w:t>
      </w:r>
    </w:p>
    <w:p>
      <w:pPr>
        <w:pStyle w:val="Tlotextu"/>
        <w:widowControl w:val="false"/>
        <w:numPr>
          <w:ilvl w:val="1"/>
          <w:numId w:val="1"/>
        </w:numPr>
        <w:spacing w:before="120" w:after="240"/>
        <w:rPr>
          <w:rFonts w:ascii="Garamond" w:hAnsi="Garamond" w:cs="Calibri" w:cstheme="minorHAnsi"/>
          <w:lang w:val="cs-CZ"/>
        </w:rPr>
      </w:pPr>
      <w:r>
        <w:rPr>
          <w:rFonts w:cs="Calibri" w:ascii="Garamond" w:hAnsi="Garamond" w:cstheme="minorHAnsi"/>
          <w:lang w:val="cs-CZ"/>
        </w:rPr>
        <w:t xml:space="preserve">Dodavatel Objednávku potvrdí či navrhne náhradní termín plnění do 3 pracovních dnů. Termín plnění je závazný po oboustranném potvrzení. </w:t>
      </w:r>
    </w:p>
    <w:p>
      <w:pPr>
        <w:pStyle w:val="Tlotextu"/>
        <w:widowControl w:val="false"/>
        <w:numPr>
          <w:ilvl w:val="1"/>
          <w:numId w:val="1"/>
        </w:numPr>
        <w:spacing w:before="120" w:after="240"/>
        <w:rPr>
          <w:rFonts w:ascii="Garamond" w:hAnsi="Garamond" w:cs="Calibri" w:cstheme="minorHAnsi"/>
          <w:lang w:val="cs-CZ"/>
        </w:rPr>
      </w:pPr>
      <w:r>
        <w:rPr>
          <w:rFonts w:cs="Calibri" w:ascii="Garamond" w:hAnsi="Garamond" w:cstheme="minorHAnsi"/>
          <w:lang w:val="cs-CZ"/>
        </w:rPr>
        <w:t xml:space="preserve">Služba je splněna protokolárním předáním a převzetím Služby bez vad ve smyslu vyhotovení písemného zápisu podepsaného oběma stranami Smlouvy. Objednatel je oprávněn zaznamenat zjištěné vady do protokolárního zápisu s oboustranně odsouhlaseným termínem odstranění vady. </w:t>
      </w:r>
    </w:p>
    <w:p>
      <w:pPr>
        <w:pStyle w:val="Tlotextu"/>
        <w:widowControl w:val="false"/>
        <w:numPr>
          <w:ilvl w:val="0"/>
          <w:numId w:val="1"/>
        </w:numPr>
        <w:spacing w:before="120" w:after="240"/>
        <w:ind w:left="857" w:hanging="573"/>
        <w:rPr>
          <w:rFonts w:ascii="Garamond" w:hAnsi="Garamond" w:cs="Calibri" w:cstheme="minorHAnsi"/>
          <w:b/>
          <w:b/>
        </w:rPr>
      </w:pPr>
      <w:r>
        <w:rPr>
          <w:rFonts w:cs="Calibri" w:ascii="Garamond" w:hAnsi="Garamond" w:cstheme="minorHAnsi"/>
          <w:b/>
          <w:lang w:val="cs-CZ"/>
        </w:rPr>
        <w:t>Místo plnění Díla</w:t>
      </w:r>
    </w:p>
    <w:p>
      <w:pPr>
        <w:pStyle w:val="Tlotextu"/>
        <w:widowControl w:val="false"/>
        <w:numPr>
          <w:ilvl w:val="1"/>
          <w:numId w:val="1"/>
        </w:numPr>
        <w:spacing w:before="120" w:after="240"/>
        <w:rPr>
          <w:rFonts w:ascii="Garamond" w:hAnsi="Garamond" w:cs="Calibri" w:cstheme="minorHAnsi"/>
          <w:lang w:val="cs-CZ"/>
        </w:rPr>
      </w:pPr>
      <w:r>
        <w:rPr>
          <w:rFonts w:cs="Calibri" w:ascii="Garamond" w:hAnsi="Garamond" w:cstheme="minorHAnsi"/>
          <w:lang w:val="cs-CZ"/>
        </w:rPr>
        <w:t>Místem plnění jsou objekty Psychiatrické nemocnice v Kroměříži na adrese Havlíčkova 1265, 76740 Kroměříž.</w:t>
      </w:r>
    </w:p>
    <w:p>
      <w:pPr>
        <w:pStyle w:val="Tlotextu"/>
        <w:widowControl w:val="false"/>
        <w:numPr>
          <w:ilvl w:val="0"/>
          <w:numId w:val="1"/>
        </w:numPr>
        <w:spacing w:before="120" w:after="240"/>
        <w:ind w:left="857" w:hanging="573"/>
        <w:rPr>
          <w:rFonts w:ascii="Garamond" w:hAnsi="Garamond" w:cs="Calibri" w:cstheme="minorHAnsi"/>
          <w:b/>
          <w:b/>
        </w:rPr>
      </w:pPr>
      <w:r>
        <w:rPr>
          <w:rFonts w:cs="Calibri" w:ascii="Garamond" w:hAnsi="Garamond" w:cstheme="minorHAnsi"/>
          <w:b/>
          <w:lang w:val="cs-CZ"/>
        </w:rPr>
        <w:t>Záruka za jakost, odpovědnost za vady</w:t>
      </w:r>
    </w:p>
    <w:p>
      <w:pPr>
        <w:pStyle w:val="Tlotextu"/>
        <w:widowControl w:val="false"/>
        <w:numPr>
          <w:ilvl w:val="1"/>
          <w:numId w:val="1"/>
        </w:numPr>
        <w:spacing w:before="120" w:after="240"/>
        <w:rPr>
          <w:rFonts w:ascii="Garamond" w:hAnsi="Garamond" w:cs="Calibri" w:cstheme="minorHAnsi"/>
        </w:rPr>
      </w:pPr>
      <w:r>
        <w:rPr>
          <w:rFonts w:cs="Calibri" w:ascii="Garamond" w:hAnsi="Garamond" w:cstheme="minorHAnsi"/>
          <w:lang w:val="cs-CZ"/>
        </w:rPr>
        <w:t xml:space="preserve">Zjištění vady poskytnuté služby je dle čl. 4.3 či zaznamenáno do protokolárního zápisu o předání a převzetí poskytnuté Služby s oboustranně odsouhlaseným termínem odstranění vady. </w:t>
      </w:r>
    </w:p>
    <w:p>
      <w:pPr>
        <w:pStyle w:val="Tlotextu"/>
        <w:widowControl w:val="false"/>
        <w:numPr>
          <w:ilvl w:val="1"/>
          <w:numId w:val="1"/>
        </w:numPr>
        <w:spacing w:before="120" w:after="240"/>
        <w:rPr>
          <w:rFonts w:ascii="Garamond" w:hAnsi="Garamond" w:cs="Calibri" w:cstheme="minorHAnsi"/>
          <w:lang w:val="cs-CZ"/>
        </w:rPr>
      </w:pPr>
      <w:r>
        <w:rPr>
          <w:rFonts w:cs="Calibri" w:ascii="Garamond" w:hAnsi="Garamond" w:cstheme="minorHAnsi"/>
          <w:lang w:val="cs-CZ"/>
        </w:rPr>
        <w:t xml:space="preserve">Lhůta pro odstranění vady začíná běžet dnem zaznamenání vady. Odstranění vady je Dodavatel povinen provést v dohodnutém termínu dle čl. 6.1 či nejpozději do 30 dnů od protokolárního zaznamenání vady. Pokud by konec lhůty připadal na nepracovní den, má Dodavatel povinnost odstranit vadu nejpozději do 18:00 následujícího pracovního dne. </w:t>
      </w:r>
    </w:p>
    <w:p>
      <w:pPr>
        <w:pStyle w:val="Tlotextu"/>
        <w:widowControl w:val="false"/>
        <w:numPr>
          <w:ilvl w:val="0"/>
          <w:numId w:val="1"/>
        </w:numPr>
        <w:spacing w:before="120" w:after="240"/>
        <w:ind w:left="857" w:hanging="573"/>
        <w:rPr>
          <w:rFonts w:ascii="Garamond" w:hAnsi="Garamond" w:cs="Calibri" w:cstheme="minorHAnsi"/>
          <w:b/>
          <w:b/>
        </w:rPr>
      </w:pPr>
      <w:r>
        <w:rPr>
          <w:rFonts w:cs="Calibri" w:ascii="Garamond" w:hAnsi="Garamond" w:cstheme="minorHAnsi"/>
          <w:b/>
          <w:lang w:val="cs-CZ"/>
        </w:rPr>
        <w:t xml:space="preserve">Sankční ujednání </w:t>
      </w:r>
    </w:p>
    <w:p>
      <w:pPr>
        <w:pStyle w:val="Podseznam"/>
        <w:numPr>
          <w:ilvl w:val="1"/>
          <w:numId w:val="1"/>
        </w:numPr>
        <w:spacing w:lineRule="atLeast" w:line="240"/>
        <w:jc w:val="both"/>
        <w:rPr>
          <w:rFonts w:ascii="Garamond" w:hAnsi="Garamond"/>
          <w:sz w:val="24"/>
          <w:szCs w:val="24"/>
        </w:rPr>
      </w:pPr>
      <w:r>
        <w:rPr>
          <w:rFonts w:ascii="Garamond" w:hAnsi="Garamond"/>
          <w:sz w:val="24"/>
          <w:szCs w:val="24"/>
        </w:rPr>
        <w:t xml:space="preserve">Smluvní strany si pro případ porušení smluvených povinností ujednávají smluvní pokuty se splatností 30 dnů ode dne, kdy byla Smluvní straně doručena písemná výzva k zaplacení ze strany oprávněné Smluvní strany, a to na účet uvedený v písemné výzvě.  </w:t>
      </w:r>
    </w:p>
    <w:p>
      <w:pPr>
        <w:pStyle w:val="Podseznam"/>
        <w:numPr>
          <w:ilvl w:val="1"/>
          <w:numId w:val="1"/>
        </w:numPr>
        <w:spacing w:lineRule="atLeast" w:line="240"/>
        <w:ind w:left="1560" w:hanging="709"/>
        <w:jc w:val="both"/>
        <w:rPr>
          <w:rFonts w:ascii="Garamond" w:hAnsi="Garamond"/>
          <w:sz w:val="24"/>
          <w:szCs w:val="24"/>
        </w:rPr>
      </w:pPr>
      <w:r>
        <w:rPr>
          <w:rFonts w:ascii="Garamond" w:hAnsi="Garamond"/>
          <w:color w:val="auto"/>
          <w:sz w:val="24"/>
          <w:szCs w:val="24"/>
        </w:rPr>
        <w:t xml:space="preserve">Dodavatel se zavazuje uhradit Objednateli smluvní pokutu ve výši 200,- Kč bez DPH za každý započatý den prodlení se smluvně stanoveným termínem odstranění vady dle čl. 6.2 této Smlouvy. </w:t>
      </w:r>
    </w:p>
    <w:p>
      <w:pPr>
        <w:pStyle w:val="Podseznam"/>
        <w:numPr>
          <w:ilvl w:val="1"/>
          <w:numId w:val="1"/>
        </w:numPr>
        <w:spacing w:lineRule="atLeast" w:line="240"/>
        <w:ind w:left="1560" w:hanging="709"/>
        <w:jc w:val="both"/>
        <w:rPr>
          <w:rFonts w:ascii="Garamond" w:hAnsi="Garamond"/>
          <w:sz w:val="24"/>
          <w:szCs w:val="24"/>
        </w:rPr>
      </w:pPr>
      <w:r>
        <w:rPr>
          <w:rFonts w:ascii="Garamond" w:hAnsi="Garamond"/>
          <w:color w:val="auto"/>
          <w:sz w:val="24"/>
          <w:szCs w:val="24"/>
        </w:rPr>
        <w:t>V případě prodlení platby za prováděné služby ze strany Objednatele, je Dodavatel oprávněn účtovat Objednateli úrok z prodlení ve výši 0,05 % z dlužné</w:t>
      </w:r>
      <w:r>
        <w:rPr>
          <w:rFonts w:ascii="Garamond" w:hAnsi="Garamond"/>
          <w:sz w:val="24"/>
          <w:szCs w:val="24"/>
        </w:rPr>
        <w:t xml:space="preserve"> částky za každý den prodlení do maximální výše 10% z částky po splatnosti. </w:t>
      </w:r>
    </w:p>
    <w:p>
      <w:pPr>
        <w:pStyle w:val="Podseznam"/>
        <w:numPr>
          <w:ilvl w:val="1"/>
          <w:numId w:val="1"/>
        </w:numPr>
        <w:spacing w:lineRule="atLeast" w:line="240"/>
        <w:ind w:left="1560" w:hanging="709"/>
        <w:jc w:val="both"/>
        <w:rPr>
          <w:rFonts w:ascii="Garamond" w:hAnsi="Garamond"/>
          <w:sz w:val="24"/>
          <w:szCs w:val="24"/>
        </w:rPr>
      </w:pPr>
      <w:r>
        <w:rPr>
          <w:rFonts w:ascii="Garamond" w:hAnsi="Garamond"/>
          <w:color w:val="auto"/>
          <w:sz w:val="24"/>
          <w:szCs w:val="24"/>
        </w:rPr>
        <w:t>Uhrazením smluvní pokuty nebo smluvních pokut není dotčeno právo poškozené smluvní strany na náhradu škody přesahující sjednanou smluvní pokutu nebo pokuty, které přísluší oprávněné straně vedle nároku na smluvní pokutu nebo pokuty v nekráceném rozsahu.</w:t>
      </w:r>
    </w:p>
    <w:p>
      <w:pPr>
        <w:pStyle w:val="Podseznam"/>
        <w:numPr>
          <w:ilvl w:val="1"/>
          <w:numId w:val="1"/>
        </w:numPr>
        <w:spacing w:lineRule="atLeast" w:line="240"/>
        <w:ind w:left="1560" w:hanging="709"/>
        <w:jc w:val="both"/>
        <w:rPr>
          <w:rFonts w:ascii="Garamond" w:hAnsi="Garamond"/>
          <w:sz w:val="24"/>
          <w:szCs w:val="24"/>
        </w:rPr>
      </w:pPr>
      <w:r>
        <w:rPr>
          <w:rFonts w:ascii="Garamond" w:hAnsi="Garamond"/>
          <w:color w:val="auto"/>
          <w:sz w:val="24"/>
          <w:szCs w:val="24"/>
        </w:rPr>
        <w:t>Dodavatel odpovídá za případné škody způsobené výkonem své práce na majetku Objednatele nebo za jiné škody vzniklé před prováděním prací nebo vzniklé neprovedením prací dle Přílohy č. 2 Smlouvy.</w:t>
      </w:r>
    </w:p>
    <w:p>
      <w:pPr>
        <w:pStyle w:val="Podseznam"/>
        <w:numPr>
          <w:ilvl w:val="1"/>
          <w:numId w:val="1"/>
        </w:numPr>
        <w:spacing w:lineRule="atLeast" w:line="240"/>
        <w:ind w:left="1560" w:hanging="709"/>
        <w:jc w:val="both"/>
        <w:rPr>
          <w:rFonts w:ascii="Garamond" w:hAnsi="Garamond"/>
          <w:sz w:val="24"/>
          <w:szCs w:val="24"/>
        </w:rPr>
      </w:pPr>
      <w:r>
        <w:rPr>
          <w:rFonts w:ascii="Garamond" w:hAnsi="Garamond"/>
          <w:color w:val="auto"/>
          <w:sz w:val="24"/>
          <w:szCs w:val="24"/>
        </w:rPr>
        <w:t>Před započetím prvního plnění dodá Dodavatel potvrzení o pojištění zodpovědnosti za škody způsobené výkonem povolání či poskytování Služeb. Dodavatel se zavazuje řádně a včas plnit veškeré závazky z této pojistné smlouvy pro něj plynoucí po celou dobu trvání této Smlouvy. V případě zániku pojistné smlouvy je Dodavatel povinen uzavřít nejpozději do 7 kalendářních dnů novou pojistnou smlouvu a předloží Objednateli tuto kopii.</w:t>
      </w:r>
    </w:p>
    <w:p>
      <w:pPr>
        <w:pStyle w:val="Podseznam"/>
        <w:spacing w:lineRule="atLeast" w:line="240"/>
        <w:ind w:left="0" w:hanging="0"/>
        <w:jc w:val="both"/>
        <w:rPr>
          <w:rFonts w:ascii="Garamond" w:hAnsi="Garamond"/>
          <w:color w:val="auto"/>
          <w:sz w:val="24"/>
          <w:szCs w:val="24"/>
        </w:rPr>
      </w:pPr>
      <w:r>
        <w:rPr>
          <w:rFonts w:ascii="Garamond" w:hAnsi="Garamond"/>
          <w:color w:val="auto"/>
          <w:sz w:val="24"/>
          <w:szCs w:val="24"/>
        </w:rPr>
      </w:r>
    </w:p>
    <w:p>
      <w:pPr>
        <w:pStyle w:val="Podseznam"/>
        <w:numPr>
          <w:ilvl w:val="0"/>
          <w:numId w:val="1"/>
        </w:numPr>
        <w:spacing w:lineRule="atLeast" w:line="240"/>
        <w:jc w:val="both"/>
        <w:rPr>
          <w:rFonts w:ascii="Garamond" w:hAnsi="Garamond"/>
          <w:b/>
          <w:b/>
          <w:sz w:val="24"/>
          <w:szCs w:val="24"/>
        </w:rPr>
      </w:pPr>
      <w:r>
        <w:rPr>
          <w:rFonts w:ascii="Garamond" w:hAnsi="Garamond"/>
          <w:b/>
          <w:sz w:val="24"/>
          <w:szCs w:val="24"/>
        </w:rPr>
        <w:t>Důstojné pracovní podmínky, ekologický úklid</w:t>
      </w:r>
    </w:p>
    <w:p>
      <w:pPr>
        <w:pStyle w:val="Normal"/>
        <w:tabs>
          <w:tab w:val="clear" w:pos="708"/>
          <w:tab w:val="left" w:pos="284" w:leader="none"/>
        </w:tabs>
        <w:suppressAutoHyphens w:val="true"/>
        <w:spacing w:lineRule="auto" w:line="240" w:before="120" w:after="0"/>
        <w:ind w:left="1560" w:hanging="709"/>
        <w:rPr>
          <w:rFonts w:ascii="Garamond" w:hAnsi="Garamond"/>
          <w:sz w:val="24"/>
          <w:szCs w:val="24"/>
        </w:rPr>
      </w:pPr>
      <w:r>
        <w:rPr>
          <w:rFonts w:cs="Calibri" w:ascii="Garamond" w:hAnsi="Garamond"/>
          <w:sz w:val="24"/>
          <w:szCs w:val="24"/>
        </w:rPr>
        <w:t>8.1</w:t>
        <w:tab/>
        <w:t>Dodavatel</w:t>
      </w:r>
      <w:r>
        <w:rPr>
          <w:rFonts w:ascii="Garamond" w:hAnsi="Garamond"/>
          <w:sz w:val="24"/>
          <w:szCs w:val="24"/>
        </w:rPr>
        <w:t xml:space="preserve"> prohlašuje,</w:t>
      </w:r>
      <w:r>
        <w:rPr>
          <w:rFonts w:ascii="Garamond" w:hAnsi="Garamond"/>
          <w:b/>
          <w:sz w:val="24"/>
          <w:szCs w:val="24"/>
        </w:rPr>
        <w:t xml:space="preserve"> </w:t>
      </w:r>
      <w:r>
        <w:rPr>
          <w:rFonts w:ascii="Garamond" w:hAnsi="Garamond"/>
          <w:sz w:val="24"/>
          <w:szCs w:val="24"/>
        </w:rPr>
        <w:t>že si je vědom skutečnosti, že Objednatel má zájem na plnění této Smlouvy v souladu se zásadami společensky odpovědného zadávání veřejných zakázek. Dodavatel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 č. 262/2006 Sb., zákoník práce, ve znění pozdějších předpisů, a to vůči všem osobám, které se na plnění této Smlouvy podílejí a bez ohledu na to, zda bude dle této Smlouvy plněno Dodavatelem či jeho poddodavatelem.</w:t>
      </w:r>
    </w:p>
    <w:p>
      <w:pPr>
        <w:pStyle w:val="ListParagraph"/>
        <w:numPr>
          <w:ilvl w:val="1"/>
          <w:numId w:val="5"/>
        </w:numPr>
        <w:tabs>
          <w:tab w:val="clear" w:pos="708"/>
          <w:tab w:val="left" w:pos="1560" w:leader="none"/>
        </w:tabs>
        <w:suppressAutoHyphens w:val="true"/>
        <w:spacing w:lineRule="auto" w:line="240" w:before="120" w:after="0"/>
        <w:ind w:left="1560" w:hanging="851"/>
        <w:rPr>
          <w:rFonts w:ascii="Garamond" w:hAnsi="Garamond"/>
          <w:sz w:val="24"/>
          <w:szCs w:val="24"/>
        </w:rPr>
      </w:pPr>
      <w:r>
        <w:rPr>
          <w:rFonts w:ascii="Garamond" w:hAnsi="Garamond"/>
          <w:sz w:val="24"/>
          <w:szCs w:val="24"/>
        </w:rPr>
        <w:t xml:space="preserve">Dodavatel je povinen před zahájením prvních prací i po dobu trvání této Smlouvy vždy na výzvu Objednatele předložit čestné prohlášení (Příloha č. 3) v němž uvede jmenný seznam všech svých zaměstnanců, agenturních zaměstnanců, živnostníků a dalších osob, se kterými se na realizaci této Smlouvy podílel v době od jejího uzavření.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Dodavatel bere na vědomí, že tato prohlášení je Objednatel oprávněn poskytnout příslušným orgánům veřejné moci ČR. </w:t>
      </w:r>
    </w:p>
    <w:p>
      <w:pPr>
        <w:pStyle w:val="ListParagraph"/>
        <w:numPr>
          <w:ilvl w:val="1"/>
          <w:numId w:val="5"/>
        </w:numPr>
        <w:tabs>
          <w:tab w:val="clear" w:pos="708"/>
          <w:tab w:val="left" w:pos="1560" w:leader="none"/>
        </w:tabs>
        <w:suppressAutoHyphens w:val="true"/>
        <w:spacing w:lineRule="auto" w:line="240" w:before="120" w:after="0"/>
        <w:ind w:left="1560" w:hanging="851"/>
        <w:rPr>
          <w:rFonts w:ascii="Garamond" w:hAnsi="Garamond"/>
          <w:sz w:val="24"/>
          <w:szCs w:val="24"/>
        </w:rPr>
      </w:pPr>
      <w:r>
        <w:rPr>
          <w:rFonts w:cs="Calibri" w:ascii="Garamond" w:hAnsi="Garamond"/>
          <w:sz w:val="24"/>
          <w:szCs w:val="24"/>
        </w:rPr>
        <w:t>Dodavatel</w:t>
      </w:r>
      <w:r>
        <w:rPr>
          <w:rFonts w:ascii="Garamond" w:hAnsi="Garamond"/>
          <w:sz w:val="24"/>
          <w:szCs w:val="24"/>
        </w:rPr>
        <w:t xml:space="preserve"> prohlašuje,</w:t>
      </w:r>
      <w:r>
        <w:rPr>
          <w:rFonts w:ascii="Garamond" w:hAnsi="Garamond"/>
          <w:b/>
          <w:sz w:val="24"/>
          <w:szCs w:val="24"/>
        </w:rPr>
        <w:t xml:space="preserve"> </w:t>
      </w:r>
      <w:r>
        <w:rPr>
          <w:rFonts w:ascii="Garamond" w:hAnsi="Garamond"/>
          <w:sz w:val="24"/>
          <w:szCs w:val="24"/>
        </w:rPr>
        <w:t xml:space="preserve">že si je vědom skutečnosti, že Objednatel má zájem na plnění této Smlouvy v souladu se zásadami environmentálně odpovědného zadávání veřejných zakázek. Dodavatel se zavazuje po celou dobu trvání této Smlouvy zajistit dodržování zásad ekologického úklidu této smlouvy což stvrzuje svým čestným prohlášením (Příloha č. 4). </w:t>
      </w:r>
    </w:p>
    <w:p>
      <w:pPr>
        <w:pStyle w:val="ListParagraph"/>
        <w:tabs>
          <w:tab w:val="clear" w:pos="708"/>
          <w:tab w:val="left" w:pos="284" w:leader="none"/>
        </w:tabs>
        <w:suppressAutoHyphens w:val="true"/>
        <w:spacing w:lineRule="auto" w:line="240" w:before="120" w:after="0"/>
        <w:ind w:left="284" w:hanging="0"/>
        <w:contextualSpacing/>
        <w:rPr>
          <w:rFonts w:ascii="Garamond" w:hAnsi="Garamond"/>
          <w:sz w:val="24"/>
          <w:szCs w:val="24"/>
        </w:rPr>
      </w:pPr>
      <w:r>
        <w:rPr>
          <w:rFonts w:ascii="Garamond" w:hAnsi="Garamond"/>
          <w:sz w:val="24"/>
          <w:szCs w:val="24"/>
        </w:rPr>
      </w:r>
    </w:p>
    <w:p>
      <w:pPr>
        <w:pStyle w:val="Tlotextu"/>
        <w:widowControl w:val="false"/>
        <w:numPr>
          <w:ilvl w:val="0"/>
          <w:numId w:val="3"/>
        </w:numPr>
        <w:spacing w:before="120" w:after="120"/>
        <w:rPr>
          <w:rFonts w:ascii="Garamond" w:hAnsi="Garamond" w:cs="Calibri" w:cstheme="minorHAnsi"/>
          <w:b/>
          <w:b/>
        </w:rPr>
      </w:pPr>
      <w:r>
        <w:rPr>
          <w:rFonts w:cs="Calibri" w:ascii="Garamond" w:hAnsi="Garamond" w:cstheme="minorHAnsi"/>
          <w:b/>
        </w:rPr>
        <w:t>Závěrečná ustanovení</w:t>
      </w:r>
    </w:p>
    <w:p>
      <w:pPr>
        <w:pStyle w:val="BodyTextIndent3"/>
        <w:widowControl w:val="false"/>
        <w:spacing w:lineRule="auto" w:line="240" w:before="120" w:after="120"/>
        <w:ind w:left="1560" w:hanging="709"/>
        <w:jc w:val="both"/>
        <w:rPr>
          <w:rFonts w:ascii="Garamond" w:hAnsi="Garamond" w:cs="Calibri" w:cstheme="minorHAnsi"/>
          <w:sz w:val="24"/>
          <w:szCs w:val="24"/>
        </w:rPr>
      </w:pPr>
      <w:r>
        <w:rPr>
          <w:rFonts w:cs="Calibri" w:ascii="Garamond" w:hAnsi="Garamond" w:cstheme="minorHAnsi"/>
          <w:sz w:val="24"/>
          <w:szCs w:val="24"/>
        </w:rPr>
        <w:t>9.1</w:t>
        <w:tab/>
        <w:t xml:space="preserve">Smlouva nabývá platnosti dnem podpisu oběma Smluvními stranami a účinnosti vkladem do registru smluv dle zákona č. 340/2015 Sb., o zvláštních podmínkách účinnosti některých smluv, uveřejňování těchto smluv a o registru smluv (Zákon o registru smluv), ve znění pozdějších předpisů. </w:t>
      </w:r>
    </w:p>
    <w:p>
      <w:pPr>
        <w:pStyle w:val="ListParagraph"/>
        <w:widowControl w:val="false"/>
        <w:numPr>
          <w:ilvl w:val="1"/>
          <w:numId w:val="4"/>
        </w:numPr>
        <w:spacing w:lineRule="auto" w:line="240" w:before="120" w:after="120"/>
        <w:ind w:left="1560" w:hanging="709"/>
        <w:contextualSpacing/>
        <w:rPr>
          <w:rFonts w:ascii="Garamond" w:hAnsi="Garamond" w:cs="Calibri" w:cstheme="minorHAnsi"/>
          <w:sz w:val="24"/>
          <w:szCs w:val="24"/>
        </w:rPr>
      </w:pPr>
      <w:r>
        <w:rPr>
          <w:rFonts w:cs="Calibri" w:ascii="Garamond" w:hAnsi="Garamond" w:cstheme="minorHAnsi"/>
          <w:sz w:val="24"/>
          <w:szCs w:val="24"/>
        </w:rPr>
        <w:t>Dodavatel souhlasí s tím, aby tato Smlouva byla dle uvážení Objednatele v plném rozsahu zveřejněna v registru smluv (dle zákona č. 340/2015 Sb., o zvláštních podmínkách účinnosti některých smluv, uveřejňování těchto smluv a o registru smluv (zákon o registru smluv). Uveřejnění zajistí Objednatel. Skutečnosti uvedené ve Smlouvě nepovažuje Dodavatel za obchodní tajemství ve smyslu § 504 zákona č. 89/2012 Sb., občanského zákoníku a uděluje svolení k jejich užití a zveřejnění bez stanovení jakýchkoliv dalších podmínek. Uveřejnění je oprávněn zajistit Objednatel; pro účely uveřejnění nepovažují smluvní strany nic z obsahu Smlouvy ani z metadat k ní se vážících za vyloučené z uveřejnění a prohlašují, že disponují všemi oprávněními i ve vztahu ke třetím osobám takovéto prohlášení učinit.</w:t>
      </w:r>
    </w:p>
    <w:p>
      <w:pPr>
        <w:pStyle w:val="ListParagraph"/>
        <w:widowControl w:val="false"/>
        <w:numPr>
          <w:ilvl w:val="1"/>
          <w:numId w:val="4"/>
        </w:numPr>
        <w:spacing w:lineRule="auto" w:line="240" w:before="120" w:after="120"/>
        <w:ind w:left="1560" w:hanging="709"/>
        <w:contextualSpacing/>
        <w:rPr>
          <w:rFonts w:ascii="Garamond" w:hAnsi="Garamond" w:cs="Calibri" w:cstheme="minorHAnsi"/>
          <w:sz w:val="24"/>
          <w:szCs w:val="24"/>
        </w:rPr>
      </w:pPr>
      <w:r>
        <w:rPr>
          <w:rFonts w:cs="Calibri" w:ascii="Garamond" w:hAnsi="Garamond" w:cstheme="minorHAnsi"/>
          <w:sz w:val="24"/>
          <w:szCs w:val="24"/>
        </w:rPr>
        <w:t xml:space="preserve">Dodavatel se zavazuje zachovávat mlčenlivost o všech skutečnostech, o nichž se dozví v souvislosti s poskytováním služeb. Povinnost Dodavatele zachovávat mlčenlivost trvá i po skončení platnosti této smlouvy. </w:t>
      </w:r>
    </w:p>
    <w:p>
      <w:pPr>
        <w:pStyle w:val="BodyTextIndent3"/>
        <w:widowControl w:val="false"/>
        <w:numPr>
          <w:ilvl w:val="1"/>
          <w:numId w:val="4"/>
        </w:numPr>
        <w:spacing w:lineRule="auto" w:line="240" w:before="120" w:after="120"/>
        <w:ind w:left="1560" w:hanging="709"/>
        <w:jc w:val="both"/>
        <w:rPr>
          <w:rFonts w:ascii="Garamond" w:hAnsi="Garamond" w:cs="Calibri" w:cstheme="minorHAnsi"/>
          <w:sz w:val="24"/>
          <w:szCs w:val="24"/>
        </w:rPr>
      </w:pPr>
      <w:r>
        <w:rPr>
          <w:rFonts w:cs="Calibri" w:ascii="Garamond" w:hAnsi="Garamond" w:cstheme="minorHAnsi"/>
          <w:sz w:val="24"/>
          <w:szCs w:val="24"/>
        </w:rPr>
        <w:t>Existenci možnosti zproštění povinnosti k náhradě škody v souvislosti s vyšší mocí upravuje ust. § 2913 odst. 2 občanského zákoníku. Za okolnosti vyšší moci se považují mimořádné nepředvídatelné a nepřekonatelné překážky vzniklé nezávisle na vůli smluvních stran, které trvale nebo dočasně brání smluvním stranám plnit své povinnosti, jako např. válka, epidemie, živelné katastrofy, generální stávky apod. Za okolnosti vyšší moci se naproti tomu nepovažují zpoždění dodávek poddodavatelů, výpadky médií, změna hospodářské situace apod. Strana dovolávající se vyšší moci je povinna neprodleně, nejpozději však do tří (3) kalendářních dnů, druhou stranu vyrozumět o vzniku okolností vyšší moci. Stejným způsobem vyrozumí druhou smluvní stranu o ukončení okolností vyšší moci. Na požádání předloží smluvní strana, která se dovolává vyšší moci, věrohodný důkaz o předmětné skutečnosti.</w:t>
      </w:r>
    </w:p>
    <w:p>
      <w:pPr>
        <w:pStyle w:val="BodyTextIndent3"/>
        <w:widowControl w:val="false"/>
        <w:numPr>
          <w:ilvl w:val="1"/>
          <w:numId w:val="4"/>
        </w:numPr>
        <w:spacing w:lineRule="auto" w:line="240" w:before="120" w:after="120"/>
        <w:ind w:left="1560" w:hanging="709"/>
        <w:jc w:val="both"/>
        <w:rPr>
          <w:rFonts w:ascii="Garamond" w:hAnsi="Garamond" w:cs="Calibri" w:cstheme="minorHAnsi"/>
          <w:sz w:val="24"/>
          <w:szCs w:val="24"/>
        </w:rPr>
      </w:pPr>
      <w:r>
        <w:rPr>
          <w:rFonts w:cs="Calibri" w:ascii="Garamond" w:hAnsi="Garamond" w:cstheme="minorHAnsi"/>
          <w:sz w:val="24"/>
          <w:szCs w:val="24"/>
        </w:rPr>
        <w:t>Dodavatel je osobou povinnou spolupůsobit při výkonu finanční kontroly ve smyslu ustanovení § 2 písm. e) zákona č. 320/2001 Sb., o finanční kontrole ve veřejné správě.</w:t>
      </w:r>
    </w:p>
    <w:p>
      <w:pPr>
        <w:pStyle w:val="BodyTextIndent3"/>
        <w:widowControl w:val="false"/>
        <w:numPr>
          <w:ilvl w:val="1"/>
          <w:numId w:val="4"/>
        </w:numPr>
        <w:spacing w:lineRule="auto" w:line="240" w:before="120" w:after="120"/>
        <w:ind w:left="1560" w:hanging="709"/>
        <w:jc w:val="both"/>
        <w:rPr>
          <w:rFonts w:ascii="Garamond" w:hAnsi="Garamond" w:cs="Calibri" w:cstheme="minorHAnsi"/>
          <w:sz w:val="24"/>
          <w:szCs w:val="24"/>
        </w:rPr>
      </w:pPr>
      <w:r>
        <w:rPr>
          <w:rFonts w:cs="Calibri" w:ascii="Garamond" w:hAnsi="Garamond" w:cstheme="minorHAnsi"/>
          <w:sz w:val="24"/>
          <w:szCs w:val="24"/>
        </w:rPr>
        <w:t>Tato Smlouva je vyhotovena ve dvou vyhotoveních, každá ze stran obdrží jedno vyhovení</w:t>
      </w:r>
      <w:bookmarkStart w:id="1" w:name="_GoBack"/>
      <w:bookmarkEnd w:id="1"/>
      <w:r>
        <w:rPr>
          <w:rFonts w:cs="Calibri" w:ascii="Garamond" w:hAnsi="Garamond" w:cstheme="minorHAnsi"/>
          <w:sz w:val="24"/>
          <w:szCs w:val="24"/>
        </w:rPr>
        <w:t xml:space="preserve">. Na základě své pravé, vážné a omylu prosté vůle připojují Smluvní strany své podpisy. </w:t>
      </w:r>
    </w:p>
    <w:p>
      <w:pPr>
        <w:pStyle w:val="Normal"/>
        <w:spacing w:before="120" w:after="280"/>
        <w:ind w:left="708" w:hanging="0"/>
        <w:jc w:val="both"/>
        <w:rPr>
          <w:rFonts w:ascii="Garamond" w:hAnsi="Garamond"/>
          <w:sz w:val="24"/>
          <w:szCs w:val="24"/>
        </w:rPr>
      </w:pPr>
      <w:r>
        <w:rPr>
          <w:rFonts w:ascii="Garamond" w:hAnsi="Garamond"/>
          <w:sz w:val="24"/>
          <w:szCs w:val="24"/>
        </w:rPr>
      </w:r>
    </w:p>
    <w:p>
      <w:pPr>
        <w:pStyle w:val="Normal"/>
        <w:spacing w:before="120" w:after="280"/>
        <w:ind w:left="708" w:hanging="0"/>
        <w:jc w:val="both"/>
        <w:rPr>
          <w:rFonts w:ascii="Garamond" w:hAnsi="Garamond"/>
          <w:sz w:val="24"/>
          <w:szCs w:val="24"/>
        </w:rPr>
      </w:pPr>
      <w:r>
        <w:rPr>
          <w:rFonts w:ascii="Garamond" w:hAnsi="Garamond"/>
          <w:sz w:val="24"/>
          <w:szCs w:val="24"/>
        </w:rPr>
      </w:r>
    </w:p>
    <w:p>
      <w:pPr>
        <w:pStyle w:val="Normal"/>
        <w:spacing w:before="120" w:after="280"/>
        <w:ind w:left="708" w:hanging="0"/>
        <w:jc w:val="both"/>
        <w:rPr>
          <w:rFonts w:ascii="Garamond" w:hAnsi="Garamond"/>
          <w:sz w:val="24"/>
          <w:szCs w:val="24"/>
        </w:rPr>
      </w:pPr>
      <w:r>
        <w:rPr>
          <w:rFonts w:ascii="Garamond" w:hAnsi="Garamond"/>
          <w:sz w:val="24"/>
          <w:szCs w:val="24"/>
        </w:rPr>
        <w:t>Jan Staščák</w:t>
      </w:r>
    </w:p>
    <w:p>
      <w:pPr>
        <w:pStyle w:val="Normal"/>
        <w:spacing w:before="0" w:after="0"/>
        <w:ind w:left="708" w:hanging="0"/>
        <w:jc w:val="both"/>
        <w:rPr>
          <w:rFonts w:ascii="Garamond" w:hAnsi="Garamond"/>
          <w:sz w:val="24"/>
          <w:szCs w:val="24"/>
        </w:rPr>
      </w:pPr>
      <w:r>
        <w:rPr>
          <w:rFonts w:ascii="Garamond" w:hAnsi="Garamond"/>
          <w:sz w:val="24"/>
          <w:szCs w:val="24"/>
        </w:rPr>
        <w:t>……………………………</w:t>
      </w:r>
      <w:r>
        <w:rPr>
          <w:rFonts w:ascii="Garamond" w:hAnsi="Garamond"/>
          <w:sz w:val="24"/>
          <w:szCs w:val="24"/>
        </w:rPr>
        <w:tab/>
        <w:tab/>
        <w:tab/>
        <w:tab/>
        <w:tab/>
        <w:t>…………………………….</w:t>
      </w:r>
    </w:p>
    <w:p>
      <w:pPr>
        <w:pStyle w:val="Normal"/>
        <w:spacing w:before="0" w:after="0"/>
        <w:ind w:left="708" w:hanging="0"/>
        <w:jc w:val="both"/>
        <w:rPr/>
      </w:pPr>
      <w:r>
        <w:rPr>
          <w:rFonts w:ascii="Garamond" w:hAnsi="Garamond"/>
          <w:sz w:val="24"/>
          <w:szCs w:val="24"/>
        </w:rPr>
        <w:t>Dorfner s.r.o.</w:t>
        <w:tab/>
        <w:tab/>
        <w:tab/>
        <w:tab/>
        <w:tab/>
        <w:t>Psychiatrická nemocnice v Kroměíži</w:t>
      </w:r>
    </w:p>
    <w:p>
      <w:pPr>
        <w:pStyle w:val="Normal"/>
        <w:spacing w:before="0" w:after="0"/>
        <w:ind w:left="708" w:hanging="0"/>
        <w:jc w:val="both"/>
        <w:rPr>
          <w:rFonts w:ascii="Garamond" w:hAnsi="Garamond"/>
          <w:sz w:val="24"/>
          <w:szCs w:val="24"/>
        </w:rPr>
      </w:pPr>
      <w:r>
        <w:rPr>
          <w:rFonts w:ascii="Garamond" w:hAnsi="Garamond"/>
          <w:sz w:val="24"/>
          <w:szCs w:val="24"/>
        </w:rPr>
        <w:t xml:space="preserve">Zastoupený Janem Staščákem </w:t>
        <w:tab/>
        <w:tab/>
        <w:tab/>
        <w:tab/>
        <w:tab/>
        <w:t>Mgr. Pavel Polák</w:t>
      </w:r>
    </w:p>
    <w:p>
      <w:pPr>
        <w:pStyle w:val="Normal"/>
        <w:spacing w:before="0" w:after="0"/>
        <w:jc w:val="both"/>
        <w:rPr>
          <w:rFonts w:ascii="Garamond" w:hAnsi="Garamond"/>
          <w:sz w:val="24"/>
          <w:szCs w:val="24"/>
          <w:u w:val="single"/>
        </w:rPr>
      </w:pPr>
      <w:r>
        <w:rPr>
          <w:rFonts w:ascii="Garamond" w:hAnsi="Garamond"/>
          <w:sz w:val="24"/>
          <w:szCs w:val="24"/>
          <w:u w:val="single"/>
        </w:rPr>
      </w:r>
    </w:p>
    <w:p>
      <w:pPr>
        <w:pStyle w:val="Normal"/>
        <w:spacing w:before="0" w:after="0"/>
        <w:jc w:val="both"/>
        <w:rPr>
          <w:rFonts w:ascii="Garamond" w:hAnsi="Garamond"/>
          <w:sz w:val="24"/>
          <w:szCs w:val="24"/>
          <w:u w:val="single"/>
        </w:rPr>
      </w:pPr>
      <w:r>
        <w:rPr>
          <w:rFonts w:ascii="Garamond" w:hAnsi="Garamond"/>
          <w:sz w:val="24"/>
          <w:szCs w:val="24"/>
          <w:u w:val="single"/>
        </w:rPr>
      </w:r>
    </w:p>
    <w:p>
      <w:pPr>
        <w:pStyle w:val="Normal"/>
        <w:spacing w:before="0" w:after="0"/>
        <w:jc w:val="both"/>
        <w:rPr>
          <w:rFonts w:ascii="Garamond" w:hAnsi="Garamond"/>
          <w:sz w:val="24"/>
          <w:szCs w:val="24"/>
          <w:u w:val="single"/>
        </w:rPr>
      </w:pPr>
      <w:r>
        <w:rPr>
          <w:rFonts w:ascii="Garamond" w:hAnsi="Garamond"/>
          <w:sz w:val="24"/>
          <w:szCs w:val="24"/>
          <w:u w:val="single"/>
        </w:rPr>
      </w:r>
    </w:p>
    <w:p>
      <w:pPr>
        <w:pStyle w:val="Normal"/>
        <w:spacing w:before="0" w:after="0"/>
        <w:jc w:val="both"/>
        <w:rPr>
          <w:rFonts w:ascii="Garamond" w:hAnsi="Garamond"/>
          <w:sz w:val="24"/>
          <w:szCs w:val="24"/>
          <w:u w:val="single"/>
        </w:rPr>
      </w:pPr>
      <w:r>
        <w:rPr>
          <w:rFonts w:ascii="Garamond" w:hAnsi="Garamond"/>
          <w:sz w:val="24"/>
          <w:szCs w:val="24"/>
          <w:u w:val="single"/>
        </w:rPr>
      </w:r>
    </w:p>
    <w:p>
      <w:pPr>
        <w:pStyle w:val="Normal"/>
        <w:spacing w:before="0" w:after="0"/>
        <w:jc w:val="both"/>
        <w:rPr>
          <w:rFonts w:ascii="Garamond" w:hAnsi="Garamond"/>
          <w:sz w:val="24"/>
          <w:szCs w:val="24"/>
          <w:u w:val="single"/>
        </w:rPr>
      </w:pPr>
      <w:r>
        <w:rPr>
          <w:rFonts w:ascii="Garamond" w:hAnsi="Garamond"/>
          <w:sz w:val="24"/>
          <w:szCs w:val="24"/>
          <w:u w:val="single"/>
        </w:rPr>
        <w:t xml:space="preserve">Přílohy smlouvy: </w:t>
      </w:r>
    </w:p>
    <w:p>
      <w:pPr>
        <w:pStyle w:val="Normal"/>
        <w:spacing w:before="0" w:after="0"/>
        <w:jc w:val="both"/>
        <w:rPr>
          <w:rFonts w:ascii="Garamond" w:hAnsi="Garamond"/>
          <w:sz w:val="24"/>
          <w:szCs w:val="24"/>
        </w:rPr>
      </w:pPr>
      <w:r>
        <w:rPr>
          <w:rFonts w:ascii="Garamond" w:hAnsi="Garamond"/>
          <w:sz w:val="24"/>
          <w:szCs w:val="24"/>
        </w:rPr>
        <w:t>Příloha č. 1 – Cenový rozklad</w:t>
      </w:r>
    </w:p>
    <w:p>
      <w:pPr>
        <w:pStyle w:val="Normal"/>
        <w:spacing w:before="0" w:after="0"/>
        <w:jc w:val="both"/>
        <w:rPr>
          <w:rFonts w:ascii="Garamond" w:hAnsi="Garamond"/>
          <w:sz w:val="24"/>
          <w:szCs w:val="24"/>
        </w:rPr>
      </w:pPr>
      <w:r>
        <w:rPr>
          <w:rFonts w:ascii="Garamond" w:hAnsi="Garamond"/>
          <w:sz w:val="24"/>
          <w:szCs w:val="24"/>
        </w:rPr>
        <w:t>Příloha č. 2 – Technická specifikace</w:t>
      </w:r>
    </w:p>
    <w:p>
      <w:pPr>
        <w:pStyle w:val="Normal"/>
        <w:spacing w:before="0" w:after="0"/>
        <w:jc w:val="both"/>
        <w:rPr>
          <w:rFonts w:ascii="Garamond" w:hAnsi="Garamond"/>
          <w:sz w:val="24"/>
          <w:szCs w:val="24"/>
        </w:rPr>
      </w:pPr>
      <w:r>
        <w:rPr>
          <w:rFonts w:ascii="Garamond" w:hAnsi="Garamond"/>
          <w:sz w:val="24"/>
          <w:szCs w:val="24"/>
        </w:rPr>
        <w:t>Příloha č. 3 – Čestné prohlášení – důstojné pracovní podmínky</w:t>
      </w:r>
    </w:p>
    <w:p>
      <w:pPr>
        <w:pStyle w:val="Normal"/>
        <w:spacing w:before="0" w:after="0"/>
        <w:jc w:val="both"/>
        <w:rPr/>
      </w:pPr>
      <w:r>
        <w:rPr>
          <w:rFonts w:ascii="Garamond" w:hAnsi="Garamond"/>
          <w:sz w:val="24"/>
          <w:szCs w:val="24"/>
        </w:rPr>
        <w:t>Příloha č. 4 – Čestné prohlášení– ekologický úklid</w:t>
      </w:r>
    </w:p>
    <w:sectPr>
      <w:headerReference w:type="default" r:id="rId3"/>
      <w:footerReference w:type="default" r:id="rId4"/>
      <w:type w:val="nextPage"/>
      <w:pgSz w:w="11906" w:h="16838"/>
      <w:pgMar w:left="1417" w:right="1417" w:header="0" w:top="1417" w:footer="708"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Franklin Gothic Book">
    <w:charset w:val="ee"/>
    <w:family w:val="roman"/>
    <w:pitch w:val="variable"/>
  </w:font>
  <w:font w:name="Univers Com">
    <w:charset w:val="ee"/>
    <w:family w:val="roman"/>
    <w:pitch w:val="variable"/>
  </w:font>
  <w:font w:name="Garamond">
    <w:charset w:val="ee"/>
    <w:family w:val="roman"/>
    <w:pitch w:val="variable"/>
  </w:font>
  <w:font w:name="Liberation Sans">
    <w:altName w:val="Arial"/>
    <w:charset w:val="ee"/>
    <w:family w:val="roman"/>
    <w:pitch w:val="variable"/>
  </w:font>
  <w:font w:name="Arial">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37865625"/>
    </w:sdtPr>
    <w:sdtContent>
      <w:p>
        <w:pPr>
          <w:pStyle w:val="Zpat"/>
          <w:jc w:val="right"/>
          <w:rPr/>
        </w:pPr>
        <w:r>
          <w:rPr>
            <w:rFonts w:ascii="Garamond" w:hAnsi="Garamond"/>
          </w:rPr>
          <w:t xml:space="preserve">Stránka </w:t>
        </w:r>
        <w:r>
          <w:rPr>
            <w:rFonts w:ascii="Garamond" w:hAnsi="Garamond"/>
            <w:b/>
            <w:bCs/>
            <w:sz w:val="24"/>
            <w:szCs w:val="24"/>
          </w:rPr>
          <w:fldChar w:fldCharType="begin"/>
        </w:r>
        <w:r>
          <w:rPr>
            <w:sz w:val="24"/>
            <w:b/>
            <w:szCs w:val="24"/>
            <w:bCs/>
            <w:rFonts w:ascii="Garamond" w:hAnsi="Garamond"/>
          </w:rPr>
          <w:instrText> PAGE </w:instrText>
        </w:r>
        <w:r>
          <w:rPr>
            <w:sz w:val="24"/>
            <w:b/>
            <w:szCs w:val="24"/>
            <w:bCs/>
            <w:rFonts w:ascii="Garamond" w:hAnsi="Garamond"/>
          </w:rPr>
          <w:fldChar w:fldCharType="separate"/>
        </w:r>
        <w:r>
          <w:rPr>
            <w:sz w:val="24"/>
            <w:b/>
            <w:szCs w:val="24"/>
            <w:bCs/>
            <w:rFonts w:ascii="Garamond" w:hAnsi="Garamond"/>
          </w:rPr>
          <w:t>7</w:t>
        </w:r>
        <w:r>
          <w:rPr>
            <w:sz w:val="24"/>
            <w:b/>
            <w:szCs w:val="24"/>
            <w:bCs/>
            <w:rFonts w:ascii="Garamond" w:hAnsi="Garamond"/>
          </w:rPr>
          <w:fldChar w:fldCharType="end"/>
        </w:r>
        <w:r>
          <w:rPr>
            <w:rFonts w:ascii="Garamond" w:hAnsi="Garamond"/>
          </w:rPr>
          <w:t xml:space="preserve"> z </w:t>
        </w:r>
        <w:r>
          <w:rPr>
            <w:rFonts w:ascii="Garamond" w:hAnsi="Garamond"/>
            <w:b/>
            <w:bCs/>
            <w:sz w:val="24"/>
            <w:szCs w:val="24"/>
          </w:rPr>
          <w:fldChar w:fldCharType="begin"/>
        </w:r>
        <w:r>
          <w:rPr>
            <w:sz w:val="24"/>
            <w:b/>
            <w:szCs w:val="24"/>
            <w:bCs/>
            <w:rFonts w:ascii="Garamond" w:hAnsi="Garamond"/>
          </w:rPr>
          <w:instrText> NUMPAGES </w:instrText>
        </w:r>
        <w:r>
          <w:rPr>
            <w:sz w:val="24"/>
            <w:b/>
            <w:szCs w:val="24"/>
            <w:bCs/>
            <w:rFonts w:ascii="Garamond" w:hAnsi="Garamond"/>
          </w:rPr>
          <w:fldChar w:fldCharType="separate"/>
        </w:r>
        <w:r>
          <w:rPr>
            <w:sz w:val="24"/>
            <w:b/>
            <w:szCs w:val="24"/>
            <w:bCs/>
            <w:rFonts w:ascii="Garamond" w:hAnsi="Garamond"/>
          </w:rPr>
          <w:t>7</w:t>
        </w:r>
        <w:r>
          <w:rPr>
            <w:sz w:val="24"/>
            <w:b/>
            <w:szCs w:val="24"/>
            <w:bCs/>
            <w:rFonts w:ascii="Garamond" w:hAnsi="Garamond"/>
          </w:rPr>
          <w:fldChar w:fldCharType="end"/>
        </w:r>
      </w:p>
    </w:sdtContent>
  </w:sdt>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p>
    <w:pPr>
      <w:pStyle w:val="Zhlav"/>
      <w:rPr/>
    </w:pPr>
    <w:r>
      <w:rPr/>
      <w:drawing>
        <wp:anchor behindDoc="1" distT="0" distB="0" distL="0" distR="0" simplePos="0" locked="0" layoutInCell="1" allowOverlap="1" relativeHeight="8">
          <wp:simplePos x="0" y="0"/>
          <wp:positionH relativeFrom="column">
            <wp:posOffset>5034280</wp:posOffset>
          </wp:positionH>
          <wp:positionV relativeFrom="paragraph">
            <wp:posOffset>76835</wp:posOffset>
          </wp:positionV>
          <wp:extent cx="1123950" cy="652145"/>
          <wp:effectExtent l="0" t="0" r="0" b="0"/>
          <wp:wrapNone/>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tretch>
                    <a:fillRect/>
                  </a:stretch>
                </pic:blipFill>
                <pic:spPr bwMode="auto">
                  <a:xfrm>
                    <a:off x="0" y="0"/>
                    <a:ext cx="1123950" cy="652145"/>
                  </a:xfrm>
                  <a:prstGeom prst="rect">
                    <a:avLst/>
                  </a:prstGeom>
                </pic:spPr>
              </pic:pic>
            </a:graphicData>
          </a:graphic>
        </wp:anchor>
      </w:drawing>
    </w:r>
  </w:p>
  <w:p>
    <w:pPr>
      <w:pStyle w:val="Zhlav"/>
      <w:rPr>
        <w:rFonts w:ascii="Garamond" w:hAnsi="Garamond"/>
        <w:sz w:val="30"/>
        <w:szCs w:val="30"/>
      </w:rPr>
    </w:pPr>
    <w:r>
      <w:rPr>
        <w:rFonts w:ascii="Garamond" w:hAnsi="Garamond"/>
        <w:sz w:val="30"/>
        <w:szCs w:val="30"/>
      </w:rPr>
      <w:t xml:space="preserve">Příloha č. 1 Zadávacích podmínek </w:t>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360" w:hanging="36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
    <w:lvl w:ilvl="0">
      <w:start w:val="1"/>
      <w:numFmt w:val="decimal"/>
      <w:lvlText w:val="%1"/>
      <w:lvlJc w:val="left"/>
      <w:pPr>
        <w:ind w:left="360" w:hanging="36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9"/>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lvl w:ilvl="0">
      <w:start w:val="8"/>
      <w:numFmt w:val="decimal"/>
      <w:lvlText w:val="%1"/>
      <w:lvlJc w:val="left"/>
      <w:pPr>
        <w:ind w:left="360" w:hanging="360"/>
      </w:pPr>
    </w:lvl>
    <w:lvl w:ilvl="1">
      <w:start w:val="2"/>
      <w:numFmt w:val="decimal"/>
      <w:lvlText w:val="%1.%2"/>
      <w:lvlJc w:val="left"/>
      <w:pPr>
        <w:ind w:left="3763"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12bb"/>
    <w:pPr>
      <w:widowControl/>
      <w:bidi w:val="0"/>
      <w:spacing w:lineRule="auto" w:line="259" w:before="0" w:after="28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Nadpis1">
    <w:name w:val="Heading 1"/>
    <w:basedOn w:val="Normal"/>
    <w:next w:val="Normal"/>
    <w:link w:val="Nadpis1Char"/>
    <w:uiPriority w:val="9"/>
    <w:qFormat/>
    <w:rsid w:val="000a12bb"/>
    <w:pPr>
      <w:keepNext w:val="true"/>
      <w:keepLines/>
      <w:spacing w:before="240" w:after="0"/>
      <w:outlineLvl w:val="0"/>
    </w:pPr>
    <w:rPr>
      <w:rFonts w:ascii="Calibri Light" w:hAnsi="Calibri Light" w:eastAsia="" w:cs="" w:asciiTheme="majorHAnsi" w:cstheme="majorBidi" w:eastAsiaTheme="majorEastAsia" w:hAnsiTheme="majorHAnsi"/>
      <w:color w:val="4472C4" w:themeColor="accent1"/>
      <w:sz w:val="32"/>
      <w:szCs w:val="32"/>
    </w:rPr>
  </w:style>
  <w:style w:type="paragraph" w:styleId="Nadpis2">
    <w:name w:val="Heading 2"/>
    <w:basedOn w:val="Normal"/>
    <w:next w:val="Normal"/>
    <w:link w:val="Nadpis2Char"/>
    <w:unhideWhenUsed/>
    <w:qFormat/>
    <w:rsid w:val="000a12bb"/>
    <w:pPr>
      <w:keepNext w:val="true"/>
      <w:keepLines/>
      <w:spacing w:before="40" w:after="0"/>
      <w:outlineLvl w:val="1"/>
    </w:pPr>
    <w:rPr>
      <w:rFonts w:ascii="Calibri Light" w:hAnsi="Calibri Light" w:eastAsia="" w:cs="" w:asciiTheme="majorHAnsi" w:cstheme="majorBidi" w:eastAsiaTheme="majorEastAsia" w:hAnsiTheme="majorHAnsi"/>
      <w:color w:val="4472C4" w:themeColor="accent1"/>
      <w:sz w:val="26"/>
      <w:szCs w:val="26"/>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
    <w:qFormat/>
    <w:rsid w:val="000a12bb"/>
    <w:rPr>
      <w:rFonts w:ascii="Calibri Light" w:hAnsi="Calibri Light" w:eastAsia="" w:cs="" w:asciiTheme="majorHAnsi" w:cstheme="majorBidi" w:eastAsiaTheme="majorEastAsia" w:hAnsiTheme="majorHAnsi"/>
      <w:color w:val="4472C4" w:themeColor="accent1"/>
      <w:sz w:val="32"/>
      <w:szCs w:val="32"/>
    </w:rPr>
  </w:style>
  <w:style w:type="character" w:styleId="Nadpis2Char" w:customStyle="1">
    <w:name w:val="Nadpis 2 Char"/>
    <w:basedOn w:val="DefaultParagraphFont"/>
    <w:link w:val="Nadpis2"/>
    <w:qFormat/>
    <w:rsid w:val="000a12bb"/>
    <w:rPr>
      <w:rFonts w:ascii="Calibri Light" w:hAnsi="Calibri Light" w:eastAsia="" w:cs="" w:asciiTheme="majorHAnsi" w:cstheme="majorBidi" w:eastAsiaTheme="majorEastAsia" w:hAnsiTheme="majorHAnsi"/>
      <w:color w:val="4472C4" w:themeColor="accent1"/>
      <w:sz w:val="26"/>
      <w:szCs w:val="26"/>
    </w:rPr>
  </w:style>
  <w:style w:type="character" w:styleId="ZkladntextChar" w:customStyle="1">
    <w:name w:val="Základní text Char"/>
    <w:basedOn w:val="DefaultParagraphFont"/>
    <w:link w:val="Zkladntext"/>
    <w:uiPriority w:val="99"/>
    <w:qFormat/>
    <w:rsid w:val="000a12bb"/>
    <w:rPr>
      <w:rFonts w:ascii="Franklin Gothic Book" w:hAnsi="Franklin Gothic Book" w:eastAsia="Calibri" w:cs="Times New Roman"/>
      <w:sz w:val="24"/>
      <w:szCs w:val="24"/>
      <w:lang w:val="x-none" w:eastAsia="cs-CZ"/>
    </w:rPr>
  </w:style>
  <w:style w:type="character" w:styleId="Zkladntextodsazen2Char" w:customStyle="1">
    <w:name w:val="Základní text odsazený 2 Char"/>
    <w:basedOn w:val="DefaultParagraphFont"/>
    <w:link w:val="Zkladntextodsazen2"/>
    <w:uiPriority w:val="99"/>
    <w:qFormat/>
    <w:rsid w:val="000a12bb"/>
    <w:rPr/>
  </w:style>
  <w:style w:type="character" w:styleId="Zkladntextodsazen3Char" w:customStyle="1">
    <w:name w:val="Základní text odsazený 3 Char"/>
    <w:basedOn w:val="DefaultParagraphFont"/>
    <w:link w:val="Zkladntextodsazen3"/>
    <w:uiPriority w:val="99"/>
    <w:qFormat/>
    <w:rsid w:val="000a12bb"/>
    <w:rPr>
      <w:sz w:val="16"/>
      <w:szCs w:val="16"/>
    </w:rPr>
  </w:style>
  <w:style w:type="character" w:styleId="Platne1" w:customStyle="1">
    <w:name w:val="platne1"/>
    <w:basedOn w:val="DefaultParagraphFont"/>
    <w:qFormat/>
    <w:rsid w:val="000a12bb"/>
    <w:rPr/>
  </w:style>
  <w:style w:type="character" w:styleId="OdstavecseseznamemChar" w:customStyle="1">
    <w:name w:val="Odstavec se seznamem Char"/>
    <w:link w:val="Odstavecseseznamem"/>
    <w:uiPriority w:val="99"/>
    <w:qFormat/>
    <w:locked/>
    <w:rsid w:val="007018c1"/>
    <w:rPr>
      <w:rFonts w:ascii="Univers Com" w:hAnsi="Univers Com" w:eastAsia="Univers Com" w:cs="Univers Com"/>
      <w:color w:val="000000"/>
      <w:lang w:eastAsia="cs-CZ"/>
    </w:rPr>
  </w:style>
  <w:style w:type="character" w:styleId="Annotationreference">
    <w:name w:val="annotation reference"/>
    <w:basedOn w:val="DefaultParagraphFont"/>
    <w:uiPriority w:val="99"/>
    <w:semiHidden/>
    <w:unhideWhenUsed/>
    <w:qFormat/>
    <w:rsid w:val="0078252e"/>
    <w:rPr>
      <w:sz w:val="16"/>
      <w:szCs w:val="16"/>
    </w:rPr>
  </w:style>
  <w:style w:type="character" w:styleId="TextkomenteChar" w:customStyle="1">
    <w:name w:val="Text komentáře Char"/>
    <w:basedOn w:val="DefaultParagraphFont"/>
    <w:link w:val="Textkomente"/>
    <w:uiPriority w:val="99"/>
    <w:qFormat/>
    <w:rsid w:val="0078252e"/>
    <w:rPr>
      <w:sz w:val="20"/>
      <w:szCs w:val="20"/>
    </w:rPr>
  </w:style>
  <w:style w:type="character" w:styleId="PedmtkomenteChar" w:customStyle="1">
    <w:name w:val="Předmět komentáře Char"/>
    <w:basedOn w:val="TextkomenteChar"/>
    <w:link w:val="Pedmtkomente"/>
    <w:uiPriority w:val="99"/>
    <w:semiHidden/>
    <w:qFormat/>
    <w:rsid w:val="0078252e"/>
    <w:rPr>
      <w:b/>
      <w:bCs/>
      <w:sz w:val="20"/>
      <w:szCs w:val="20"/>
    </w:rPr>
  </w:style>
  <w:style w:type="character" w:styleId="ZhlavChar" w:customStyle="1">
    <w:name w:val="Záhlaví Char"/>
    <w:basedOn w:val="DefaultParagraphFont"/>
    <w:link w:val="Zhlav"/>
    <w:uiPriority w:val="99"/>
    <w:qFormat/>
    <w:rsid w:val="00bd07a0"/>
    <w:rPr/>
  </w:style>
  <w:style w:type="character" w:styleId="ZpatChar" w:customStyle="1">
    <w:name w:val="Zápatí Char"/>
    <w:basedOn w:val="DefaultParagraphFont"/>
    <w:link w:val="Zpat"/>
    <w:uiPriority w:val="99"/>
    <w:qFormat/>
    <w:rsid w:val="00bd07a0"/>
    <w:rPr/>
  </w:style>
  <w:style w:type="character" w:styleId="Internetovodkaz">
    <w:name w:val="Internetový odkaz"/>
    <w:basedOn w:val="DefaultParagraphFont"/>
    <w:uiPriority w:val="99"/>
    <w:unhideWhenUsed/>
    <w:rsid w:val="00386a87"/>
    <w:rPr>
      <w:color w:val="0563C1" w:themeColor="hyperlink"/>
      <w:u w:val="single"/>
    </w:rPr>
  </w:style>
  <w:style w:type="character" w:styleId="ListLabel1">
    <w:name w:val="ListLabel 1"/>
    <w:qFormat/>
    <w:rPr>
      <w:b/>
      <w:bCs w:val="false"/>
    </w:rPr>
  </w:style>
  <w:style w:type="character" w:styleId="ListLabel2">
    <w:name w:val="ListLabel 2"/>
    <w:qFormat/>
    <w:rPr>
      <w:b/>
      <w:bCs/>
      <w:sz w:val="24"/>
    </w:rPr>
  </w:style>
  <w:style w:type="character" w:styleId="ListLabel3">
    <w:name w:val="ListLabel 3"/>
    <w:qFormat/>
    <w:rPr>
      <w:b/>
      <w:bCs/>
      <w:sz w:val="24"/>
    </w:rPr>
  </w:style>
  <w:style w:type="character" w:styleId="ListLabel4">
    <w:name w:val="ListLabel 4"/>
    <w:qFormat/>
    <w:rPr>
      <w:rFonts w:cs="Arial"/>
      <w:b w:val="false"/>
      <w:sz w:val="22"/>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sz w:val="22"/>
      <w:szCs w:val="22"/>
    </w:rPr>
  </w:style>
  <w:style w:type="character" w:styleId="ListLabel14">
    <w:name w:val="ListLabel 14"/>
    <w:qFormat/>
    <w:rPr>
      <w:rFonts w:ascii="Garamond" w:hAnsi="Garamond" w:cs="Calibri" w:cstheme="minorHAnsi"/>
      <w:lang w:val="cs-CZ"/>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rsid w:val="000a12bb"/>
    <w:pPr>
      <w:spacing w:lineRule="auto" w:line="240" w:before="0" w:after="120"/>
      <w:jc w:val="both"/>
    </w:pPr>
    <w:rPr>
      <w:rFonts w:ascii="Franklin Gothic Book" w:hAnsi="Franklin Gothic Book" w:eastAsia="Calibri" w:cs="Times New Roman"/>
      <w:sz w:val="24"/>
      <w:szCs w:val="24"/>
      <w:lang w:val="x-none" w:eastAsia="cs-CZ"/>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BodyTextIndent2">
    <w:name w:val="Body Text Indent 2"/>
    <w:basedOn w:val="Normal"/>
    <w:link w:val="Zkladntextodsazen2Char"/>
    <w:uiPriority w:val="99"/>
    <w:unhideWhenUsed/>
    <w:qFormat/>
    <w:rsid w:val="000a12bb"/>
    <w:pPr>
      <w:spacing w:lineRule="auto" w:line="480" w:before="0" w:after="120"/>
      <w:ind w:left="283" w:hanging="0"/>
    </w:pPr>
    <w:rPr/>
  </w:style>
  <w:style w:type="paragraph" w:styleId="BodyTextIndent3">
    <w:name w:val="Body Text Indent 3"/>
    <w:basedOn w:val="Normal"/>
    <w:link w:val="Zkladntextodsazen3Char"/>
    <w:uiPriority w:val="99"/>
    <w:unhideWhenUsed/>
    <w:qFormat/>
    <w:rsid w:val="000a12bb"/>
    <w:pPr>
      <w:spacing w:before="0" w:after="120"/>
      <w:ind w:left="283" w:hanging="0"/>
    </w:pPr>
    <w:rPr>
      <w:sz w:val="16"/>
      <w:szCs w:val="16"/>
    </w:rPr>
  </w:style>
  <w:style w:type="paragraph" w:styleId="NoSpacing">
    <w:name w:val="No Spacing"/>
    <w:uiPriority w:val="1"/>
    <w:qFormat/>
    <w:rsid w:val="000a12bb"/>
    <w:pPr>
      <w:widowControl/>
      <w:bidi w:val="0"/>
      <w:ind w:left="2" w:firstLine="8"/>
      <w:jc w:val="both"/>
    </w:pPr>
    <w:rPr>
      <w:rFonts w:ascii="Univers Com" w:hAnsi="Univers Com" w:eastAsia="Univers Com" w:cs="Univers Com"/>
      <w:color w:val="000000"/>
      <w:kern w:val="0"/>
      <w:sz w:val="22"/>
      <w:szCs w:val="22"/>
      <w:lang w:eastAsia="cs-CZ" w:val="cs-CZ" w:bidi="ar-SA"/>
    </w:rPr>
  </w:style>
  <w:style w:type="paragraph" w:styleId="ListParagraph">
    <w:name w:val="List Paragraph"/>
    <w:basedOn w:val="Normal"/>
    <w:link w:val="OdstavecseseznamemChar"/>
    <w:uiPriority w:val="34"/>
    <w:qFormat/>
    <w:rsid w:val="000a12bb"/>
    <w:pPr>
      <w:spacing w:lineRule="auto" w:line="247" w:before="0" w:after="128"/>
      <w:ind w:left="720" w:firstLine="8"/>
      <w:contextualSpacing/>
      <w:jc w:val="both"/>
    </w:pPr>
    <w:rPr>
      <w:rFonts w:ascii="Univers Com" w:hAnsi="Univers Com" w:eastAsia="Univers Com" w:cs="Univers Com"/>
      <w:color w:val="000000"/>
      <w:lang w:eastAsia="cs-CZ"/>
    </w:rPr>
  </w:style>
  <w:style w:type="paragraph" w:styleId="Annotationtext">
    <w:name w:val="annotation text"/>
    <w:basedOn w:val="Normal"/>
    <w:link w:val="TextkomenteChar"/>
    <w:uiPriority w:val="99"/>
    <w:unhideWhenUsed/>
    <w:qFormat/>
    <w:rsid w:val="0078252e"/>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78252e"/>
    <w:pPr/>
    <w:rPr>
      <w:b/>
      <w:bCs/>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bd07a0"/>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bd07a0"/>
    <w:pPr>
      <w:tabs>
        <w:tab w:val="clear" w:pos="708"/>
        <w:tab w:val="center" w:pos="4536" w:leader="none"/>
        <w:tab w:val="right" w:pos="9072" w:leader="none"/>
      </w:tabs>
      <w:spacing w:lineRule="auto" w:line="240" w:before="0" w:after="0"/>
    </w:pPr>
    <w:rPr/>
  </w:style>
  <w:style w:type="paragraph" w:styleId="Podseznam" w:customStyle="1">
    <w:name w:val="podseznam"/>
    <w:qFormat/>
    <w:rsid w:val="005f7879"/>
    <w:pPr>
      <w:keepLines/>
      <w:widowControl/>
      <w:suppressAutoHyphens w:val="true"/>
      <w:bidi w:val="0"/>
      <w:spacing w:before="0" w:after="56"/>
      <w:ind w:left="566" w:hanging="0"/>
      <w:jc w:val="left"/>
    </w:pPr>
    <w:rPr>
      <w:rFonts w:ascii="Arial" w:hAnsi="Arial" w:eastAsia="Arial" w:cs="Times New Roman"/>
      <w:color w:val="000000"/>
      <w:kern w:val="0"/>
      <w:sz w:val="18"/>
      <w:szCs w:val="20"/>
      <w:lang w:eastAsia="ar-SA" w:val="cs-CZ" w:bidi="ar-SA"/>
    </w:rPr>
  </w:style>
  <w:style w:type="paragraph" w:styleId="Dka" w:customStyle="1">
    <w:name w:val="Řádka"/>
    <w:qFormat/>
    <w:rsid w:val="00ce5bed"/>
    <w:pPr>
      <w:widowControl/>
      <w:suppressAutoHyphens w:val="true"/>
      <w:bidi w:val="0"/>
      <w:ind w:left="567" w:hanging="0"/>
      <w:jc w:val="left"/>
    </w:pPr>
    <w:rPr>
      <w:rFonts w:ascii="Arial" w:hAnsi="Arial" w:eastAsia="Arial" w:cs="Times New Roman"/>
      <w:color w:val="000000"/>
      <w:kern w:val="0"/>
      <w:sz w:val="18"/>
      <w:szCs w:val="20"/>
      <w:lang w:eastAsia="ar-SA" w:val="cs-CZ" w:bidi="ar-SA"/>
    </w:rPr>
  </w:style>
  <w:style w:type="paragraph" w:styleId="Odstavecseseznamem1" w:customStyle="1">
    <w:name w:val="Odstavec se seznamem1"/>
    <w:basedOn w:val="Normal"/>
    <w:qFormat/>
    <w:rsid w:val="00e12ecd"/>
    <w:pPr>
      <w:suppressAutoHyphens w:val="true"/>
      <w:spacing w:lineRule="auto" w:line="240" w:before="0" w:after="0"/>
      <w:ind w:left="720" w:hanging="0"/>
      <w:contextualSpacing/>
      <w:jc w:val="both"/>
    </w:pPr>
    <w:rPr>
      <w:rFonts w:ascii="Tahoma" w:hAnsi="Tahoma" w:eastAsia="Calibri" w:cs="Times New Roman"/>
      <w:sz w:val="20"/>
      <w:szCs w:val="20"/>
      <w:lang w:eastAsia="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kturace@pnkm.cz"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79E69-37CB-4584-B33E-31FAA4A7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LibreOffice/6.2.3.2$Windows_X86_64 LibreOffice_project/aecc05fe267cc68dde00352a451aa867b3b546ac</Application>
  <Pages>7</Pages>
  <Words>2017</Words>
  <Characters>12012</Characters>
  <CharactersWithSpaces>13957</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2022-08-19T07:57:00Z</dcterms:created>
  <dc:creator>Michal Čermák</dc:creator>
  <dc:description/>
  <dc:language>cs-CZ</dc:language>
  <cp:lastModifiedBy/>
  <dcterms:modified xsi:type="dcterms:W3CDTF">2023-06-05T10:04:58Z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