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AF742" w14:textId="1C505CDD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b/>
          <w:color w:val="000000"/>
          <w:sz w:val="28"/>
          <w:szCs w:val="28"/>
        </w:rPr>
      </w:pPr>
      <w:r w:rsidRPr="000F4985">
        <w:rPr>
          <w:rFonts w:ascii="Verdana Pro" w:eastAsia="Verdana Pro" w:hAnsi="Verdana Pro" w:cs="Verdana Pro"/>
          <w:b/>
          <w:color w:val="000000"/>
          <w:sz w:val="28"/>
          <w:szCs w:val="28"/>
        </w:rPr>
        <w:t xml:space="preserve">SMLOUVA O POSKYTOVÁNÍ </w:t>
      </w:r>
      <w:r w:rsidR="00A51E2D" w:rsidRPr="000F4985">
        <w:rPr>
          <w:rFonts w:ascii="Verdana Pro" w:eastAsia="Verdana Pro" w:hAnsi="Verdana Pro" w:cs="Verdana Pro"/>
          <w:b/>
          <w:color w:val="000000"/>
          <w:sz w:val="28"/>
          <w:szCs w:val="28"/>
        </w:rPr>
        <w:t>SOFTWARE A</w:t>
      </w:r>
      <w:r w:rsidRPr="000F4985">
        <w:rPr>
          <w:rFonts w:ascii="Verdana Pro" w:eastAsia="Verdana Pro" w:hAnsi="Verdana Pro" w:cs="Verdana Pro"/>
          <w:b/>
          <w:color w:val="000000"/>
          <w:sz w:val="28"/>
          <w:szCs w:val="28"/>
        </w:rPr>
        <w:t xml:space="preserve"> SLUŽEB </w:t>
      </w:r>
      <w:r w:rsidRPr="000F4985">
        <w:rPr>
          <w:noProof/>
        </w:rPr>
        <w:drawing>
          <wp:anchor distT="0" distB="0" distL="0" distR="0" simplePos="0" relativeHeight="251658240" behindDoc="1" locked="0" layoutInCell="1" hidden="0" allowOverlap="1" wp14:anchorId="62783F73" wp14:editId="3A27176A">
            <wp:simplePos x="0" y="0"/>
            <wp:positionH relativeFrom="column">
              <wp:posOffset>6102561</wp:posOffset>
            </wp:positionH>
            <wp:positionV relativeFrom="paragraph">
              <wp:posOffset>-717126</wp:posOffset>
            </wp:positionV>
            <wp:extent cx="481330" cy="131254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1312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DC7E36" w14:textId="7777777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b/>
          <w:color w:val="000000"/>
          <w:sz w:val="28"/>
          <w:szCs w:val="28"/>
        </w:rPr>
      </w:pPr>
      <w:r w:rsidRPr="000F4985">
        <w:rPr>
          <w:rFonts w:ascii="Verdana Pro" w:eastAsia="Verdana Pro" w:hAnsi="Verdana Pro" w:cs="Verdana Pro"/>
          <w:b/>
          <w:color w:val="000000"/>
          <w:sz w:val="28"/>
          <w:szCs w:val="28"/>
        </w:rPr>
        <w:t xml:space="preserve">SOUVISEJÍCÍCH SE SPRÁVOU JEHO OBSAHU </w:t>
      </w:r>
    </w:p>
    <w:p w14:paraId="50E2B249" w14:textId="77777777" w:rsidR="009A43DC" w:rsidRPr="000F4985" w:rsidRDefault="009A43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b/>
          <w:color w:val="000000"/>
        </w:rPr>
      </w:pPr>
    </w:p>
    <w:p w14:paraId="29986E48" w14:textId="123B57E2" w:rsidR="009A43DC" w:rsidRPr="000F4985" w:rsidRDefault="00723D51" w:rsidP="00A51E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0F4985">
        <w:rPr>
          <w:rFonts w:ascii="Verdana Pro" w:eastAsia="Verdana Pro" w:hAnsi="Verdana Pro" w:cs="Verdana Pro"/>
          <w:color w:val="000000"/>
          <w:sz w:val="20"/>
          <w:szCs w:val="20"/>
        </w:rPr>
        <w:t>uzavřena v souladu s </w:t>
      </w:r>
      <w:proofErr w:type="spellStart"/>
      <w:r w:rsidRPr="000F4985">
        <w:rPr>
          <w:rFonts w:ascii="Verdana Pro" w:eastAsia="Verdana Pro" w:hAnsi="Verdana Pro" w:cs="Verdana Pro"/>
          <w:color w:val="000000"/>
          <w:sz w:val="20"/>
          <w:szCs w:val="20"/>
        </w:rPr>
        <w:t>ust</w:t>
      </w:r>
      <w:proofErr w:type="spellEnd"/>
      <w:r w:rsidRPr="000F4985">
        <w:rPr>
          <w:rFonts w:ascii="Verdana Pro" w:eastAsia="Verdana Pro" w:hAnsi="Verdana Pro" w:cs="Verdana Pro"/>
          <w:color w:val="000000"/>
          <w:sz w:val="20"/>
          <w:szCs w:val="20"/>
        </w:rPr>
        <w:t>. § 1746 odst. 2 zákona č. 89/2012 Sb.,</w:t>
      </w:r>
      <w:r w:rsidR="0022414F" w:rsidRPr="000F4985">
        <w:rPr>
          <w:rFonts w:ascii="Verdana Pro" w:eastAsia="Verdana Pro" w:hAnsi="Verdana Pro" w:cs="Verdana Pro"/>
          <w:color w:val="000000"/>
          <w:sz w:val="20"/>
          <w:szCs w:val="20"/>
        </w:rPr>
        <w:t xml:space="preserve"> </w:t>
      </w:r>
      <w:r w:rsidRPr="000F4985">
        <w:rPr>
          <w:rFonts w:ascii="Verdana Pro" w:eastAsia="Verdana Pro" w:hAnsi="Verdana Pro" w:cs="Verdana Pro"/>
          <w:color w:val="000000"/>
          <w:sz w:val="20"/>
          <w:szCs w:val="20"/>
        </w:rPr>
        <w:t>občanský zákoník, v</w:t>
      </w:r>
      <w:r w:rsidRPr="000F4985">
        <w:rPr>
          <w:rFonts w:ascii="Verdana Pro" w:eastAsia="Verdana Pro" w:hAnsi="Verdana Pro" w:cs="Verdana Pro"/>
          <w:sz w:val="20"/>
          <w:szCs w:val="20"/>
        </w:rPr>
        <w:t>e znění pozdějších předpisů</w:t>
      </w:r>
      <w:r w:rsidR="00074505" w:rsidRPr="000F4985">
        <w:rPr>
          <w:rFonts w:ascii="Verdana Pro" w:eastAsia="Verdana Pro" w:hAnsi="Verdana Pro" w:cs="Verdana Pro"/>
          <w:sz w:val="20"/>
          <w:szCs w:val="20"/>
        </w:rPr>
        <w:t xml:space="preserve"> a v souladu s </w:t>
      </w:r>
      <w:proofErr w:type="spellStart"/>
      <w:r w:rsidR="00074505" w:rsidRPr="000F4985">
        <w:rPr>
          <w:rFonts w:ascii="Verdana Pro" w:eastAsia="Verdana Pro" w:hAnsi="Verdana Pro" w:cs="Verdana Pro"/>
          <w:sz w:val="20"/>
          <w:szCs w:val="20"/>
        </w:rPr>
        <w:t>ust</w:t>
      </w:r>
      <w:proofErr w:type="spellEnd"/>
      <w:r w:rsidR="00074505" w:rsidRPr="000F4985">
        <w:rPr>
          <w:rFonts w:ascii="Verdana Pro" w:eastAsia="Verdana Pro" w:hAnsi="Verdana Pro" w:cs="Verdana Pro"/>
          <w:sz w:val="20"/>
          <w:szCs w:val="20"/>
        </w:rPr>
        <w:t xml:space="preserve">. </w:t>
      </w:r>
      <w:r w:rsidR="00466538" w:rsidRPr="000F4985">
        <w:rPr>
          <w:rFonts w:ascii="Verdana Pro" w:eastAsia="Verdana Pro" w:hAnsi="Verdana Pro" w:cs="Verdana Pro"/>
          <w:sz w:val="20"/>
          <w:szCs w:val="20"/>
        </w:rPr>
        <w:t xml:space="preserve">§ 87 </w:t>
      </w:r>
      <w:r w:rsidR="00512246" w:rsidRPr="000F4985">
        <w:rPr>
          <w:rFonts w:ascii="Verdana Pro" w:eastAsia="Verdana Pro" w:hAnsi="Verdana Pro" w:cs="Verdana Pro"/>
          <w:sz w:val="20"/>
          <w:szCs w:val="20"/>
        </w:rPr>
        <w:t xml:space="preserve">zákona č. 91/2012 Sb., </w:t>
      </w:r>
      <w:r w:rsidR="0045165B" w:rsidRPr="000F4985">
        <w:rPr>
          <w:rFonts w:ascii="Verdana Pro" w:eastAsia="Verdana Pro" w:hAnsi="Verdana Pro" w:cs="Verdana Pro"/>
          <w:sz w:val="20"/>
          <w:szCs w:val="20"/>
        </w:rPr>
        <w:t>zákona o mezinárodním právu soukromém, znění pozdějších předpisů</w:t>
      </w:r>
    </w:p>
    <w:p w14:paraId="57CB9AE5" w14:textId="7777777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</w:rPr>
      </w:pPr>
      <w:r w:rsidRPr="000F4985">
        <w:rPr>
          <w:rFonts w:ascii="Verdana Pro" w:eastAsia="Verdana Pro" w:hAnsi="Verdana Pro" w:cs="Verdana Pro"/>
          <w:color w:val="000000"/>
        </w:rPr>
        <w:t> </w:t>
      </w:r>
    </w:p>
    <w:p w14:paraId="39021BC2" w14:textId="7777777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</w:rPr>
      </w:pPr>
      <w:r w:rsidRPr="000F4985">
        <w:rPr>
          <w:rFonts w:ascii="Verdana Pro" w:eastAsia="Verdana Pro" w:hAnsi="Verdana Pro" w:cs="Verdana Pro"/>
          <w:b/>
          <w:color w:val="000000"/>
        </w:rPr>
        <w:t>I.</w:t>
      </w:r>
      <w:r w:rsidRPr="000F4985">
        <w:rPr>
          <w:rFonts w:ascii="Verdana Pro" w:eastAsia="Verdana Pro" w:hAnsi="Verdana Pro" w:cs="Verdana Pro"/>
          <w:color w:val="000000"/>
        </w:rPr>
        <w:t> </w:t>
      </w:r>
    </w:p>
    <w:p w14:paraId="20EFAFC7" w14:textId="7777777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</w:rPr>
      </w:pPr>
      <w:r w:rsidRPr="000F4985">
        <w:rPr>
          <w:rFonts w:ascii="Verdana Pro" w:eastAsia="Verdana Pro" w:hAnsi="Verdana Pro" w:cs="Verdana Pro"/>
          <w:b/>
          <w:color w:val="000000"/>
        </w:rPr>
        <w:t>Smluvní strany</w:t>
      </w:r>
      <w:r w:rsidRPr="000F4985">
        <w:rPr>
          <w:rFonts w:ascii="Verdana Pro" w:eastAsia="Verdana Pro" w:hAnsi="Verdana Pro" w:cs="Verdana Pro"/>
          <w:color w:val="000000"/>
        </w:rPr>
        <w:t> </w:t>
      </w:r>
    </w:p>
    <w:p w14:paraId="26373804" w14:textId="7777777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</w:rPr>
      </w:pPr>
      <w:r w:rsidRPr="000F4985">
        <w:rPr>
          <w:rFonts w:ascii="Verdana Pro" w:eastAsia="Verdana Pro" w:hAnsi="Verdana Pro" w:cs="Verdana Pro"/>
          <w:color w:val="000000"/>
        </w:rPr>
        <w:t> </w:t>
      </w:r>
    </w:p>
    <w:p w14:paraId="2F6CB950" w14:textId="2613C5A7" w:rsidR="009A43DC" w:rsidRPr="000F4985" w:rsidRDefault="000F4985" w:rsidP="000F498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124" w:firstLine="707"/>
        <w:rPr>
          <w:rFonts w:ascii="Verdana Pro" w:eastAsia="Verdana Pro" w:hAnsi="Verdana Pro" w:cs="Verdana Pro"/>
          <w:b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b/>
          <w:color w:val="000000"/>
          <w:sz w:val="18"/>
          <w:szCs w:val="18"/>
        </w:rPr>
        <w:t>Město Aš</w:t>
      </w:r>
    </w:p>
    <w:p w14:paraId="790DECF4" w14:textId="283BA880" w:rsidR="009A43DC" w:rsidRPr="000F4985" w:rsidRDefault="00723D51" w:rsidP="000F4985">
      <w:pPr>
        <w:widowControl w:val="0"/>
        <w:tabs>
          <w:tab w:val="left" w:pos="2835"/>
        </w:tabs>
        <w:spacing w:after="120" w:line="240" w:lineRule="auto"/>
        <w:rPr>
          <w:rFonts w:ascii="Verdana Pro" w:eastAsia="Verdana Pro" w:hAnsi="Verdana Pro" w:cs="Verdana Pro"/>
          <w:sz w:val="18"/>
          <w:szCs w:val="18"/>
        </w:rPr>
      </w:pPr>
      <w:r w:rsidRPr="000F4985">
        <w:rPr>
          <w:rFonts w:ascii="Verdana Pro" w:eastAsia="Verdana Pro" w:hAnsi="Verdana Pro" w:cs="Verdana Pro"/>
          <w:sz w:val="18"/>
          <w:szCs w:val="18"/>
        </w:rPr>
        <w:t>Se sídlem:</w:t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="000F4985" w:rsidRPr="000F4985">
        <w:rPr>
          <w:rFonts w:ascii="Verdana Pro" w:eastAsia="Verdana Pro" w:hAnsi="Verdana Pro" w:cs="Verdana Pro"/>
          <w:sz w:val="18"/>
          <w:szCs w:val="18"/>
        </w:rPr>
        <w:t>Aš, Kamenná 52</w:t>
      </w:r>
    </w:p>
    <w:p w14:paraId="26484401" w14:textId="69B21C43" w:rsidR="009A43DC" w:rsidRPr="000F4985" w:rsidRDefault="00723D51" w:rsidP="000F4985">
      <w:pPr>
        <w:widowControl w:val="0"/>
        <w:tabs>
          <w:tab w:val="left" w:pos="2835"/>
        </w:tabs>
        <w:spacing w:after="120" w:line="240" w:lineRule="auto"/>
        <w:rPr>
          <w:rFonts w:ascii="Verdana Pro" w:eastAsia="Verdana Pro" w:hAnsi="Verdana Pro" w:cs="Verdana Pro"/>
          <w:sz w:val="18"/>
          <w:szCs w:val="18"/>
        </w:rPr>
      </w:pPr>
      <w:r w:rsidRPr="000F4985">
        <w:rPr>
          <w:rFonts w:ascii="Verdana Pro" w:eastAsia="Verdana Pro" w:hAnsi="Verdana Pro" w:cs="Verdana Pro"/>
          <w:sz w:val="18"/>
          <w:szCs w:val="18"/>
        </w:rPr>
        <w:t>IČ</w:t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="000F4985" w:rsidRPr="000F4985">
        <w:rPr>
          <w:rFonts w:ascii="Verdana Pro" w:eastAsia="Verdana Pro" w:hAnsi="Verdana Pro" w:cs="Verdana Pro"/>
          <w:sz w:val="18"/>
          <w:szCs w:val="18"/>
        </w:rPr>
        <w:t>00253901</w:t>
      </w:r>
    </w:p>
    <w:p w14:paraId="3D659B7A" w14:textId="1CC6BA80" w:rsidR="009A43DC" w:rsidRPr="000F4985" w:rsidRDefault="00723D51" w:rsidP="000F4985">
      <w:pPr>
        <w:widowControl w:val="0"/>
        <w:tabs>
          <w:tab w:val="right" w:pos="-1134"/>
          <w:tab w:val="left" w:pos="2835"/>
        </w:tabs>
        <w:spacing w:after="120" w:line="240" w:lineRule="auto"/>
        <w:rPr>
          <w:rFonts w:ascii="Verdana Pro" w:eastAsia="Verdana Pro" w:hAnsi="Verdana Pro" w:cs="Verdana Pro"/>
          <w:sz w:val="18"/>
          <w:szCs w:val="18"/>
        </w:rPr>
      </w:pPr>
      <w:r w:rsidRPr="000F4985">
        <w:rPr>
          <w:rFonts w:ascii="Verdana Pro" w:eastAsia="Verdana Pro" w:hAnsi="Verdana Pro" w:cs="Verdana Pro"/>
          <w:sz w:val="18"/>
          <w:szCs w:val="18"/>
        </w:rPr>
        <w:t>DIČ</w:t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="000F4985" w:rsidRPr="000F4985">
        <w:rPr>
          <w:rFonts w:ascii="Verdana Pro" w:eastAsia="Verdana Pro" w:hAnsi="Verdana Pro" w:cs="Verdana Pro"/>
          <w:sz w:val="18"/>
          <w:szCs w:val="18"/>
        </w:rPr>
        <w:t>CZ00253901</w:t>
      </w:r>
    </w:p>
    <w:p w14:paraId="7E0A6B3D" w14:textId="54A92AD2" w:rsidR="009A43DC" w:rsidRPr="000F4985" w:rsidRDefault="00723D51" w:rsidP="000F4985">
      <w:pPr>
        <w:widowControl w:val="0"/>
        <w:tabs>
          <w:tab w:val="left" w:pos="2835"/>
        </w:tabs>
        <w:spacing w:after="120" w:line="240" w:lineRule="auto"/>
        <w:rPr>
          <w:rFonts w:ascii="Verdana Pro" w:eastAsia="Verdana Pro" w:hAnsi="Verdana Pro" w:cs="Verdana Pro"/>
          <w:sz w:val="18"/>
          <w:szCs w:val="18"/>
        </w:rPr>
      </w:pPr>
      <w:r w:rsidRPr="000F4985">
        <w:rPr>
          <w:rFonts w:ascii="Verdana Pro" w:eastAsia="Verdana Pro" w:hAnsi="Verdana Pro" w:cs="Verdana Pro"/>
          <w:sz w:val="18"/>
          <w:szCs w:val="18"/>
        </w:rPr>
        <w:t>Zastoupeno:</w:t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="000F4985" w:rsidRPr="000F4985">
        <w:rPr>
          <w:rFonts w:ascii="Verdana Pro" w:eastAsia="Verdana Pro" w:hAnsi="Verdana Pro" w:cs="Verdana Pro"/>
          <w:sz w:val="18"/>
          <w:szCs w:val="18"/>
        </w:rPr>
        <w:t>Vítězslav Kokoř</w:t>
      </w:r>
      <w:r w:rsidR="0084051F">
        <w:rPr>
          <w:rFonts w:ascii="Verdana Pro" w:eastAsia="Verdana Pro" w:hAnsi="Verdana Pro" w:cs="Verdana Pro"/>
          <w:sz w:val="18"/>
          <w:szCs w:val="18"/>
        </w:rPr>
        <w:t>, starosta města</w:t>
      </w:r>
    </w:p>
    <w:p w14:paraId="70C0EDC8" w14:textId="07CD13A0" w:rsidR="009A43DC" w:rsidRPr="000F4985" w:rsidRDefault="00723D51" w:rsidP="000F4985">
      <w:pPr>
        <w:widowControl w:val="0"/>
        <w:tabs>
          <w:tab w:val="left" w:pos="2835"/>
        </w:tabs>
        <w:spacing w:after="120" w:line="240" w:lineRule="auto"/>
        <w:ind w:left="2694" w:hanging="2694"/>
        <w:jc w:val="both"/>
        <w:rPr>
          <w:rFonts w:ascii="Verdana Pro" w:eastAsia="Verdana Pro" w:hAnsi="Verdana Pro" w:cs="Verdana Pro"/>
          <w:sz w:val="18"/>
          <w:szCs w:val="18"/>
        </w:rPr>
      </w:pPr>
      <w:r w:rsidRPr="000F4985">
        <w:rPr>
          <w:rFonts w:ascii="Verdana Pro" w:eastAsia="Verdana Pro" w:hAnsi="Verdana Pro" w:cs="Verdana Pro"/>
          <w:sz w:val="18"/>
          <w:szCs w:val="18"/>
        </w:rPr>
        <w:t>bankovní spojení</w:t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="000F4985" w:rsidRPr="000F4985">
        <w:rPr>
          <w:rFonts w:ascii="Verdana Pro" w:eastAsia="Verdana Pro" w:hAnsi="Verdana Pro" w:cs="Verdana Pro"/>
          <w:sz w:val="18"/>
          <w:szCs w:val="18"/>
        </w:rPr>
        <w:t>ČSOB a.s. Aš</w:t>
      </w:r>
    </w:p>
    <w:p w14:paraId="346EFDC7" w14:textId="6FA587C4" w:rsidR="009A43DC" w:rsidRPr="000F4985" w:rsidRDefault="00723D51" w:rsidP="000F4985">
      <w:pPr>
        <w:widowControl w:val="0"/>
        <w:tabs>
          <w:tab w:val="left" w:pos="2835"/>
        </w:tabs>
        <w:spacing w:after="120" w:line="240" w:lineRule="auto"/>
        <w:ind w:left="2694" w:hanging="2694"/>
        <w:jc w:val="both"/>
        <w:rPr>
          <w:rFonts w:ascii="Verdana Pro" w:eastAsia="Verdana Pro" w:hAnsi="Verdana Pro" w:cs="Verdana Pro"/>
          <w:sz w:val="18"/>
          <w:szCs w:val="18"/>
        </w:rPr>
      </w:pPr>
      <w:r w:rsidRPr="000F4985">
        <w:rPr>
          <w:rFonts w:ascii="Verdana Pro" w:eastAsia="Verdana Pro" w:hAnsi="Verdana Pro" w:cs="Verdana Pro"/>
          <w:sz w:val="18"/>
          <w:szCs w:val="18"/>
        </w:rPr>
        <w:t>Číslo účtu:</w:t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="000F4985" w:rsidRPr="000F4985">
        <w:rPr>
          <w:rFonts w:ascii="Verdana Pro" w:eastAsia="Verdana Pro" w:hAnsi="Verdana Pro" w:cs="Verdana Pro"/>
          <w:sz w:val="18"/>
          <w:szCs w:val="18"/>
        </w:rPr>
        <w:t>13371337/0300</w:t>
      </w:r>
    </w:p>
    <w:p w14:paraId="210A9955" w14:textId="7777777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(dále jen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„Zákazník“) </w:t>
      </w:r>
    </w:p>
    <w:p w14:paraId="2EA903C8" w14:textId="57E58A0F" w:rsidR="009A43DC" w:rsidRPr="000F4985" w:rsidRDefault="009A43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</w:rPr>
      </w:pPr>
    </w:p>
    <w:p w14:paraId="2502E873" w14:textId="1D261A6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a</w:t>
      </w:r>
    </w:p>
    <w:p w14:paraId="7B9C409E" w14:textId="78CE4401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124" w:firstLine="707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b/>
          <w:color w:val="000000"/>
          <w:sz w:val="18"/>
          <w:szCs w:val="18"/>
        </w:rPr>
        <w:t xml:space="preserve">AQE </w:t>
      </w:r>
      <w:proofErr w:type="spellStart"/>
      <w:r w:rsidRPr="000F4985">
        <w:rPr>
          <w:rFonts w:ascii="Verdana Pro" w:eastAsia="Verdana Pro" w:hAnsi="Verdana Pro" w:cs="Verdana Pro"/>
          <w:b/>
          <w:color w:val="000000"/>
          <w:sz w:val="18"/>
          <w:szCs w:val="18"/>
        </w:rPr>
        <w:t>advisors</w:t>
      </w:r>
      <w:proofErr w:type="spellEnd"/>
      <w:r w:rsidRPr="000F4985">
        <w:rPr>
          <w:rFonts w:ascii="Verdana Pro" w:eastAsia="Verdana Pro" w:hAnsi="Verdana Pro" w:cs="Verdana Pro"/>
          <w:b/>
          <w:color w:val="000000"/>
          <w:sz w:val="18"/>
          <w:szCs w:val="18"/>
        </w:rPr>
        <w:t>, a.s.</w:t>
      </w:r>
    </w:p>
    <w:p w14:paraId="3467DA1F" w14:textId="76031444" w:rsidR="009A43DC" w:rsidRPr="000F4985" w:rsidRDefault="00723D51" w:rsidP="000F4985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Se sídlem: </w:t>
      </w:r>
      <w:r w:rsidR="000F4985"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třída Kpt. Jaroše 31, 602 00 Brno</w:t>
      </w:r>
    </w:p>
    <w:p w14:paraId="0F27A052" w14:textId="5C32A46F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2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Zapsána v Obchodním rejstříku vedeném KS v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Brně, oddíl B, vložka 4997</w:t>
      </w:r>
    </w:p>
    <w:p w14:paraId="7E3E2115" w14:textId="6406ED2F" w:rsidR="009A43DC" w:rsidRPr="000F4985" w:rsidRDefault="00723D51" w:rsidP="000F4985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IČ: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  <w:t>26954770</w:t>
      </w:r>
    </w:p>
    <w:p w14:paraId="308824C8" w14:textId="7853A017" w:rsidR="009A43DC" w:rsidRPr="000F4985" w:rsidRDefault="00723D51" w:rsidP="000F4985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DIČ:</w:t>
      </w:r>
      <w:r w:rsidR="000F4985"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CZ26954770</w:t>
      </w:r>
    </w:p>
    <w:p w14:paraId="71F7D3C3" w14:textId="2FCF1B16" w:rsidR="009A43DC" w:rsidRPr="000F4985" w:rsidRDefault="00723D51" w:rsidP="000F4985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Zastoupena: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  <w:t xml:space="preserve">Ing. Jan Havránek, Ph.D., </w:t>
      </w:r>
      <w:r w:rsidRPr="000F4985">
        <w:rPr>
          <w:rFonts w:ascii="Verdana Pro" w:eastAsia="Verdana Pro" w:hAnsi="Verdana Pro" w:cs="Verdana Pro"/>
          <w:sz w:val="18"/>
          <w:szCs w:val="18"/>
        </w:rPr>
        <w:t>předseda správní rady</w:t>
      </w:r>
    </w:p>
    <w:p w14:paraId="4B83C824" w14:textId="41E6015D" w:rsidR="009A43DC" w:rsidRPr="000F4985" w:rsidRDefault="00723D51" w:rsidP="000F4985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2977"/>
        </w:tabs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Bankovní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spojení:</w:t>
      </w:r>
      <w:r w:rsidR="000F4985"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Komerční banka a.s.</w:t>
      </w:r>
    </w:p>
    <w:p w14:paraId="19A1E0ED" w14:textId="6A024D56" w:rsidR="009A43DC" w:rsidRPr="000F4985" w:rsidRDefault="00723D51" w:rsidP="000F4985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Číslo účtu: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  <w:t>35-2267200297/0100</w:t>
      </w:r>
    </w:p>
    <w:p w14:paraId="723EA163" w14:textId="245C277D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(dále jen „Poskytovatel“)</w:t>
      </w:r>
    </w:p>
    <w:p w14:paraId="67C24321" w14:textId="77777777" w:rsidR="009A43DC" w:rsidRPr="000F4985" w:rsidRDefault="009A43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</w:rPr>
      </w:pPr>
    </w:p>
    <w:p w14:paraId="2296460C" w14:textId="5D0E30CB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(Zákazník a Poskytovatel jednotlivě dále také „</w:t>
      </w:r>
      <w:r w:rsidRPr="000F4985">
        <w:rPr>
          <w:rFonts w:ascii="Verdana Pro" w:eastAsia="Verdana Pro" w:hAnsi="Verdana Pro" w:cs="Verdana Pro"/>
          <w:b/>
          <w:color w:val="000000"/>
          <w:sz w:val="18"/>
          <w:szCs w:val="18"/>
        </w:rPr>
        <w:t>smluvní strana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“ a společně dále také „</w:t>
      </w:r>
      <w:r w:rsidRPr="000F4985">
        <w:rPr>
          <w:rFonts w:ascii="Verdana Pro" w:eastAsia="Verdana Pro" w:hAnsi="Verdana Pro" w:cs="Verdana Pro"/>
          <w:b/>
          <w:color w:val="000000"/>
          <w:sz w:val="18"/>
          <w:szCs w:val="18"/>
        </w:rPr>
        <w:t>smluvní strany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“, smlouva O poskytování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software a služeb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souvisejících se správou jeho obsahu dále jen „</w:t>
      </w:r>
      <w:r w:rsidRPr="000F4985">
        <w:rPr>
          <w:rFonts w:ascii="Verdana Pro" w:eastAsia="Verdana Pro" w:hAnsi="Verdana Pro" w:cs="Verdana Pro"/>
          <w:b/>
          <w:color w:val="000000"/>
          <w:sz w:val="18"/>
          <w:szCs w:val="18"/>
        </w:rPr>
        <w:t>smlouva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“)</w:t>
      </w:r>
    </w:p>
    <w:p w14:paraId="7A09F3E7" w14:textId="7E63A12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0F4985">
        <w:rPr>
          <w:rFonts w:ascii="Verdana Pro" w:eastAsia="Verdana Pro" w:hAnsi="Verdana Pro" w:cs="Verdana Pro"/>
          <w:b/>
          <w:color w:val="000000"/>
          <w:sz w:val="20"/>
          <w:szCs w:val="20"/>
        </w:rPr>
        <w:t>II.</w:t>
      </w:r>
    </w:p>
    <w:p w14:paraId="6ADED1F0" w14:textId="4F2A3E9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0F4985">
        <w:rPr>
          <w:rFonts w:ascii="Verdana Pro" w:eastAsia="Verdana Pro" w:hAnsi="Verdana Pro" w:cs="Verdana Pro"/>
          <w:b/>
          <w:color w:val="000000"/>
          <w:sz w:val="20"/>
          <w:szCs w:val="20"/>
        </w:rPr>
        <w:t>Předmět smlouvy</w:t>
      </w:r>
    </w:p>
    <w:p w14:paraId="0128C91F" w14:textId="22B01693" w:rsidR="009A43DC" w:rsidRPr="000F4985" w:rsidRDefault="00723D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Poskytovatel touto smlouvou poskytuje Zákazníkovi oprávnění k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užívání internetové platformy </w:t>
      </w:r>
      <w:proofErr w:type="spellStart"/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PinCity</w:t>
      </w:r>
      <w:proofErr w:type="spellEnd"/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 (dále jen „Aplikace“). Aplikace umožňuje vizualizaci rozvojových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záměrů/objektů Zákazníka na mapovém podkladu s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možností editace a přidávání projektů/objektů. Aplikace slouží dále jak nástroj pro participativní řízení s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možností vkládání občanských návrhů, hlasování,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diskusí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, sledování priorit uživatelů apod.</w:t>
      </w:r>
    </w:p>
    <w:p w14:paraId="14B85127" w14:textId="77777777" w:rsidR="009A43DC" w:rsidRPr="000F4985" w:rsidRDefault="00723D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Poskytovatel se dále zavazuje</w:t>
      </w:r>
    </w:p>
    <w:p w14:paraId="7E0E030E" w14:textId="0D954F97" w:rsidR="009A43DC" w:rsidRPr="000F4985" w:rsidRDefault="00723D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k moderování </w:t>
      </w:r>
      <w:r w:rsidR="000F4985" w:rsidRPr="000F4985">
        <w:rPr>
          <w:rFonts w:ascii="Verdana Pro" w:eastAsia="Verdana Pro" w:hAnsi="Verdana Pro" w:cs="Verdana Pro"/>
          <w:color w:val="000000"/>
          <w:sz w:val="18"/>
          <w:szCs w:val="18"/>
        </w:rPr>
        <w:t>diskusí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a revizím komentářů uživatelů v Aplikaci;</w:t>
      </w:r>
    </w:p>
    <w:p w14:paraId="7A983D23" w14:textId="77777777" w:rsidR="009A43DC" w:rsidRPr="000F4985" w:rsidRDefault="00723D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ke kontrole dodržování podmínek registrace uživatelů a vhodnosti návrhů či komentářů. Poskytovatel identifikuje témata, kde by mělo dojít k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odpovědi, popř. stanovi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sku příslušných zástupců obce;</w:t>
      </w:r>
    </w:p>
    <w:p w14:paraId="3D6E527D" w14:textId="77777777" w:rsidR="009A43DC" w:rsidRPr="000F4985" w:rsidRDefault="00723D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lastRenderedPageBreak/>
        <w:t>k zakládání nových projektů dle řádných a úplných podkladů obce (po řádném schválení projektu radou obce, po podání žádosti, po schválení dotace);</w:t>
      </w:r>
    </w:p>
    <w:p w14:paraId="4C5F591B" w14:textId="49A74AB4" w:rsidR="009A43DC" w:rsidRPr="000F4985" w:rsidRDefault="00723D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k vkládání informací o založených projektech dle definovaných projektových kar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et na základě řádných podkladů obce. Jedná se zejména o etapy projektu, fotogalerie, ankety, 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akce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 apod. Zároveň bude probíhat dohled nad aktuálností projektových informací v Aplikaci; </w:t>
      </w:r>
    </w:p>
    <w:p w14:paraId="00EA3688" w14:textId="50486F8F" w:rsidR="009A43DC" w:rsidRPr="000F4985" w:rsidRDefault="00723D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k přípravě podkladů pro participativní Akce, vč. administrativy spojené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s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pozvánkami a zápisy z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jednání a vyhodnocování Akcí;</w:t>
      </w:r>
    </w:p>
    <w:p w14:paraId="343AAB17" w14:textId="77777777" w:rsidR="009A43DC" w:rsidRPr="000F4985" w:rsidRDefault="00723D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k přípravě námětů (podkladů pro příspěvky na sociálních sítích či v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tištěných médiích);</w:t>
      </w:r>
    </w:p>
    <w:p w14:paraId="49C26739" w14:textId="21AF7CDD" w:rsidR="009A43DC" w:rsidRPr="000F4985" w:rsidRDefault="00723D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k měsíčnímu reportingu o vývoji stavu v Aplikaci pro vedení města (statistiky návštěvnosti, uživatelské reakce,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aktivity na straně obce – nové projekty, změny 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stavu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 atd.);</w:t>
      </w:r>
    </w:p>
    <w:p w14:paraId="41FEE131" w14:textId="33B20318" w:rsidR="009A43DC" w:rsidRPr="000F4985" w:rsidRDefault="00723D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Zákazník se zavazuje poskytnout potřebnou součinnost a dále se zavazuje za řádně a včas poskytnuté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služby zaplatit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Poskytovateli dohodnutou cenu.</w:t>
      </w:r>
    </w:p>
    <w:p w14:paraId="6A11F11C" w14:textId="77777777" w:rsidR="009A43DC" w:rsidRPr="000F4985" w:rsidRDefault="00723D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Zákazník je odpovědný za obsah předávaných dokumen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tů a informací Poskytovateli, které musí být řádné a úplné, nesmí být v rozporu s platnou a účinnou legislativou, (tj.  Zákazník musí mít k předávaným podkladům veškerá práva, zejm. licenční.)</w:t>
      </w:r>
    </w:p>
    <w:p w14:paraId="4D5BB6FB" w14:textId="77777777" w:rsidR="009A43DC" w:rsidRPr="000F4985" w:rsidRDefault="00723D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Zákazník může využívat v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rámci Aplikace všechny moduly, které j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sou v dané době k dispozici. Poskytovatel garantuje průběžný vývoj Aplikace.</w:t>
      </w:r>
    </w:p>
    <w:p w14:paraId="5287A608" w14:textId="05EC9F96" w:rsidR="009A43DC" w:rsidRPr="000F4985" w:rsidRDefault="00723D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Poskytovatel touto smlouvou provede jednorázové nastavení systému a zaškolí obsluhu odpovědné osoby na straně Zákazníka.</w:t>
      </w:r>
    </w:p>
    <w:p w14:paraId="38F95B7F" w14:textId="31B934FD" w:rsidR="009A43DC" w:rsidRPr="000F4985" w:rsidRDefault="00723D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Technické parametry Aplikace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i jednotlivých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modulů jsou uv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edeny na stránkách www.pincity.cz</w:t>
      </w:r>
    </w:p>
    <w:p w14:paraId="5137E1C4" w14:textId="7B7E275E" w:rsidR="009A43DC" w:rsidRPr="000F4985" w:rsidRDefault="00723D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Provozovatelem Aplikace je Poskytovatel za podmínek dále specifikovaných touto smlouvou a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platnými všeobecnými obchodními podmínkami Aplikace (příloha č. 1 Smlouvy).</w:t>
      </w:r>
    </w:p>
    <w:p w14:paraId="22595B5C" w14:textId="7A6FA279" w:rsidR="009A43DC" w:rsidRPr="000F4985" w:rsidRDefault="00723D51" w:rsidP="00A51E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6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Služby dle čl. II. odst. 2 budou poskytovány průběžně, na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základě potřeb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Zákazníka.</w:t>
      </w:r>
    </w:p>
    <w:p w14:paraId="5912A752" w14:textId="31E9CA49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0F4985">
        <w:rPr>
          <w:rFonts w:ascii="Verdana Pro" w:eastAsia="Verdana Pro" w:hAnsi="Verdana Pro" w:cs="Verdana Pro"/>
          <w:b/>
          <w:color w:val="000000"/>
          <w:sz w:val="20"/>
          <w:szCs w:val="20"/>
        </w:rPr>
        <w:t xml:space="preserve"> III.</w:t>
      </w:r>
    </w:p>
    <w:p w14:paraId="3BA9D8E5" w14:textId="1651CE53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0F4985">
        <w:rPr>
          <w:rFonts w:ascii="Verdana Pro" w:eastAsia="Verdana Pro" w:hAnsi="Verdana Pro" w:cs="Verdana Pro"/>
          <w:b/>
          <w:color w:val="000000"/>
          <w:sz w:val="20"/>
          <w:szCs w:val="20"/>
        </w:rPr>
        <w:t>Cena a platební podmínky</w:t>
      </w:r>
    </w:p>
    <w:p w14:paraId="7DF29670" w14:textId="77777777" w:rsidR="009A43DC" w:rsidRPr="000F4985" w:rsidRDefault="00723D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Ceny jsou stanoveny jako smluvní. V uvedených cenách není zahrnuta aktuální sazba daně z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přidané hodnoty. Sazba DPH bude stanovena ve výši dl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e platných právních předpisů v době vystavení faktury.</w:t>
      </w:r>
    </w:p>
    <w:p w14:paraId="5E82514E" w14:textId="2932A0DC" w:rsidR="009A43DC" w:rsidRPr="000F4985" w:rsidRDefault="00723D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Cena za využití Služeb se skládá z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následujících částí:</w:t>
      </w:r>
    </w:p>
    <w:p w14:paraId="4875F8AC" w14:textId="77777777" w:rsidR="009A43DC" w:rsidRPr="000F4985" w:rsidRDefault="009A43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</w:p>
    <w:tbl>
      <w:tblPr>
        <w:tblStyle w:val="a"/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1701"/>
        <w:gridCol w:w="3828"/>
      </w:tblGrid>
      <w:tr w:rsidR="009A43DC" w:rsidRPr="000F4985" w14:paraId="77C9E8AF" w14:textId="77777777">
        <w:trPr>
          <w:trHeight w:val="28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C86E" w14:textId="77777777" w:rsidR="009A43DC" w:rsidRPr="000F4985" w:rsidRDefault="00723D51">
            <w:pPr>
              <w:spacing w:after="120" w:line="240" w:lineRule="auto"/>
              <w:jc w:val="center"/>
              <w:rPr>
                <w:rFonts w:ascii="Verdana Pro" w:eastAsia="Verdana Pro" w:hAnsi="Verdana Pro" w:cs="Verdana Pro"/>
                <w:b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b/>
                <w:sz w:val="18"/>
                <w:szCs w:val="18"/>
              </w:rPr>
              <w:t>Předmět plnění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1E05" w14:textId="77777777" w:rsidR="009A43DC" w:rsidRPr="000F4985" w:rsidRDefault="00723D51">
            <w:pPr>
              <w:spacing w:after="120" w:line="240" w:lineRule="auto"/>
              <w:jc w:val="center"/>
              <w:rPr>
                <w:rFonts w:ascii="Verdana Pro" w:eastAsia="Verdana Pro" w:hAnsi="Verdana Pro" w:cs="Verdana Pro"/>
                <w:b/>
                <w:sz w:val="18"/>
                <w:szCs w:val="18"/>
                <w:highlight w:val="yellow"/>
              </w:rPr>
            </w:pPr>
            <w:r w:rsidRPr="000F4985">
              <w:rPr>
                <w:rFonts w:ascii="Verdana Pro" w:eastAsia="Verdana Pro" w:hAnsi="Verdana Pro" w:cs="Verdana Pro"/>
                <w:b/>
                <w:sz w:val="18"/>
                <w:szCs w:val="18"/>
              </w:rPr>
              <w:t>Cena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7B9D" w14:textId="77777777" w:rsidR="009A43DC" w:rsidRPr="000F4985" w:rsidRDefault="00723D51">
            <w:pPr>
              <w:spacing w:after="120" w:line="240" w:lineRule="auto"/>
              <w:ind w:right="213"/>
              <w:jc w:val="center"/>
              <w:rPr>
                <w:rFonts w:ascii="Verdana Pro" w:eastAsia="Verdana Pro" w:hAnsi="Verdana Pro" w:cs="Verdana Pro"/>
                <w:b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b/>
                <w:sz w:val="18"/>
                <w:szCs w:val="18"/>
              </w:rPr>
              <w:t>Interval plateb</w:t>
            </w:r>
          </w:p>
        </w:tc>
      </w:tr>
      <w:tr w:rsidR="009A43DC" w:rsidRPr="000F4985" w14:paraId="262A9FFA" w14:textId="77777777">
        <w:trPr>
          <w:trHeight w:val="28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06BD" w14:textId="77777777" w:rsidR="009A43DC" w:rsidRPr="000F4985" w:rsidRDefault="00723D51">
            <w:pPr>
              <w:spacing w:after="120" w:line="240" w:lineRule="auto"/>
              <w:rPr>
                <w:rFonts w:ascii="Verdana Pro" w:eastAsia="Verdana Pro" w:hAnsi="Verdana Pro" w:cs="Verdana Pro"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Poplatek za užívání Aplikace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6A88" w14:textId="1A601C81" w:rsidR="009A43DC" w:rsidRPr="000F4985" w:rsidRDefault="00A51E2D">
            <w:pPr>
              <w:spacing w:after="120" w:line="240" w:lineRule="auto"/>
              <w:jc w:val="center"/>
              <w:rPr>
                <w:rFonts w:ascii="Verdana Pro" w:eastAsia="Verdana Pro" w:hAnsi="Verdana Pro" w:cs="Verdana Pro"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40.000, - Kč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DD67F" w14:textId="7F0CCD52" w:rsidR="009A43DC" w:rsidRPr="000F4985" w:rsidRDefault="00723D51">
            <w:pPr>
              <w:spacing w:after="120" w:line="240" w:lineRule="auto"/>
              <w:rPr>
                <w:rFonts w:ascii="Verdana Pro" w:eastAsia="Verdana Pro" w:hAnsi="Verdana Pro" w:cs="Verdana Pro"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1x ročně, počínaje 1</w:t>
            </w:r>
            <w:r w:rsidR="0084051F">
              <w:rPr>
                <w:rFonts w:ascii="Verdana Pro" w:eastAsia="Verdana Pro" w:hAnsi="Verdana Pro" w:cs="Verdana Pro"/>
                <w:sz w:val="18"/>
                <w:szCs w:val="18"/>
              </w:rPr>
              <w:t>.5</w:t>
            </w: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.202</w:t>
            </w:r>
            <w:r w:rsidR="0084051F">
              <w:rPr>
                <w:rFonts w:ascii="Verdana Pro" w:eastAsia="Verdana Pro" w:hAnsi="Verdana Pro" w:cs="Verdana Pro"/>
                <w:sz w:val="18"/>
                <w:szCs w:val="18"/>
              </w:rPr>
              <w:t>3</w:t>
            </w: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, na následující rok</w:t>
            </w:r>
          </w:p>
        </w:tc>
      </w:tr>
      <w:tr w:rsidR="009A43DC" w:rsidRPr="000F4985" w14:paraId="3639BE74" w14:textId="77777777">
        <w:trPr>
          <w:trHeight w:val="28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80B7E" w14:textId="77777777" w:rsidR="009A43DC" w:rsidRPr="000F4985" w:rsidRDefault="00723D51">
            <w:pPr>
              <w:spacing w:after="120" w:line="240" w:lineRule="auto"/>
              <w:rPr>
                <w:rFonts w:ascii="Verdana Pro" w:eastAsia="Verdana Pro" w:hAnsi="Verdana Pro" w:cs="Verdana Pro"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 xml:space="preserve">Poplatek za </w:t>
            </w: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užívání modulu</w:t>
            </w:r>
          </w:p>
          <w:p w14:paraId="02EDBA2B" w14:textId="77777777" w:rsidR="009A43DC" w:rsidRPr="000F4985" w:rsidRDefault="00723D51">
            <w:pPr>
              <w:spacing w:after="120" w:line="240" w:lineRule="auto"/>
              <w:rPr>
                <w:rFonts w:ascii="Verdana Pro" w:eastAsia="Verdana Pro" w:hAnsi="Verdana Pro" w:cs="Verdana Pro"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Participativní rozpočet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BAB7B" w14:textId="033A0B4F" w:rsidR="009A43DC" w:rsidRPr="000F4985" w:rsidRDefault="00A51E2D">
            <w:pPr>
              <w:spacing w:after="120" w:line="240" w:lineRule="auto"/>
              <w:jc w:val="center"/>
              <w:rPr>
                <w:rFonts w:ascii="Verdana Pro" w:eastAsia="Verdana Pro" w:hAnsi="Verdana Pro" w:cs="Verdana Pro"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10.000, - Kč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7FCD" w14:textId="59CCB0F8" w:rsidR="009A43DC" w:rsidRPr="000F4985" w:rsidRDefault="00723D51">
            <w:pPr>
              <w:spacing w:after="120" w:line="240" w:lineRule="auto"/>
              <w:rPr>
                <w:rFonts w:ascii="Verdana Pro" w:eastAsia="Verdana Pro" w:hAnsi="Verdana Pro" w:cs="Verdana Pro"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1x ročně, počínaje 1.</w:t>
            </w:r>
            <w:r w:rsidR="0084051F">
              <w:rPr>
                <w:rFonts w:ascii="Verdana Pro" w:eastAsia="Verdana Pro" w:hAnsi="Verdana Pro" w:cs="Verdana Pro"/>
                <w:sz w:val="18"/>
                <w:szCs w:val="18"/>
              </w:rPr>
              <w:t>5</w:t>
            </w: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.202</w:t>
            </w:r>
            <w:r w:rsidR="0084051F">
              <w:rPr>
                <w:rFonts w:ascii="Verdana Pro" w:eastAsia="Verdana Pro" w:hAnsi="Verdana Pro" w:cs="Verdana Pro"/>
                <w:sz w:val="18"/>
                <w:szCs w:val="18"/>
              </w:rPr>
              <w:t>3</w:t>
            </w: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, na následující rok</w:t>
            </w:r>
          </w:p>
        </w:tc>
      </w:tr>
      <w:tr w:rsidR="009A43DC" w:rsidRPr="000F4985" w14:paraId="180B2808" w14:textId="77777777">
        <w:trPr>
          <w:trHeight w:val="28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3FF4" w14:textId="77777777" w:rsidR="009A43DC" w:rsidRPr="000F4985" w:rsidRDefault="00723D51">
            <w:pPr>
              <w:spacing w:after="120" w:line="240" w:lineRule="auto"/>
              <w:rPr>
                <w:rFonts w:ascii="Verdana Pro" w:eastAsia="Verdana Pro" w:hAnsi="Verdana Pro" w:cs="Verdana Pro"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 xml:space="preserve">Služby dle čl. II odst. 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6F58" w14:textId="77777777" w:rsidR="009A43DC" w:rsidRPr="000F4985" w:rsidRDefault="00723D51">
            <w:pPr>
              <w:spacing w:after="120" w:line="240" w:lineRule="auto"/>
              <w:jc w:val="center"/>
              <w:rPr>
                <w:rFonts w:ascii="Verdana Pro" w:eastAsia="Verdana Pro" w:hAnsi="Verdana Pro" w:cs="Verdana Pro"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950,- Kč/ hod.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7EE7" w14:textId="77777777" w:rsidR="009A43DC" w:rsidRPr="000F4985" w:rsidRDefault="00723D51">
            <w:pPr>
              <w:spacing w:after="120" w:line="240" w:lineRule="auto"/>
              <w:rPr>
                <w:rFonts w:ascii="Verdana Pro" w:eastAsia="Verdana Pro" w:hAnsi="Verdana Pro" w:cs="Verdana Pro"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sz w:val="18"/>
                <w:szCs w:val="18"/>
              </w:rPr>
              <w:t>1x měsíčně na základě předem odsouhlasené objednávky a výkazu práce Poskytovatele</w:t>
            </w:r>
          </w:p>
        </w:tc>
      </w:tr>
      <w:tr w:rsidR="009A43DC" w:rsidRPr="000F4985" w14:paraId="753A4FE6" w14:textId="77777777">
        <w:trPr>
          <w:trHeight w:val="837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72A6" w14:textId="7DE1D173" w:rsidR="009A43DC" w:rsidRPr="000F4985" w:rsidRDefault="0072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Verdana Pro" w:eastAsia="Verdana Pro" w:hAnsi="Verdana Pro" w:cs="Verdana Pro"/>
                <w:color w:val="000000"/>
                <w:sz w:val="18"/>
                <w:szCs w:val="18"/>
              </w:rPr>
            </w:pPr>
            <w:r w:rsidRPr="000F4985">
              <w:rPr>
                <w:rFonts w:ascii="Verdana Pro" w:eastAsia="Verdana Pro" w:hAnsi="Verdana Pro" w:cs="Verdana Pro"/>
                <w:color w:val="000000"/>
                <w:sz w:val="18"/>
                <w:szCs w:val="18"/>
              </w:rPr>
              <w:t xml:space="preserve">Cena za využití doplňkových služeb Poskytovatele (strategické poradenství, vývojářské práce, grafické práce analytika, konzultace, tisk propagačních </w:t>
            </w:r>
            <w:r w:rsidR="00A51E2D" w:rsidRPr="000F4985">
              <w:rPr>
                <w:rFonts w:ascii="Verdana Pro" w:eastAsia="Verdana Pro" w:hAnsi="Verdana Pro" w:cs="Verdana Pro"/>
                <w:color w:val="000000"/>
                <w:sz w:val="18"/>
                <w:szCs w:val="18"/>
              </w:rPr>
              <w:t>materiálů</w:t>
            </w:r>
            <w:r w:rsidRPr="000F4985">
              <w:rPr>
                <w:rFonts w:ascii="Verdana Pro" w:eastAsia="Verdana Pro" w:hAnsi="Verdana Pro" w:cs="Verdana Pro"/>
                <w:color w:val="000000"/>
                <w:sz w:val="18"/>
                <w:szCs w:val="18"/>
              </w:rPr>
              <w:t> apod.), bude Zákazníkovi vyúčtována na základě schváleného odhadu doby trvání práce, ceny a odsou</w:t>
            </w:r>
            <w:r w:rsidRPr="000F4985">
              <w:rPr>
                <w:rFonts w:ascii="Verdana Pro" w:eastAsia="Verdana Pro" w:hAnsi="Verdana Pro" w:cs="Verdana Pro"/>
                <w:color w:val="000000"/>
                <w:sz w:val="18"/>
                <w:szCs w:val="18"/>
              </w:rPr>
              <w:t>hlaseného výkazu plnění.</w:t>
            </w:r>
          </w:p>
        </w:tc>
      </w:tr>
    </w:tbl>
    <w:p w14:paraId="591825A9" w14:textId="77777777" w:rsidR="009A43DC" w:rsidRPr="000F4985" w:rsidRDefault="009A43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</w:p>
    <w:p w14:paraId="0E69AF05" w14:textId="3BC2B26C" w:rsidR="009A43DC" w:rsidRPr="000F4985" w:rsidRDefault="00723D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Vystavené faktury musí obsahovat veškeré náležitosti daňového dokladu předepsané příslušnými právními předpisy, zejména zákona č. 235/2004 Sb., o dani z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přidané hodnoty, ve znění pozdějších předpisů. V případě, že předložená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faktura neobsahuje předepsané náležitosti, je Zákazník oprávněn ji ve lhůtě splatnosti vrátit Poskytovateli k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doplnění. Po obdržení opravené faktury mu běží nová lhůta k jejímu proplacení.</w:t>
      </w:r>
    </w:p>
    <w:p w14:paraId="076C1881" w14:textId="21D5B0A8" w:rsidR="009A43DC" w:rsidRPr="000F4985" w:rsidRDefault="00723D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Splatnost faktur činí 30 dní. Splatnost se počítá ode dne doručení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faktury Zákazníkovi. Smluvní strany se dohodly, že závazek k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úhradě faktury je splněn dnem, kdy bude příslušná částka připsána na účet Poskytovatele.</w:t>
      </w:r>
    </w:p>
    <w:p w14:paraId="58F4BD7E" w14:textId="01CCFBB9" w:rsidR="009A43DC" w:rsidRPr="000F4985" w:rsidRDefault="00723D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Při nedodržení splatnosti úhrady se Zákazník vystavuje možnosti placení úroku z prodlení ve výši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0,05 %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za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každý den prodlení a zároveň je Poskytovatel oprávněn pozdržet své plnění do doby uhrazení závazku. </w:t>
      </w:r>
    </w:p>
    <w:p w14:paraId="35751457" w14:textId="4881C60F" w:rsidR="009A43DC" w:rsidRPr="000F4985" w:rsidRDefault="00723D51" w:rsidP="00A51E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Poskytovatel má právo na náhradu škody v plné výši vzniklé porušením povinnosti, ke kterému se smluvní pokuta vztahuje. Zaplacení smluvní pokuty nezbavuje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Zákazníka povinnosti splnit závazek utvrzený smluvní pokutou.</w:t>
      </w:r>
    </w:p>
    <w:p w14:paraId="679A0D98" w14:textId="061E7E68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b/>
          <w:color w:val="000000"/>
          <w:sz w:val="18"/>
          <w:szCs w:val="18"/>
        </w:rPr>
        <w:lastRenderedPageBreak/>
        <w:t>IV.</w:t>
      </w:r>
    </w:p>
    <w:p w14:paraId="1C085EB5" w14:textId="5AE41F5E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b/>
          <w:color w:val="000000"/>
          <w:sz w:val="18"/>
          <w:szCs w:val="18"/>
        </w:rPr>
        <w:t>Termín plnění a doba trvání smlouvy</w:t>
      </w:r>
    </w:p>
    <w:p w14:paraId="0825FB1B" w14:textId="2FFD2B95" w:rsidR="009A43DC" w:rsidRPr="000F4985" w:rsidRDefault="00723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Tato smlouva nabývá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platnosti dnem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jejího podpisu oběma smluvními stranami.</w:t>
      </w:r>
    </w:p>
    <w:p w14:paraId="341EFAE0" w14:textId="5B89302F" w:rsidR="009A43DC" w:rsidRPr="000F4985" w:rsidRDefault="00723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Tato smlouva se uzavírá na dobu neurčitou.</w:t>
      </w:r>
    </w:p>
    <w:p w14:paraId="238B2277" w14:textId="7F009C80" w:rsidR="009A43DC" w:rsidRPr="000F4985" w:rsidRDefault="00723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Termín dodání plnění dle Předmětu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smlouvy je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stanoven v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délce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30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dnů od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účinnosti smlouvy.</w:t>
      </w:r>
    </w:p>
    <w:p w14:paraId="2BB606D3" w14:textId="390A737C" w:rsidR="009A43DC" w:rsidRPr="000F4985" w:rsidRDefault="00723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Smluvní vztah lze ukončit písemnou dohodou smluvních stran, výpovědí kterékoliv ze smluvních stran bez udání důvodu s výpovědní lhůtou 3 měsíce, která začíná běžet první den následujícího měsíce po d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oručení výpovědi druhé smluvní straně, a dalšími způsoby stanovenými občanským zákoníkem.</w:t>
      </w:r>
    </w:p>
    <w:p w14:paraId="01308D18" w14:textId="0697BC46" w:rsidR="009A43DC" w:rsidRPr="000F4985" w:rsidRDefault="00723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Kterákoliv ze smluvních stran je oprávněna od smlouvy odstoupit s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účinností ke dni doručení písemného oznámení o odstoupení druhé smluvní straně, jestliže druhá smluv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ní strana podstatným způsobem poruší tuto smlouvu. Za podstatné porušení smlouvy se považuje zejména:</w:t>
      </w:r>
    </w:p>
    <w:p w14:paraId="3EA18D4A" w14:textId="6FE02FD4" w:rsidR="009A43DC" w:rsidRPr="000F4985" w:rsidRDefault="00723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Prodlení Poskytovatele s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poskytnutím služby delší než 30 dnů nebo nedodržení závazků Poskytovatele dle této smlouvy.</w:t>
      </w:r>
    </w:p>
    <w:p w14:paraId="56B612DE" w14:textId="4A7B1BA4" w:rsidR="009A43DC" w:rsidRPr="000F4985" w:rsidRDefault="00723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Prodlení Zákazníka s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úhradou Ceny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delší než 30 dnů nebo nedodržení závazků Zákazníka dle této smlouvy.</w:t>
      </w:r>
    </w:p>
    <w:p w14:paraId="21FEC2CA" w14:textId="7E81893E" w:rsidR="009A43DC" w:rsidRPr="000F4985" w:rsidRDefault="00723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Takové porušení smlouvy, na které byla druhá smluvní strana písemně upozorněna a ani po uplynutí přiměřené lhůty (v minimální délce 5 dnů) uvedené ve výzvě závadný stav neodstranila.</w:t>
      </w:r>
    </w:p>
    <w:p w14:paraId="61F94FA4" w14:textId="1C68E0B7" w:rsidR="009A43DC" w:rsidRPr="000F4985" w:rsidRDefault="00723D51" w:rsidP="00A51E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Odstoupením od smlouvy zůstávají nedotčena práva a povinnosti smluvních stran vzniklé do okamžiku účinnosti odstoupení. Odstoupení od této smlouvy či jiné ukončení smluvního vztahu založeného touto smlouvou se nedotýká práva na zaplacení smluvní pokuty neb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o úroku z prodlení, pokud již dospěl, práva na náhradu škody vzniklé z porušení smluvní povinnosti ani ujednání, které má vzhledem ke své povaze zavazovat strany i po odstoupení od smlouvy.</w:t>
      </w:r>
    </w:p>
    <w:p w14:paraId="34712537" w14:textId="60FD31EA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0F4985">
        <w:rPr>
          <w:rFonts w:ascii="Verdana Pro" w:eastAsia="Verdana Pro" w:hAnsi="Verdana Pro" w:cs="Verdana Pro"/>
          <w:b/>
          <w:color w:val="000000"/>
          <w:sz w:val="20"/>
          <w:szCs w:val="20"/>
        </w:rPr>
        <w:t>V.</w:t>
      </w:r>
    </w:p>
    <w:p w14:paraId="73AD7243" w14:textId="6C70BDFD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0F4985">
        <w:rPr>
          <w:rFonts w:ascii="Verdana Pro" w:eastAsia="Verdana Pro" w:hAnsi="Verdana Pro" w:cs="Verdana Pro"/>
          <w:b/>
          <w:color w:val="000000"/>
          <w:sz w:val="20"/>
          <w:szCs w:val="20"/>
        </w:rPr>
        <w:t>Záruky, servisní podpora a provoz</w:t>
      </w:r>
    </w:p>
    <w:p w14:paraId="600578E3" w14:textId="3C3586E6" w:rsidR="009A43DC" w:rsidRPr="000F4985" w:rsidRDefault="00723D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V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rámci této smlouvy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poskytuje Poskytovatel k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Aplikaci technickou a servisní podporu (dále jen „Servisní podpora“). Servisní podpora je poskytována zástupci Zákazníka na následujících kontaktech:</w:t>
      </w:r>
    </w:p>
    <w:p w14:paraId="4CFB82BE" w14:textId="464F0B77" w:rsidR="009A43DC" w:rsidRPr="000F4985" w:rsidRDefault="00723D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e-mailem zaslaným na adresu: </w:t>
      </w:r>
      <w:hyperlink r:id="rId7">
        <w:r w:rsidRPr="000F4985">
          <w:rPr>
            <w:rFonts w:ascii="Verdana Pro" w:eastAsia="Verdana Pro" w:hAnsi="Verdana Pro" w:cs="Verdana Pro"/>
            <w:color w:val="0563C1"/>
            <w:sz w:val="18"/>
            <w:szCs w:val="18"/>
            <w:u w:val="single"/>
          </w:rPr>
          <w:t>info@PinCi</w:t>
        </w:r>
        <w:r w:rsidRPr="000F4985">
          <w:rPr>
            <w:rFonts w:ascii="Verdana Pro" w:eastAsia="Verdana Pro" w:hAnsi="Verdana Pro" w:cs="Verdana Pro"/>
            <w:color w:val="0563C1"/>
            <w:sz w:val="18"/>
            <w:szCs w:val="18"/>
            <w:u w:val="single"/>
          </w:rPr>
          <w:t>ty.cz</w:t>
        </w:r>
      </w:hyperlink>
    </w:p>
    <w:p w14:paraId="67D38A8A" w14:textId="6C850649" w:rsidR="009A43DC" w:rsidRPr="000F4985" w:rsidRDefault="00723D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telefonicky na čísle: +420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731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643 122</w:t>
      </w:r>
    </w:p>
    <w:p w14:paraId="3976AFF8" w14:textId="4925563A" w:rsidR="009A43DC" w:rsidRPr="000F4985" w:rsidRDefault="00723D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Servisní podpora je poskytována v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běžné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pracovní od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pondělí do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pátku od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 9:00 do 15:00.</w:t>
      </w:r>
    </w:p>
    <w:p w14:paraId="19497CC9" w14:textId="6177B244" w:rsidR="009A43DC" w:rsidRPr="000F4985" w:rsidRDefault="00723D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Poskytovatel vynaloží komerčně přiměřené úsilí k zpřístupnění Služeb 24 hodin denně, 7 dní v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týdnu, s výjimkou:</w:t>
      </w:r>
    </w:p>
    <w:p w14:paraId="3344EDA2" w14:textId="546E6245" w:rsidR="009A43DC" w:rsidRPr="000F4985" w:rsidRDefault="00723D5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plánovaných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odstávek, o nichž bude Poskytovatel Zákazníka předem informovat e-mailem.</w:t>
      </w:r>
    </w:p>
    <w:p w14:paraId="765D25AF" w14:textId="3869C949" w:rsidR="009A43DC" w:rsidRPr="000F4985" w:rsidRDefault="00723D5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jakákoli nedostupnost způsobená okolnostmi mimo kontrolu Poskytovatele, včetně vyšší moci, změny legislativy nebo přírodní katastrofy.</w:t>
      </w:r>
    </w:p>
    <w:p w14:paraId="6E7B8F80" w14:textId="4D5BC3AB" w:rsidR="009A43DC" w:rsidRPr="000F4985" w:rsidRDefault="00723D5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selhání Poskytovatele datových služeb, zejména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selhání připojení do sítě internet, a to včetně případných hackerských útoků.</w:t>
      </w:r>
    </w:p>
    <w:p w14:paraId="153D151E" w14:textId="5C6BF022" w:rsidR="009A43DC" w:rsidRPr="000F4985" w:rsidRDefault="00723D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Požadavky, které nejsou typu „Závada“ jsou zpoplatněné dle času stráveného s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řešením požadavků, přičemž odhad času řešení je předem schválen Zákazníkem.</w:t>
      </w:r>
    </w:p>
    <w:p w14:paraId="635FDDDD" w14:textId="15D9B7C6" w:rsidR="009A43DC" w:rsidRPr="000F4985" w:rsidRDefault="00723D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Poskytovatel se zavazuje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plnit maximální možnou dostupnost služeb v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prostředí internetu. Garantovaná dostupnost je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99 %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.</w:t>
      </w:r>
    </w:p>
    <w:p w14:paraId="6FCF4970" w14:textId="33E833F3" w:rsidR="009A43DC" w:rsidRPr="000F4985" w:rsidRDefault="00723D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Záruka na Aplikaci je garantována v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délce 12</w:t>
      </w:r>
      <w:r w:rsidR="00A53396"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ti měsíců od převzetí předmětu smlouvy.</w:t>
      </w:r>
    </w:p>
    <w:p w14:paraId="7E414BF0" w14:textId="07149A70" w:rsidR="009A43DC" w:rsidRPr="000F4985" w:rsidRDefault="00723D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Poskytovatel neodpovídá za škodu vzniklou používáním Aplikace ani za ušlý z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isk Zákazníka.</w:t>
      </w:r>
    </w:p>
    <w:p w14:paraId="2A0B38F0" w14:textId="3C756EC3" w:rsidR="009A43DC" w:rsidRPr="000F4985" w:rsidRDefault="00723D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V případě, že Zákazník nezajistí potřebnou součinnost dle této smlouvy, nenese Poskytovatel v rozsahu následku nesplnění povinnosti součinnosti ze strany Zákazníka odpovědnost za nesplnění záruk nebo jiných povinností dle této smlouvy.</w:t>
      </w:r>
    </w:p>
    <w:p w14:paraId="0B9427AE" w14:textId="77777777" w:rsidR="009A43DC" w:rsidRPr="000F4985" w:rsidRDefault="00723D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Žádná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ze smluvních stran není odpovědná za nesplnění svého závazku v důsledku prodlení druhé smluvní strany, nebo prokáže-li, že jí ve splnění tohoto závazku dočasně nebo trvale bránila mimořádná nepředvídatelná a nepřekonatelná překážka vzniklá nezávisle na je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jí vůli (§ 2913 odst. 2 zákona).</w:t>
      </w:r>
    </w:p>
    <w:p w14:paraId="4DC3058B" w14:textId="77777777" w:rsidR="009A43DC" w:rsidRPr="000F4985" w:rsidRDefault="009A43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</w:p>
    <w:p w14:paraId="4DB87C56" w14:textId="002711E6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0F4985">
        <w:rPr>
          <w:rFonts w:ascii="Verdana Pro" w:eastAsia="Verdana Pro" w:hAnsi="Verdana Pro" w:cs="Verdana Pro"/>
          <w:b/>
          <w:color w:val="000000"/>
          <w:sz w:val="20"/>
          <w:szCs w:val="20"/>
        </w:rPr>
        <w:t>VI.</w:t>
      </w:r>
    </w:p>
    <w:p w14:paraId="3986DD16" w14:textId="75E65CF9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0F4985">
        <w:rPr>
          <w:rFonts w:ascii="Verdana Pro" w:eastAsia="Verdana Pro" w:hAnsi="Verdana Pro" w:cs="Verdana Pro"/>
          <w:b/>
          <w:color w:val="000000"/>
          <w:sz w:val="20"/>
          <w:szCs w:val="20"/>
        </w:rPr>
        <w:t>Závěrečná a společná ustanovení</w:t>
      </w:r>
    </w:p>
    <w:p w14:paraId="05DC79C6" w14:textId="2189B40C" w:rsidR="009A43DC" w:rsidRPr="000F4985" w:rsidRDefault="00723D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lastRenderedPageBreak/>
        <w:t>Práva a povinnosti smluvních stan z této smlouvy vyplývající se řídí platnými právními předpisy České republiky.</w:t>
      </w:r>
    </w:p>
    <w:p w14:paraId="7638602B" w14:textId="62DFC84E" w:rsidR="009A43DC" w:rsidRPr="000F4985" w:rsidRDefault="00723D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Je-li nebo stane-li se některé ustanovení této smlouvy neplatné či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neúčinné, není tím dotčena platnost a účinnost ostatních ustanovení této smlouvy.  Smluvní strany se zavazují dohodou nahradit ustanovení neplatná/ neúčinná novým ustanovením platným a účinným, které nejlépe odpovídá zamýšlenému ekonomickému účelu daného n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eplatného či neúčinného ustanovení.</w:t>
      </w:r>
    </w:p>
    <w:p w14:paraId="6BCE3726" w14:textId="3E145697" w:rsidR="009A43DC" w:rsidRPr="000F4985" w:rsidRDefault="00723D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Změny a doplnění této smlouvy je možné provádět pouze písemnými, oběma stranami odsouhlasenými dodatky.</w:t>
      </w:r>
    </w:p>
    <w:p w14:paraId="61268B70" w14:textId="26FB3212" w:rsidR="009A43DC" w:rsidRPr="000F4985" w:rsidRDefault="00723D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Tato smlouva je vyhotovena ve dvou vyhotoveních, z</w:t>
      </w:r>
      <w:r w:rsidRPr="000F4985">
        <w:rPr>
          <w:rFonts w:ascii="Arial" w:eastAsia="Arial" w:hAnsi="Arial" w:cs="Arial"/>
          <w:color w:val="000000"/>
          <w:sz w:val="18"/>
          <w:szCs w:val="18"/>
        </w:rPr>
        <w:t> 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nichž každá strana obdrží po jednom.</w:t>
      </w:r>
    </w:p>
    <w:p w14:paraId="1EC0316A" w14:textId="2D4ABB2B" w:rsidR="009A43DC" w:rsidRPr="000F4985" w:rsidRDefault="00723D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Tato smlouva nabývá platnosti dnem jejího podpisu oprávněnými zástupci obou smluvních stran a účinnosti dnem jejího uveřejnění dle zákona č. 340/2015 Sb., o registru smluv. Uveřejnění smlouvy </w:t>
      </w:r>
      <w:r w:rsidR="00D54B38"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v příslušných registrech,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zajistí Zákazník.</w:t>
      </w:r>
    </w:p>
    <w:p w14:paraId="4E346E4C" w14:textId="1C686D36" w:rsidR="009A43DC" w:rsidRPr="000F4985" w:rsidRDefault="00723D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Zákazník potvrzuje,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že </w:t>
      </w:r>
      <w:r w:rsidR="00FB4E32" w:rsidRPr="000F4985">
        <w:rPr>
          <w:rFonts w:ascii="Verdana Pro" w:eastAsia="Verdana Pro" w:hAnsi="Verdana Pro" w:cs="Verdana Pro"/>
          <w:color w:val="000000"/>
          <w:sz w:val="18"/>
          <w:szCs w:val="18"/>
        </w:rPr>
        <w:t>z jeho s</w:t>
      </w:r>
      <w:r w:rsidR="00C56646"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trany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byly splněny </w:t>
      </w:r>
      <w:r w:rsidR="00C56646"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všechny 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podmínky pro platnost tohoto právního jednání. </w:t>
      </w:r>
    </w:p>
    <w:p w14:paraId="4C783BB1" w14:textId="7777777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 </w:t>
      </w:r>
    </w:p>
    <w:p w14:paraId="3B96C639" w14:textId="7777777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 </w:t>
      </w:r>
    </w:p>
    <w:p w14:paraId="223F5924" w14:textId="187A3DC5" w:rsidR="009A43DC" w:rsidRPr="000F4985" w:rsidRDefault="00A5339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V </w:t>
      </w:r>
      <w:r w:rsidR="00A51E2D" w:rsidRPr="000F4985">
        <w:rPr>
          <w:rFonts w:ascii="Verdana Pro" w:eastAsia="Verdana Pro" w:hAnsi="Verdana Pro" w:cs="Verdana Pro"/>
          <w:color w:val="000000"/>
          <w:sz w:val="18"/>
          <w:szCs w:val="18"/>
        </w:rPr>
        <w:t>Brně dne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 xml:space="preserve"> ……………........................... </w:t>
      </w:r>
    </w:p>
    <w:p w14:paraId="734B8B26" w14:textId="77777777" w:rsidR="009A43DC" w:rsidRPr="000F4985" w:rsidRDefault="009A43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</w:p>
    <w:p w14:paraId="34261F2D" w14:textId="77777777" w:rsidR="009A43DC" w:rsidRPr="000F4985" w:rsidRDefault="009A43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</w:p>
    <w:p w14:paraId="3586CA41" w14:textId="7777777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  </w:t>
      </w:r>
    </w:p>
    <w:p w14:paraId="0F09EF57" w14:textId="77777777" w:rsidR="009A43DC" w:rsidRPr="000F4985" w:rsidRDefault="009A43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</w:p>
    <w:p w14:paraId="0B2F9A46" w14:textId="77777777" w:rsidR="009A43DC" w:rsidRPr="000F4985" w:rsidRDefault="009A43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 Pro" w:eastAsia="Verdana Pro" w:hAnsi="Verdana Pro" w:cs="Verdana Pro"/>
          <w:color w:val="000000"/>
          <w:sz w:val="18"/>
          <w:szCs w:val="18"/>
        </w:rPr>
      </w:pPr>
    </w:p>
    <w:p w14:paraId="3C3E35B7" w14:textId="7777777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…….…………………………   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  <w:t>……………………………………</w:t>
      </w:r>
    </w:p>
    <w:p w14:paraId="399F6F7E" w14:textId="28D831DD" w:rsidR="009A43DC" w:rsidRPr="0084051F" w:rsidRDefault="0084051F" w:rsidP="0084051F">
      <w:pPr>
        <w:widowControl w:val="0"/>
        <w:tabs>
          <w:tab w:val="left" w:pos="709"/>
          <w:tab w:val="left" w:pos="2835"/>
        </w:tabs>
        <w:spacing w:after="120" w:line="240" w:lineRule="auto"/>
        <w:ind w:firstLine="709"/>
        <w:rPr>
          <w:rFonts w:ascii="Verdana Pro" w:eastAsia="Verdana Pro" w:hAnsi="Verdana Pro" w:cs="Verdana Pro"/>
          <w:sz w:val="18"/>
          <w:szCs w:val="18"/>
        </w:rPr>
      </w:pPr>
      <w:r w:rsidRPr="000F4985">
        <w:rPr>
          <w:rFonts w:ascii="Verdana Pro" w:eastAsia="Verdana Pro" w:hAnsi="Verdana Pro" w:cs="Verdana Pro"/>
          <w:sz w:val="18"/>
          <w:szCs w:val="18"/>
        </w:rPr>
        <w:t>Vítězslav Kokoř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  <w:t>Ing. Jan Havránek, Ph.D. </w:t>
      </w:r>
    </w:p>
    <w:p w14:paraId="34850F96" w14:textId="5D9C1849" w:rsidR="009A43DC" w:rsidRPr="000F4985" w:rsidRDefault="0084051F">
      <w:pPr>
        <w:widowControl w:val="0"/>
        <w:spacing w:after="120" w:line="240" w:lineRule="auto"/>
        <w:ind w:left="708"/>
        <w:rPr>
          <w:rFonts w:ascii="Verdana Pro" w:eastAsia="Verdana Pro" w:hAnsi="Verdana Pro" w:cs="Verdana Pro"/>
          <w:sz w:val="18"/>
          <w:szCs w:val="18"/>
        </w:rPr>
      </w:pPr>
      <w:r>
        <w:rPr>
          <w:rFonts w:ascii="Verdana Pro" w:eastAsia="Verdana Pro" w:hAnsi="Verdana Pro" w:cs="Verdana Pro"/>
          <w:sz w:val="18"/>
          <w:szCs w:val="18"/>
        </w:rPr>
        <w:t>starosta města</w:t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sz w:val="18"/>
          <w:szCs w:val="18"/>
        </w:rPr>
        <w:tab/>
      </w:r>
      <w:r>
        <w:rPr>
          <w:rFonts w:ascii="Verdana Pro" w:eastAsia="Verdana Pro" w:hAnsi="Verdana Pro" w:cs="Verdana Pro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sz w:val="18"/>
          <w:szCs w:val="18"/>
        </w:rPr>
        <w:t>statutární ředitel</w:t>
      </w:r>
    </w:p>
    <w:p w14:paraId="6FB3CD06" w14:textId="485C87E7" w:rsidR="009A43DC" w:rsidRPr="000F4985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rPr>
          <w:rFonts w:ascii="Verdana Pro" w:eastAsia="Verdana Pro" w:hAnsi="Verdana Pro" w:cs="Verdana Pro"/>
          <w:color w:val="000000"/>
          <w:sz w:val="18"/>
          <w:szCs w:val="18"/>
        </w:rPr>
      </w:pP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="0084051F" w:rsidRPr="0084051F">
        <w:rPr>
          <w:rFonts w:ascii="Verdana Pro" w:eastAsia="Verdana Pro" w:hAnsi="Verdana Pro" w:cs="Verdana Pro"/>
          <w:color w:val="000000"/>
          <w:sz w:val="18"/>
          <w:szCs w:val="18"/>
        </w:rPr>
        <w:t>Město Aš</w:t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</w:r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ab/>
        <w:t xml:space="preserve">AQE </w:t>
      </w:r>
      <w:proofErr w:type="spellStart"/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advisors</w:t>
      </w:r>
      <w:proofErr w:type="spellEnd"/>
      <w:r w:rsidRPr="000F4985">
        <w:rPr>
          <w:rFonts w:ascii="Verdana Pro" w:eastAsia="Verdana Pro" w:hAnsi="Verdana Pro" w:cs="Verdana Pro"/>
          <w:color w:val="000000"/>
          <w:sz w:val="18"/>
          <w:szCs w:val="18"/>
        </w:rPr>
        <w:t>, a.s. </w:t>
      </w:r>
    </w:p>
    <w:p w14:paraId="5FCD4FB8" w14:textId="11AC1F42" w:rsidR="009A43DC" w:rsidRDefault="009A43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37EF5C" w14:textId="63E661BB" w:rsidR="00723D51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401D73" w14:textId="6EB6886F" w:rsidR="00723D51" w:rsidRPr="00723D51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9D0B59" w14:textId="1522CE70" w:rsidR="00723D51" w:rsidRPr="00723D51" w:rsidRDefault="00723D5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3D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Usnesení RM č.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Pr="00723D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284/23 ze dne 22.5.2023</w:t>
      </w:r>
    </w:p>
    <w:sectPr w:rsidR="00723D51" w:rsidRPr="00723D51">
      <w:pgSz w:w="11906" w:h="16838"/>
      <w:pgMar w:top="1417" w:right="1417" w:bottom="112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 Pro">
    <w:altName w:val="Tahoma"/>
    <w:charset w:val="00"/>
    <w:family w:val="swiss"/>
    <w:pitch w:val="variable"/>
    <w:sig w:usb0="00000001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7B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69D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C7969"/>
    <w:multiLevelType w:val="multilevel"/>
    <w:tmpl w:val="FFFFFFFF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61742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72455"/>
    <w:multiLevelType w:val="multilevel"/>
    <w:tmpl w:val="FFFFFFFF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B2E10C9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7E128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651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54795"/>
    <w:multiLevelType w:val="multilevel"/>
    <w:tmpl w:val="FFFFFFFF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C"/>
    <w:rsid w:val="00074505"/>
    <w:rsid w:val="000A054E"/>
    <w:rsid w:val="000F4985"/>
    <w:rsid w:val="00214E0D"/>
    <w:rsid w:val="0022414F"/>
    <w:rsid w:val="002D0BF3"/>
    <w:rsid w:val="0045165B"/>
    <w:rsid w:val="00466538"/>
    <w:rsid w:val="004D33ED"/>
    <w:rsid w:val="00512246"/>
    <w:rsid w:val="00537595"/>
    <w:rsid w:val="00723D51"/>
    <w:rsid w:val="0084051F"/>
    <w:rsid w:val="009A43DC"/>
    <w:rsid w:val="00A42669"/>
    <w:rsid w:val="00A51E2D"/>
    <w:rsid w:val="00A53396"/>
    <w:rsid w:val="00C56646"/>
    <w:rsid w:val="00D54B38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4A07"/>
  <w15:docId w15:val="{7A94C92B-59E2-174E-9460-802CFBD3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ln"/>
    <w:rsid w:val="0065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653E1C"/>
  </w:style>
  <w:style w:type="character" w:customStyle="1" w:styleId="eop">
    <w:name w:val="eop"/>
    <w:basedOn w:val="Standardnpsmoodstavce"/>
    <w:rsid w:val="00653E1C"/>
  </w:style>
  <w:style w:type="paragraph" w:styleId="Odstavecseseznamem">
    <w:name w:val="List Paragraph"/>
    <w:basedOn w:val="Normln"/>
    <w:uiPriority w:val="34"/>
    <w:qFormat/>
    <w:rsid w:val="00653E1C"/>
    <w:pPr>
      <w:ind w:left="720"/>
      <w:contextualSpacing/>
    </w:pPr>
  </w:style>
  <w:style w:type="character" w:customStyle="1" w:styleId="contextualspellingandgrammarerror">
    <w:name w:val="contextualspellingandgrammarerror"/>
    <w:basedOn w:val="Standardnpsmoodstavce"/>
    <w:rsid w:val="00BF39D0"/>
  </w:style>
  <w:style w:type="character" w:customStyle="1" w:styleId="spellingerror">
    <w:name w:val="spellingerror"/>
    <w:basedOn w:val="Standardnpsmoodstavce"/>
    <w:rsid w:val="00BF39D0"/>
  </w:style>
  <w:style w:type="paragraph" w:customStyle="1" w:styleId="Default">
    <w:name w:val="Default"/>
    <w:rsid w:val="00B21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90F6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0F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F6F"/>
    <w:rPr>
      <w:rFonts w:ascii="Times New Roman" w:hAnsi="Times New Roman" w:cs="Times New Roman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inCit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wFMQXyCzXN74TbvVLBVCpqbBZA==">AMUW2mXter3VDh4OAtSX8Wq5WTUAecp0wt6dIeOaj52AkUpgO5DUaMDh3iA8Qg7z6Z3GClUp5t1YJFZpC387HWRQuvAGeh614yYa3SVORDaDd5w9/CfWUdjBr9C3TK4KZfAY0jod/ryq+ISGlapYoucZSCL2f+f7g2YALZ2dcnAMOCguZ+RONFH0+LkVeSdJA4eAFzy6hnRJN0p1rWN7Znd4l5B1EOUMwbWe/rUVACU55lx8QM89KLXakP6WEDen1rkXf6BQG4ouNnOlg6TMYE1hgx0v5c3+liBM8q+NxlcPAOqFTv0Pq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1502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Lenka Plinta</cp:lastModifiedBy>
  <cp:revision>18</cp:revision>
  <dcterms:created xsi:type="dcterms:W3CDTF">2022-10-06T11:59:00Z</dcterms:created>
  <dcterms:modified xsi:type="dcterms:W3CDTF">2023-05-25T11:04:00Z</dcterms:modified>
</cp:coreProperties>
</file>