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0" w:line="240" w:lineRule="auto"/>
        <w:ind w:left="0" w:right="0"/>
        <w:jc w:val="left"/>
      </w:pPr>
      <w:bookmarkStart w:id="0" w:name="bookmark0"/>
      <w:r>
        <w:rPr>
          <w:rStyle w:val="CharStyle6"/>
          <w:color w:val="134C7B"/>
          <w:sz w:val="32"/>
          <w:szCs w:val="32"/>
        </w:rPr>
        <w:t>"T</w:t>
      </w:r>
      <w:r>
        <w:rPr>
          <w:rStyle w:val="CharStyle6"/>
          <w:color w:val="134C7B"/>
          <w:sz w:val="32"/>
          <w:szCs w:val="32"/>
          <w:u w:val="single"/>
        </w:rPr>
        <w:t>FTE</w:t>
      </w:r>
      <w:r>
        <w:rPr>
          <w:rStyle w:val="CharStyle6"/>
          <w:color w:val="134C7B"/>
          <w:sz w:val="32"/>
          <w:szCs w:val="32"/>
        </w:rPr>
        <w:t xml:space="preserve">QIVM </w:t>
      </w:r>
      <w:r>
        <w:rPr>
          <w:rStyle w:val="CharStyle6"/>
        </w:rPr>
        <w:t>2023003799</w:t>
      </w:r>
      <w:bookmarkEnd w:id="0"/>
    </w:p>
    <w:p>
      <w:pPr>
        <w:pStyle w:val="Style13"/>
        <w:keepNext w:val="0"/>
        <w:keepLines w:val="0"/>
        <w:widowControl w:val="0"/>
        <w:shd w:val="clear" w:color="auto" w:fill="auto"/>
        <w:bidi w:val="0"/>
        <w:spacing w:before="0" w:after="40" w:line="240" w:lineRule="auto"/>
        <w:ind w:right="260" w:firstLine="0"/>
        <w:jc w:val="right"/>
        <w:rPr>
          <w:sz w:val="19"/>
          <w:szCs w:val="19"/>
        </w:rPr>
      </w:pPr>
      <w:r>
        <w:rPr>
          <w:rStyle w:val="CharStyle14"/>
          <w:color w:val="121D2B"/>
        </w:rPr>
        <w:t xml:space="preserve">Smlouva o dodávce elektřiny s převzetím závazku dodat elektřinu do elektrizační soustavy </w:t>
      </w:r>
      <w:r>
        <w:rPr>
          <w:rStyle w:val="CharStyle14"/>
          <w:color w:val="121D2B"/>
          <w:sz w:val="19"/>
          <w:szCs w:val="19"/>
        </w:rPr>
        <w:t>1/5</w:t>
      </w:r>
    </w:p>
    <w:p>
      <w:pPr>
        <w:pStyle w:val="Style17"/>
        <w:keepNext w:val="0"/>
        <w:keepLines w:val="0"/>
        <w:widowControl w:val="0"/>
        <w:shd w:val="clear" w:color="auto" w:fill="auto"/>
        <w:bidi w:val="0"/>
        <w:spacing w:before="0" w:after="0" w:line="240" w:lineRule="auto"/>
        <w:ind w:left="0" w:right="0" w:firstLine="640"/>
        <w:jc w:val="left"/>
      </w:pPr>
      <w:r>
        <w:rPr>
          <w:rStyle w:val="CharStyle18"/>
        </w:rPr>
        <w:t>(dále jen .Smlouva ) uzavřená v souladu se zákonem č 458/2000 Sb. energetický zákon</w:t>
      </w:r>
    </w:p>
    <w:p>
      <w:pPr>
        <w:pStyle w:val="Style17"/>
        <w:keepNext w:val="0"/>
        <w:keepLines w:val="0"/>
        <w:widowControl w:val="0"/>
        <w:shd w:val="clear" w:color="auto" w:fill="auto"/>
        <w:bidi w:val="0"/>
        <w:spacing w:before="0" w:after="0" w:line="240" w:lineRule="auto"/>
        <w:ind w:left="0" w:right="0" w:firstLine="640"/>
        <w:jc w:val="left"/>
      </w:pPr>
      <w:r>
        <w:rPr>
          <w:rStyle w:val="CharStyle18"/>
        </w:rPr>
        <w:t>v platném zněni, zák. č. 89/2012 Sb. občanský zákoník, v platném</w:t>
      </w:r>
    </w:p>
    <w:p>
      <w:pPr>
        <w:pStyle w:val="Style17"/>
        <w:keepNext w:val="0"/>
        <w:keepLines w:val="0"/>
        <w:widowControl w:val="0"/>
        <w:shd w:val="clear" w:color="auto" w:fill="auto"/>
        <w:bidi w:val="0"/>
        <w:spacing w:before="0" w:after="40" w:line="240" w:lineRule="auto"/>
        <w:ind w:left="0" w:right="0" w:firstLine="640"/>
        <w:jc w:val="left"/>
      </w:pPr>
      <w:r>
        <w:rPr>
          <w:rStyle w:val="CharStyle18"/>
        </w:rPr>
        <w:t>zněni a vyhláškou č 408/2015 Sb . o Pravidlech trhu mezi:</w:t>
      </w:r>
    </w:p>
    <w:p>
      <w:pPr>
        <w:widowControl w:val="0"/>
        <w:spacing w:line="1" w:lineRule="exact"/>
      </w:pPr>
      <w:r>
        <mc:AlternateContent>
          <mc:Choice Requires="wps">
            <w:drawing>
              <wp:anchor distT="88900" distB="8890" distL="0" distR="0" simplePos="0" relativeHeight="125829378" behindDoc="0" locked="0" layoutInCell="1" allowOverlap="1">
                <wp:simplePos x="0" y="0"/>
                <wp:positionH relativeFrom="page">
                  <wp:posOffset>3688080</wp:posOffset>
                </wp:positionH>
                <wp:positionV relativeFrom="paragraph">
                  <wp:posOffset>88900</wp:posOffset>
                </wp:positionV>
                <wp:extent cx="664210" cy="658495"/>
                <wp:wrapTopAndBottom/>
                <wp:docPr id="1" name="Shape 1"/>
                <a:graphic xmlns:a="http://schemas.openxmlformats.org/drawingml/2006/main">
                  <a:graphicData uri="http://schemas.microsoft.com/office/word/2010/wordprocessingShape">
                    <wps:wsp>
                      <wps:cNvSpPr txBox="1"/>
                      <wps:spPr>
                        <a:xfrm>
                          <a:ext cx="664210" cy="658495"/>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line="240" w:lineRule="auto"/>
                              <w:ind w:left="0" w:right="0" w:firstLine="0"/>
                              <w:jc w:val="left"/>
                            </w:pPr>
                            <w:r>
                              <w:rPr>
                                <w:rStyle w:val="CharStyle3"/>
                              </w:rPr>
                              <w:t>Kontaktní telefon</w:t>
                            </w:r>
                          </w:p>
                          <w:p>
                            <w:pPr>
                              <w:pStyle w:val="Style2"/>
                              <w:keepNext w:val="0"/>
                              <w:keepLines w:val="0"/>
                              <w:widowControl w:val="0"/>
                              <w:shd w:val="clear" w:color="auto" w:fill="auto"/>
                              <w:bidi w:val="0"/>
                              <w:spacing w:before="0" w:line="240" w:lineRule="auto"/>
                              <w:ind w:left="0" w:right="0" w:firstLine="0"/>
                              <w:jc w:val="left"/>
                            </w:pPr>
                            <w:r>
                              <w:rPr>
                                <w:rStyle w:val="CharStyle3"/>
                              </w:rPr>
                              <w:t>Kontaktní e-mail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0.40000000000003pt;margin-top:7.pt;width:52.300000000000004pt;height:51.850000000000001pt;z-index:-125829375;mso-wrap-distance-left:0;mso-wrap-distance-top:7.pt;mso-wrap-distance-right:0;mso-wrap-distance-bottom:0.70000000000000007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line="240" w:lineRule="auto"/>
                        <w:ind w:left="0" w:right="0" w:firstLine="0"/>
                        <w:jc w:val="left"/>
                      </w:pPr>
                      <w:r>
                        <w:rPr>
                          <w:rStyle w:val="CharStyle3"/>
                        </w:rPr>
                        <w:t>Kontaktní telefon</w:t>
                      </w:r>
                    </w:p>
                    <w:p>
                      <w:pPr>
                        <w:pStyle w:val="Style2"/>
                        <w:keepNext w:val="0"/>
                        <w:keepLines w:val="0"/>
                        <w:widowControl w:val="0"/>
                        <w:shd w:val="clear" w:color="auto" w:fill="auto"/>
                        <w:bidi w:val="0"/>
                        <w:spacing w:before="0" w:line="240" w:lineRule="auto"/>
                        <w:ind w:left="0" w:right="0" w:firstLine="0"/>
                        <w:jc w:val="left"/>
                      </w:pPr>
                      <w:r>
                        <w:rPr>
                          <w:rStyle w:val="CharStyle3"/>
                        </w:rPr>
                        <w:t>Kontaktní e-mail</w:t>
                      </w:r>
                    </w:p>
                  </w:txbxContent>
                </v:textbox>
                <w10:wrap type="topAndBottom" anchorx="page"/>
              </v:shape>
            </w:pict>
          </mc:Fallback>
        </mc:AlternateContent>
      </w:r>
      <w:r>
        <mc:AlternateContent>
          <mc:Choice Requires="wps">
            <w:drawing>
              <wp:anchor distT="363220" distB="0" distL="0" distR="0" simplePos="0" relativeHeight="125829380" behindDoc="0" locked="0" layoutInCell="1" allowOverlap="1">
                <wp:simplePos x="0" y="0"/>
                <wp:positionH relativeFrom="page">
                  <wp:posOffset>4620895</wp:posOffset>
                </wp:positionH>
                <wp:positionV relativeFrom="paragraph">
                  <wp:posOffset>363220</wp:posOffset>
                </wp:positionV>
                <wp:extent cx="621665" cy="393065"/>
                <wp:wrapTopAndBottom/>
                <wp:docPr id="3" name="Shape 3"/>
                <a:graphic xmlns:a="http://schemas.openxmlformats.org/drawingml/2006/main">
                  <a:graphicData uri="http://schemas.microsoft.com/office/word/2010/wordprocessingShape">
                    <wps:wsp>
                      <wps:cNvSpPr txBox="1"/>
                      <wps:spPr>
                        <a:xfrm>
                          <a:ext cx="621665" cy="393065"/>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rStyle w:val="CharStyle3"/>
                                <w:color w:val="000000"/>
                              </w:rPr>
                              <w:t>724993790</w:t>
                            </w:r>
                          </w:p>
                          <w:p>
                            <w:pPr>
                              <w:pStyle w:val="Style2"/>
                              <w:keepNext w:val="0"/>
                              <w:keepLines w:val="0"/>
                              <w:widowControl w:val="0"/>
                              <w:shd w:val="clear" w:color="auto" w:fill="auto"/>
                              <w:bidi w:val="0"/>
                              <w:spacing w:before="0" w:after="0" w:line="240" w:lineRule="auto"/>
                              <w:ind w:left="0" w:right="0" w:firstLine="0"/>
                              <w:jc w:val="left"/>
                            </w:pPr>
                            <w:r>
                              <w:fldChar w:fldCharType="begin"/>
                            </w:r>
                            <w:r>
                              <w:rPr/>
                              <w:instrText> HYPERLINK "mailto:info@zzsjmk.cz" </w:instrText>
                            </w:r>
                            <w:r>
                              <w:fldChar w:fldCharType="separate"/>
                            </w:r>
                            <w:r>
                              <w:rPr>
                                <w:rStyle w:val="CharStyle3"/>
                                <w:color w:val="000000"/>
                                <w:lang w:val="en-US" w:eastAsia="en-US" w:bidi="en-US"/>
                              </w:rPr>
                              <w:t>info@zzsjmk.cz</w:t>
                            </w:r>
                            <w:r>
                              <w:fldChar w:fldCharType="end"/>
                            </w:r>
                          </w:p>
                        </w:txbxContent>
                      </wps:txbx>
                      <wps:bodyPr lIns="0" tIns="0" rIns="0" bIns="0">
                        <a:noAutoFit/>
                      </wps:bodyPr>
                    </wps:wsp>
                  </a:graphicData>
                </a:graphic>
              </wp:anchor>
            </w:drawing>
          </mc:Choice>
          <mc:Fallback>
            <w:pict>
              <v:shape id="_x0000_s1029" type="#_x0000_t202" style="position:absolute;margin-left:363.85000000000002pt;margin-top:28.600000000000001pt;width:48.950000000000003pt;height:30.949999999999999pt;z-index:-125829373;mso-wrap-distance-left:0;mso-wrap-distance-top:28.600000000000001pt;mso-wrap-distance-right:0;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rStyle w:val="CharStyle3"/>
                          <w:color w:val="000000"/>
                        </w:rPr>
                        <w:t>724993790</w:t>
                      </w:r>
                    </w:p>
                    <w:p>
                      <w:pPr>
                        <w:pStyle w:val="Style2"/>
                        <w:keepNext w:val="0"/>
                        <w:keepLines w:val="0"/>
                        <w:widowControl w:val="0"/>
                        <w:shd w:val="clear" w:color="auto" w:fill="auto"/>
                        <w:bidi w:val="0"/>
                        <w:spacing w:before="0" w:after="0" w:line="240" w:lineRule="auto"/>
                        <w:ind w:left="0" w:right="0" w:firstLine="0"/>
                        <w:jc w:val="left"/>
                      </w:pPr>
                      <w:r>
                        <w:fldChar w:fldCharType="begin"/>
                      </w:r>
                      <w:r>
                        <w:rPr/>
                        <w:instrText> HYPERLINK "mailto:info@zzsjmk.cz" </w:instrText>
                      </w:r>
                      <w:r>
                        <w:fldChar w:fldCharType="separate"/>
                      </w:r>
                      <w:r>
                        <w:rPr>
                          <w:rStyle w:val="CharStyle3"/>
                          <w:color w:val="000000"/>
                          <w:lang w:val="en-US" w:eastAsia="en-US" w:bidi="en-US"/>
                        </w:rPr>
                        <w:t>info@zzsjmk.cz</w:t>
                      </w:r>
                      <w:r>
                        <w:fldChar w:fldCharType="end"/>
                      </w:r>
                    </w:p>
                  </w:txbxContent>
                </v:textbox>
                <w10:wrap type="topAndBottom" anchorx="page"/>
              </v:shape>
            </w:pict>
          </mc:Fallback>
        </mc:AlternateContent>
      </w:r>
    </w:p>
    <w:p>
      <w:pPr>
        <w:pStyle w:val="Style19"/>
        <w:keepNext w:val="0"/>
        <w:keepLines w:val="0"/>
        <w:widowControl w:val="0"/>
        <w:shd w:val="clear" w:color="auto" w:fill="auto"/>
        <w:tabs>
          <w:tab w:pos="1426" w:val="left"/>
        </w:tabs>
        <w:bidi w:val="0"/>
        <w:spacing w:before="0" w:after="120" w:line="240" w:lineRule="auto"/>
        <w:ind w:left="0" w:right="0" w:firstLine="0"/>
        <w:jc w:val="center"/>
        <w:rPr>
          <w:sz w:val="15"/>
          <w:szCs w:val="15"/>
        </w:rPr>
      </w:pPr>
      <w:r>
        <w:rPr>
          <w:rStyle w:val="CharStyle20"/>
          <w:smallCaps/>
          <w:color w:val="000000"/>
          <w:sz w:val="11"/>
          <w:szCs w:val="11"/>
        </w:rPr>
        <w:t>číslo smlouvy</w:t>
      </w:r>
      <w:r>
        <w:rPr>
          <w:rStyle w:val="CharStyle20"/>
          <w:color w:val="000000"/>
          <w:sz w:val="15"/>
          <w:szCs w:val="15"/>
        </w:rPr>
        <w:tab/>
      </w:r>
      <w:r>
        <w:rPr>
          <w:rStyle w:val="CharStyle20"/>
          <w:color w:val="121D2B"/>
          <w:sz w:val="15"/>
          <w:szCs w:val="15"/>
        </w:rPr>
        <w:t>VDASM-23-07158</w:t>
      </w:r>
    </w:p>
    <w:p>
      <w:pPr>
        <w:pStyle w:val="Style19"/>
        <w:keepNext w:val="0"/>
        <w:keepLines w:val="0"/>
        <w:widowControl w:val="0"/>
        <w:shd w:val="clear" w:color="auto" w:fill="auto"/>
        <w:bidi w:val="0"/>
        <w:spacing w:before="0" w:after="0" w:line="240" w:lineRule="auto"/>
        <w:ind w:left="0" w:right="0" w:firstLine="0"/>
        <w:jc w:val="left"/>
      </w:pPr>
      <w:r>
        <w:rPr>
          <w:rStyle w:val="CharStyle20"/>
        </w:rPr>
        <w:t>VÝROBCEM ELEKTŘINY (dále jen „Výrobce“ )</w:t>
      </w:r>
    </w:p>
    <w:tbl>
      <w:tblPr>
        <w:tblOverlap w:val="never"/>
        <w:jc w:val="center"/>
        <w:tblLayout w:type="fixed"/>
      </w:tblPr>
      <w:tblGrid>
        <w:gridCol w:w="3365"/>
        <w:gridCol w:w="845"/>
        <w:gridCol w:w="1728"/>
        <w:gridCol w:w="3475"/>
      </w:tblGrid>
      <w:tr>
        <w:trPr>
          <w:trHeight w:val="826" w:hRule="exact"/>
        </w:trPr>
        <w:tc>
          <w:tcPr>
            <w:gridSpan w:val="2"/>
            <w:tcBorders/>
            <w:shd w:val="clear" w:color="auto" w:fill="auto"/>
            <w:vAlign w:val="top"/>
          </w:tcPr>
          <w:p>
            <w:pPr>
              <w:pStyle w:val="Style24"/>
              <w:keepNext w:val="0"/>
              <w:keepLines w:val="0"/>
              <w:widowControl w:val="0"/>
              <w:shd w:val="clear" w:color="auto" w:fill="auto"/>
              <w:bidi w:val="0"/>
              <w:spacing w:before="0" w:after="160" w:line="240" w:lineRule="auto"/>
              <w:ind w:left="0" w:right="0" w:firstLine="0"/>
              <w:jc w:val="left"/>
              <w:rPr>
                <w:sz w:val="13"/>
                <w:szCs w:val="13"/>
              </w:rPr>
            </w:pPr>
            <w:r>
              <w:rPr>
                <w:rStyle w:val="CharStyle25"/>
                <w:sz w:val="13"/>
                <w:szCs w:val="13"/>
              </w:rPr>
              <w:t>OBCHODNÍKEM S ELEKTŘINOU (dále jen „Kupující“)</w:t>
            </w:r>
          </w:p>
          <w:p>
            <w:pPr>
              <w:pStyle w:val="Style24"/>
              <w:keepNext w:val="0"/>
              <w:keepLines w:val="0"/>
              <w:widowControl w:val="0"/>
              <w:shd w:val="clear" w:color="auto" w:fill="auto"/>
              <w:bidi w:val="0"/>
              <w:spacing w:before="0" w:after="60" w:line="240" w:lineRule="auto"/>
              <w:ind w:left="0" w:right="0" w:firstLine="0"/>
              <w:jc w:val="left"/>
              <w:rPr>
                <w:sz w:val="17"/>
                <w:szCs w:val="17"/>
              </w:rPr>
            </w:pPr>
            <w:r>
              <w:rPr>
                <w:rStyle w:val="CharStyle25"/>
                <w:b/>
                <w:bCs/>
                <w:sz w:val="17"/>
                <w:szCs w:val="17"/>
              </w:rPr>
              <w:t>TEDOM energie s.r.o.</w:t>
            </w:r>
          </w:p>
          <w:p>
            <w:pPr>
              <w:pStyle w:val="Style24"/>
              <w:keepNext w:val="0"/>
              <w:keepLines w:val="0"/>
              <w:widowControl w:val="0"/>
              <w:shd w:val="clear" w:color="auto" w:fill="auto"/>
              <w:bidi w:val="0"/>
              <w:spacing w:before="0" w:after="120" w:line="240" w:lineRule="auto"/>
              <w:ind w:left="0" w:right="0" w:firstLine="0"/>
              <w:jc w:val="left"/>
            </w:pPr>
            <w:r>
              <w:rPr>
                <w:rStyle w:val="CharStyle25"/>
              </w:rPr>
              <w:t>Klášterského 731/13</w:t>
            </w:r>
          </w:p>
        </w:tc>
        <w:tc>
          <w:tcPr>
            <w:tcBorders/>
            <w:shd w:val="clear" w:color="auto" w:fill="auto"/>
            <w:vAlign w:val="top"/>
          </w:tcPr>
          <w:p>
            <w:pPr>
              <w:pStyle w:val="Style24"/>
              <w:keepNext w:val="0"/>
              <w:keepLines w:val="0"/>
              <w:widowControl w:val="0"/>
              <w:shd w:val="clear" w:color="auto" w:fill="auto"/>
              <w:bidi w:val="0"/>
              <w:spacing w:before="80" w:after="340" w:line="240" w:lineRule="auto"/>
              <w:ind w:left="0" w:right="0" w:firstLine="460"/>
              <w:jc w:val="left"/>
              <w:rPr>
                <w:sz w:val="13"/>
                <w:szCs w:val="13"/>
              </w:rPr>
            </w:pPr>
            <w:r>
              <w:rPr>
                <w:rStyle w:val="CharStyle25"/>
                <w:color w:val="ABB6BE"/>
                <w:sz w:val="13"/>
                <w:szCs w:val="13"/>
              </w:rPr>
              <w:t>Jméno zákazníka</w:t>
            </w:r>
          </w:p>
          <w:p>
            <w:pPr>
              <w:pStyle w:val="Style24"/>
              <w:keepNext w:val="0"/>
              <w:keepLines w:val="0"/>
              <w:widowControl w:val="0"/>
              <w:shd w:val="clear" w:color="auto" w:fill="auto"/>
              <w:bidi w:val="0"/>
              <w:spacing w:before="0" w:after="0" w:line="240" w:lineRule="auto"/>
              <w:ind w:left="0" w:right="0" w:firstLine="460"/>
              <w:jc w:val="left"/>
              <w:rPr>
                <w:sz w:val="13"/>
                <w:szCs w:val="13"/>
              </w:rPr>
            </w:pPr>
            <w:r>
              <w:rPr>
                <w:rStyle w:val="CharStyle25"/>
                <w:color w:val="ABB6BE"/>
                <w:sz w:val="13"/>
                <w:szCs w:val="13"/>
              </w:rPr>
              <w:t>Se sídlem</w:t>
            </w:r>
          </w:p>
        </w:tc>
        <w:tc>
          <w:tcPr>
            <w:tcBorders/>
            <w:shd w:val="clear" w:color="auto" w:fill="auto"/>
            <w:vAlign w:val="top"/>
          </w:tcPr>
          <w:p>
            <w:pPr>
              <w:pStyle w:val="Style24"/>
              <w:keepNext w:val="0"/>
              <w:keepLines w:val="0"/>
              <w:widowControl w:val="0"/>
              <w:shd w:val="clear" w:color="auto" w:fill="auto"/>
              <w:bidi w:val="0"/>
              <w:spacing w:before="0" w:after="160" w:line="271" w:lineRule="auto"/>
              <w:ind w:left="200" w:right="0" w:firstLine="20"/>
              <w:jc w:val="left"/>
              <w:rPr>
                <w:sz w:val="13"/>
                <w:szCs w:val="13"/>
              </w:rPr>
            </w:pPr>
            <w:r>
              <w:rPr>
                <w:rStyle w:val="CharStyle25"/>
                <w:sz w:val="13"/>
                <w:szCs w:val="13"/>
              </w:rPr>
              <w:t>Zdravotnická záchranná služba Jihomoravského kraje, příspěvková organizace</w:t>
            </w:r>
          </w:p>
          <w:p>
            <w:pPr>
              <w:pStyle w:val="Style24"/>
              <w:keepNext w:val="0"/>
              <w:keepLines w:val="0"/>
              <w:widowControl w:val="0"/>
              <w:shd w:val="clear" w:color="auto" w:fill="auto"/>
              <w:bidi w:val="0"/>
              <w:spacing w:before="0" w:after="0" w:line="271" w:lineRule="auto"/>
              <w:ind w:left="0" w:right="0" w:firstLine="200"/>
              <w:jc w:val="left"/>
              <w:rPr>
                <w:sz w:val="13"/>
                <w:szCs w:val="13"/>
              </w:rPr>
            </w:pPr>
            <w:r>
              <w:rPr>
                <w:rStyle w:val="CharStyle25"/>
                <w:sz w:val="13"/>
                <w:szCs w:val="13"/>
              </w:rPr>
              <w:t>Kamenice 798/1 d, 62500 Brno</w:t>
            </w:r>
          </w:p>
        </w:tc>
      </w:tr>
      <w:tr>
        <w:trPr>
          <w:trHeight w:val="379"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617 00 Brno - Komárov</w:t>
            </w:r>
          </w:p>
        </w:tc>
        <w:tc>
          <w:tcPr>
            <w:tcBorders/>
            <w:shd w:val="clear" w:color="auto" w:fill="auto"/>
            <w:vAlign w:val="top"/>
          </w:tcPr>
          <w:p>
            <w:pPr>
              <w:widowControl w:val="0"/>
              <w:rPr>
                <w:sz w:val="10"/>
                <w:szCs w:val="10"/>
              </w:rPr>
            </w:pPr>
          </w:p>
        </w:tc>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460"/>
              <w:jc w:val="left"/>
              <w:rPr>
                <w:sz w:val="13"/>
                <w:szCs w:val="13"/>
              </w:rPr>
            </w:pPr>
            <w:r>
              <w:rPr>
                <w:rStyle w:val="CharStyle25"/>
                <w:sz w:val="13"/>
                <w:szCs w:val="13"/>
              </w:rPr>
              <w:t>IČ</w:t>
            </w:r>
          </w:p>
        </w:tc>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200"/>
              <w:jc w:val="left"/>
              <w:rPr>
                <w:sz w:val="13"/>
                <w:szCs w:val="13"/>
              </w:rPr>
            </w:pPr>
            <w:r>
              <w:rPr>
                <w:rStyle w:val="CharStyle25"/>
                <w:sz w:val="13"/>
                <w:szCs w:val="13"/>
              </w:rPr>
              <w:t>00346292</w:t>
            </w:r>
          </w:p>
        </w:tc>
      </w:tr>
      <w:tr>
        <w:trPr>
          <w:trHeight w:val="480"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IČ 03328325 DIČ CZ03328325</w:t>
            </w:r>
          </w:p>
        </w:tc>
        <w:tc>
          <w:tcPr>
            <w:tcBorders/>
            <w:shd w:val="clear" w:color="auto" w:fill="auto"/>
            <w:vAlign w:val="top"/>
          </w:tcPr>
          <w:p>
            <w:pPr>
              <w:widowControl w:val="0"/>
              <w:rPr>
                <w:sz w:val="10"/>
                <w:szCs w:val="10"/>
              </w:rPr>
            </w:pPr>
          </w:p>
        </w:tc>
        <w:tc>
          <w:tcPr>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460"/>
              <w:jc w:val="left"/>
              <w:rPr>
                <w:sz w:val="13"/>
                <w:szCs w:val="13"/>
              </w:rPr>
            </w:pPr>
            <w:r>
              <w:rPr>
                <w:rStyle w:val="CharStyle25"/>
                <w:color w:val="ABB6BE"/>
                <w:sz w:val="13"/>
                <w:szCs w:val="13"/>
              </w:rPr>
              <w:t>DIČ</w:t>
            </w:r>
          </w:p>
        </w:tc>
        <w:tc>
          <w:tcPr>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200"/>
              <w:jc w:val="left"/>
              <w:rPr>
                <w:sz w:val="13"/>
                <w:szCs w:val="13"/>
              </w:rPr>
            </w:pPr>
            <w:r>
              <w:rPr>
                <w:rStyle w:val="CharStyle25"/>
                <w:sz w:val="13"/>
                <w:szCs w:val="13"/>
              </w:rPr>
              <w:t>CZ00346292</w:t>
            </w:r>
          </w:p>
        </w:tc>
      </w:tr>
      <w:tr>
        <w:trPr>
          <w:trHeight w:val="557" w:hRule="exact"/>
        </w:trPr>
        <w:tc>
          <w:tcPr>
            <w:tcBorders/>
            <w:shd w:val="clear" w:color="auto" w:fill="auto"/>
            <w:vAlign w:val="center"/>
          </w:tcPr>
          <w:p>
            <w:pPr>
              <w:pStyle w:val="Style24"/>
              <w:keepNext w:val="0"/>
              <w:keepLines w:val="0"/>
              <w:widowControl w:val="0"/>
              <w:shd w:val="clear" w:color="auto" w:fill="auto"/>
              <w:bidi w:val="0"/>
              <w:spacing w:before="0" w:after="0" w:line="290" w:lineRule="auto"/>
              <w:ind w:left="0" w:right="0" w:firstLine="0"/>
              <w:jc w:val="left"/>
              <w:rPr>
                <w:sz w:val="10"/>
                <w:szCs w:val="10"/>
              </w:rPr>
            </w:pPr>
            <w:r>
              <w:rPr>
                <w:rStyle w:val="CharStyle25"/>
                <w:color w:val="ABB6BE"/>
                <w:sz w:val="10"/>
                <w:szCs w:val="10"/>
              </w:rPr>
              <w:t>Zapsaná v obch rejstříku vedenem Městským soudem v Brně odd C v Zastoupená: Anetou Malatovou na zaklade plné moci</w:t>
            </w:r>
          </w:p>
          <w:p>
            <w:pPr>
              <w:pStyle w:val="Style24"/>
              <w:keepNext w:val="0"/>
              <w:keepLines w:val="0"/>
              <w:widowControl w:val="0"/>
              <w:shd w:val="clear" w:color="auto" w:fill="auto"/>
              <w:bidi w:val="0"/>
              <w:spacing w:before="0" w:after="0" w:line="290" w:lineRule="auto"/>
              <w:ind w:left="0" w:right="0" w:firstLine="0"/>
              <w:jc w:val="left"/>
              <w:rPr>
                <w:sz w:val="10"/>
                <w:szCs w:val="10"/>
              </w:rPr>
            </w:pPr>
            <w:r>
              <w:rPr>
                <w:rStyle w:val="CharStyle25"/>
                <w:color w:val="ABB6BE"/>
                <w:sz w:val="10"/>
                <w:szCs w:val="10"/>
              </w:rPr>
              <w:t>Licence č. 242036004, registrovaný účastník trhu č. 33698</w:t>
            </w:r>
          </w:p>
        </w:tc>
        <w:tc>
          <w:tcPr>
            <w:tcBorders/>
            <w:shd w:val="clear" w:color="auto" w:fill="auto"/>
            <w:vAlign w:val="top"/>
          </w:tcPr>
          <w:p>
            <w:pPr>
              <w:pStyle w:val="Style24"/>
              <w:keepNext w:val="0"/>
              <w:keepLines w:val="0"/>
              <w:widowControl w:val="0"/>
              <w:shd w:val="clear" w:color="auto" w:fill="auto"/>
              <w:bidi w:val="0"/>
              <w:spacing w:before="80" w:after="0" w:line="240" w:lineRule="auto"/>
              <w:ind w:left="0" w:right="0" w:firstLine="0"/>
              <w:jc w:val="left"/>
              <w:rPr>
                <w:sz w:val="10"/>
                <w:szCs w:val="10"/>
              </w:rPr>
            </w:pPr>
            <w:r>
              <w:rPr>
                <w:rStyle w:val="CharStyle25"/>
                <w:sz w:val="10"/>
                <w:szCs w:val="10"/>
              </w:rPr>
              <w:t>'I 84461</w:t>
            </w:r>
          </w:p>
        </w:tc>
        <w:tc>
          <w:tcPr>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460"/>
              <w:jc w:val="left"/>
              <w:rPr>
                <w:sz w:val="13"/>
                <w:szCs w:val="13"/>
              </w:rPr>
            </w:pPr>
            <w:r>
              <w:rPr>
                <w:rStyle w:val="CharStyle25"/>
                <w:color w:val="ABB6BE"/>
                <w:sz w:val="13"/>
                <w:szCs w:val="13"/>
              </w:rPr>
              <w:t>Číslo učtu</w:t>
            </w:r>
          </w:p>
        </w:tc>
        <w:tc>
          <w:tcPr>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200"/>
              <w:jc w:val="left"/>
              <w:rPr>
                <w:sz w:val="13"/>
                <w:szCs w:val="13"/>
              </w:rPr>
            </w:pPr>
            <w:r>
              <w:rPr>
                <w:rStyle w:val="CharStyle25"/>
                <w:sz w:val="13"/>
                <w:szCs w:val="13"/>
              </w:rPr>
              <w:t>117203514/0600</w:t>
            </w:r>
          </w:p>
        </w:tc>
      </w:tr>
      <w:tr>
        <w:trPr>
          <w:trHeight w:val="422" w:hRule="exact"/>
        </w:trPr>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color w:val="ABB6BE"/>
                <w:sz w:val="13"/>
                <w:szCs w:val="13"/>
              </w:rPr>
              <w:t>Kontaktní osoba Nikola Mrázková</w:t>
            </w:r>
          </w:p>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color w:val="ABB6BE"/>
                <w:sz w:val="13"/>
                <w:szCs w:val="13"/>
              </w:rPr>
              <w:t>Kontaktní e-mail: vykup@tedomenergie cz</w:t>
            </w:r>
          </w:p>
        </w:tc>
        <w:tc>
          <w:tcPr>
            <w:tcBorders/>
            <w:shd w:val="clear" w:color="auto" w:fill="auto"/>
            <w:vAlign w:val="top"/>
          </w:tcPr>
          <w:p>
            <w:pPr>
              <w:widowControl w:val="0"/>
              <w:rPr>
                <w:sz w:val="10"/>
                <w:szCs w:val="10"/>
              </w:rPr>
            </w:pPr>
          </w:p>
        </w:tc>
        <w:tc>
          <w:tcPr>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460"/>
              <w:jc w:val="left"/>
              <w:rPr>
                <w:sz w:val="13"/>
                <w:szCs w:val="13"/>
              </w:rPr>
            </w:pPr>
            <w:r>
              <w:rPr>
                <w:rStyle w:val="CharStyle25"/>
                <w:sz w:val="13"/>
                <w:szCs w:val="13"/>
              </w:rPr>
              <w:t>Zastoupený</w:t>
            </w:r>
          </w:p>
        </w:tc>
        <w:tc>
          <w:tcPr>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200"/>
              <w:jc w:val="left"/>
              <w:rPr>
                <w:sz w:val="13"/>
                <w:szCs w:val="13"/>
              </w:rPr>
            </w:pPr>
            <w:r>
              <w:rPr>
                <w:rStyle w:val="CharStyle25"/>
                <w:sz w:val="13"/>
                <w:szCs w:val="13"/>
              </w:rPr>
              <w:t>MUDr. Hana Albrechtová , ředitel</w:t>
            </w:r>
          </w:p>
        </w:tc>
      </w:tr>
    </w:tbl>
    <w:p>
      <w:pPr>
        <w:pStyle w:val="Style19"/>
        <w:keepNext w:val="0"/>
        <w:keepLines w:val="0"/>
        <w:widowControl w:val="0"/>
        <w:shd w:val="clear" w:color="auto" w:fill="auto"/>
        <w:bidi w:val="0"/>
        <w:spacing w:before="0" w:after="0" w:line="240" w:lineRule="auto"/>
        <w:ind w:left="4680" w:right="0" w:firstLine="0"/>
        <w:jc w:val="left"/>
      </w:pPr>
      <w:r>
        <w:rPr>
          <w:rStyle w:val="CharStyle20"/>
        </w:rPr>
        <w:t>Licence č.. skupina 11</w:t>
      </w:r>
    </w:p>
    <w:p>
      <w:pPr>
        <w:pStyle w:val="Style17"/>
        <w:keepNext w:val="0"/>
        <w:keepLines w:val="0"/>
        <w:widowControl w:val="0"/>
        <w:shd w:val="clear" w:color="auto" w:fill="auto"/>
        <w:bidi w:val="0"/>
        <w:spacing w:before="0" w:after="280" w:line="240" w:lineRule="auto"/>
        <w:ind w:left="0" w:right="0" w:firstLine="380"/>
        <w:jc w:val="both"/>
      </w:pPr>
      <w:r>
        <w:rPr>
          <w:rStyle w:val="CharStyle18"/>
          <w:color w:val="000000"/>
        </w:rPr>
        <w:t>(společné také jako Smluvní strany j</w:t>
      </w:r>
    </w:p>
    <w:p>
      <w:pPr>
        <w:pStyle w:val="Style32"/>
        <w:keepNext/>
        <w:keepLines/>
        <w:widowControl w:val="0"/>
        <w:numPr>
          <w:ilvl w:val="0"/>
          <w:numId w:val="1"/>
        </w:numPr>
        <w:shd w:val="clear" w:color="auto" w:fill="auto"/>
        <w:tabs>
          <w:tab w:pos="634" w:val="left"/>
        </w:tabs>
        <w:bidi w:val="0"/>
        <w:spacing w:before="0"/>
        <w:ind w:left="0" w:right="0" w:firstLine="380"/>
        <w:jc w:val="both"/>
      </w:pPr>
      <w:bookmarkStart w:id="2" w:name="bookmark2"/>
      <w:r>
        <w:rPr>
          <w:rStyle w:val="CharStyle33"/>
          <w:b/>
          <w:bCs/>
        </w:rPr>
        <w:t>Úvodní ustanoveni a odpovědnost za odchylku</w:t>
      </w:r>
      <w:bookmarkEnd w:id="2"/>
    </w:p>
    <w:p>
      <w:pPr>
        <w:pStyle w:val="Style34"/>
        <w:keepNext w:val="0"/>
        <w:keepLines w:val="0"/>
        <w:widowControl w:val="0"/>
        <w:numPr>
          <w:ilvl w:val="0"/>
          <w:numId w:val="1"/>
        </w:numPr>
        <w:shd w:val="clear" w:color="auto" w:fill="auto"/>
        <w:tabs>
          <w:tab w:pos="660" w:val="left"/>
        </w:tabs>
        <w:bidi w:val="0"/>
        <w:spacing w:before="0"/>
        <w:ind w:left="680" w:right="0" w:hanging="280"/>
        <w:jc w:val="both"/>
      </w:pPr>
      <w:r>
        <w:rPr>
          <w:rStyle w:val="CharStyle35"/>
        </w:rPr>
        <w:t>Smluvní strany prohlašují, že mají veškerá veřejnoprávní a soukromoprávní oprávnění, povolení a souhlasy, které jsou nezbytné k plnění jejích závazků podle této Smlouvy. Smluvní strany přistupují k uzavření této Smlouvy s prohlášením, že jsou v souladu s platnými a účinnými předpisy účastníky trhu s elektřinou s právem regulovaného přístupu k přenosové soustavě, distribučním soustavám, a že budou uskutečňovat obchody s elektřinou v režimu přenesené odpovědnosti za odchylku.</w:t>
      </w:r>
    </w:p>
    <w:p>
      <w:pPr>
        <w:pStyle w:val="Style32"/>
        <w:keepNext/>
        <w:keepLines/>
        <w:widowControl w:val="0"/>
        <w:numPr>
          <w:ilvl w:val="0"/>
          <w:numId w:val="1"/>
        </w:numPr>
        <w:shd w:val="clear" w:color="auto" w:fill="auto"/>
        <w:tabs>
          <w:tab w:pos="634" w:val="left"/>
        </w:tabs>
        <w:bidi w:val="0"/>
        <w:spacing w:before="0"/>
        <w:ind w:left="0" w:right="0" w:firstLine="380"/>
        <w:jc w:val="both"/>
      </w:pPr>
      <w:bookmarkStart w:id="4" w:name="bookmark4"/>
      <w:r>
        <w:rPr>
          <w:rStyle w:val="CharStyle33"/>
          <w:b/>
          <w:bCs/>
        </w:rPr>
        <w:t>Předmět Smlouvy a dodávané množství elektřiny a další závazky Smluvních stran</w:t>
      </w:r>
      <w:bookmarkEnd w:id="4"/>
    </w:p>
    <w:p>
      <w:pPr>
        <w:pStyle w:val="Style34"/>
        <w:keepNext w:val="0"/>
        <w:keepLines w:val="0"/>
        <w:widowControl w:val="0"/>
        <w:numPr>
          <w:ilvl w:val="0"/>
          <w:numId w:val="3"/>
        </w:numPr>
        <w:shd w:val="clear" w:color="auto" w:fill="auto"/>
        <w:tabs>
          <w:tab w:pos="660" w:val="left"/>
        </w:tabs>
        <w:bidi w:val="0"/>
        <w:spacing w:before="0"/>
        <w:ind w:left="680" w:right="0" w:hanging="280"/>
        <w:jc w:val="both"/>
      </w:pPr>
      <w:r>
        <w:rPr>
          <w:rStyle w:val="CharStyle35"/>
        </w:rPr>
        <w:t>Výrobce se zavazuje Kupujícímu dodat veškeré množství jím vyrobené elektřiny, bez elektřiny určené pro vlastní spotřebu a převést na Kupujícího vlastnické právo k takto vyrobené a dodané elektřině. Kupující se zavazuje, že Výrobcem dodané množství elektřiny odebere a zaplatí na ně způsobem podle čl. VI. této Smlouvy kupní cenu určenou podle čl. IV. této Smlouvy.</w:t>
      </w:r>
    </w:p>
    <w:p>
      <w:pPr>
        <w:pStyle w:val="Style34"/>
        <w:keepNext w:val="0"/>
        <w:keepLines w:val="0"/>
        <w:widowControl w:val="0"/>
        <w:numPr>
          <w:ilvl w:val="0"/>
          <w:numId w:val="3"/>
        </w:numPr>
        <w:shd w:val="clear" w:color="auto" w:fill="auto"/>
        <w:tabs>
          <w:tab w:pos="660" w:val="left"/>
        </w:tabs>
        <w:bidi w:val="0"/>
        <w:spacing w:before="0"/>
        <w:ind w:left="680" w:right="0" w:hanging="280"/>
        <w:jc w:val="both"/>
      </w:pPr>
      <w:r>
        <w:rPr>
          <w:rStyle w:val="CharStyle35"/>
        </w:rPr>
        <w:t>Výrobce ke dni podpisu této Smlouvy prohlašuje, že je provozovatelem výrobny elektřiny, specifikované v článku III. této Smlouvy (dále jen „Zdroj“), připojené k distribuční soustavě místně příslušného provozovatele distribuční soustavy (dále jen „Provozovatel DS“) v předávacím místě dále uvedeném v článku III. této Smlouvy. Výrobce je povinen Kupujícímu včas, nejpozději však tři měsíce před takovou změnou, oznámit, že skončí provozováni Zdroje.</w:t>
      </w:r>
    </w:p>
    <w:p>
      <w:pPr>
        <w:pStyle w:val="Style34"/>
        <w:keepNext w:val="0"/>
        <w:keepLines w:val="0"/>
        <w:widowControl w:val="0"/>
        <w:numPr>
          <w:ilvl w:val="0"/>
          <w:numId w:val="3"/>
        </w:numPr>
        <w:shd w:val="clear" w:color="auto" w:fill="auto"/>
        <w:tabs>
          <w:tab w:pos="660" w:val="left"/>
        </w:tabs>
        <w:bidi w:val="0"/>
        <w:spacing w:before="0"/>
        <w:ind w:left="680" w:right="0" w:hanging="280"/>
        <w:jc w:val="both"/>
      </w:pPr>
      <w:r>
        <w:rPr>
          <w:rStyle w:val="CharStyle35"/>
        </w:rPr>
        <w:t>Výrobce se zavazuje dodávat veškerou elektřinu vyrobenou ve Zdroji (s výjimkou elektřiny určené pro vlastní spotřebu) a vyvedenou v předávacích místech podle této Smlouvy výhradně Kupujícímu.</w:t>
      </w:r>
    </w:p>
    <w:p>
      <w:pPr>
        <w:pStyle w:val="Style34"/>
        <w:keepNext w:val="0"/>
        <w:keepLines w:val="0"/>
        <w:widowControl w:val="0"/>
        <w:numPr>
          <w:ilvl w:val="0"/>
          <w:numId w:val="3"/>
        </w:numPr>
        <w:shd w:val="clear" w:color="auto" w:fill="auto"/>
        <w:tabs>
          <w:tab w:pos="635" w:val="left"/>
        </w:tabs>
        <w:bidi w:val="0"/>
        <w:spacing w:before="0" w:after="1620"/>
        <w:ind w:left="0" w:right="0" w:firstLine="380"/>
        <w:jc w:val="both"/>
      </w:pPr>
      <w:r>
        <w:rPr>
          <w:rStyle w:val="CharStyle35"/>
        </w:rPr>
        <w:t>Kupující se zavazuje dodanou elektřinu odebrat a za dodanou elektřinu řádně a včas zaplatit Výrobci kupní cenu určenou podle této Smlouvy.</w:t>
      </w:r>
    </w:p>
    <w:p>
      <w:pPr>
        <w:pStyle w:val="Style17"/>
        <w:keepNext w:val="0"/>
        <w:keepLines w:val="0"/>
        <w:widowControl w:val="0"/>
        <w:shd w:val="clear" w:color="auto" w:fill="auto"/>
        <w:bidi w:val="0"/>
        <w:spacing w:before="0" w:after="200" w:line="240" w:lineRule="auto"/>
        <w:ind w:left="0" w:right="0" w:firstLine="0"/>
        <w:jc w:val="left"/>
      </w:pPr>
      <w:r>
        <w:rPr>
          <w:rStyle w:val="CharStyle18"/>
          <w:color w:val="000000"/>
        </w:rPr>
        <w:t>TEDOM energie s. r o K</w:t>
      </w:r>
    </w:p>
    <w:p>
      <w:pPr>
        <w:pStyle w:val="Style13"/>
        <w:keepNext w:val="0"/>
        <w:keepLines w:val="0"/>
        <w:widowControl w:val="0"/>
        <w:shd w:val="clear" w:color="auto" w:fill="auto"/>
        <w:bidi w:val="0"/>
        <w:spacing w:before="0" w:line="240" w:lineRule="auto"/>
        <w:ind w:left="4920" w:firstLine="0"/>
        <w:jc w:val="right"/>
        <w:rPr>
          <w:sz w:val="19"/>
          <w:szCs w:val="19"/>
        </w:rPr>
      </w:pPr>
      <w:r>
        <w:rPr>
          <w:rStyle w:val="CharStyle14"/>
        </w:rPr>
        <w:t xml:space="preserve">Smlouva o dodávce elektřiny s převzetím závazku dodat elektřinu do elektrizační soustavy </w:t>
      </w:r>
      <w:r>
        <w:rPr>
          <w:rStyle w:val="CharStyle14"/>
          <w:sz w:val="19"/>
          <w:szCs w:val="19"/>
        </w:rPr>
        <w:t>2/5</w:t>
      </w:r>
    </w:p>
    <w:p>
      <w:pPr>
        <w:pStyle w:val="Style34"/>
        <w:keepNext w:val="0"/>
        <w:keepLines w:val="0"/>
        <w:widowControl w:val="0"/>
        <w:numPr>
          <w:ilvl w:val="0"/>
          <w:numId w:val="3"/>
        </w:numPr>
        <w:shd w:val="clear" w:color="auto" w:fill="auto"/>
        <w:tabs>
          <w:tab w:pos="944" w:val="left"/>
        </w:tabs>
        <w:bidi w:val="0"/>
        <w:spacing w:before="0" w:line="374" w:lineRule="auto"/>
        <w:ind w:left="940" w:right="0" w:hanging="260"/>
        <w:jc w:val="both"/>
      </w:pPr>
      <w:r>
        <w:rPr>
          <w:rStyle w:val="CharStyle35"/>
        </w:rPr>
        <w:t>Touto Smlouvou Kupující, jakožto subjekt zúčtování, přebírá závazek Výrobce dodat elektřinu do elektrizační soustavy a zároveň za Výrobce přebírá odpovědnost za odchylku ohledně elektřiny dodané na základě této Smlouvy do elektrizační soustavy.</w:t>
      </w:r>
    </w:p>
    <w:p>
      <w:pPr>
        <w:pStyle w:val="Style34"/>
        <w:keepNext w:val="0"/>
        <w:keepLines w:val="0"/>
        <w:widowControl w:val="0"/>
        <w:numPr>
          <w:ilvl w:val="0"/>
          <w:numId w:val="3"/>
        </w:numPr>
        <w:shd w:val="clear" w:color="auto" w:fill="auto"/>
        <w:tabs>
          <w:tab w:pos="944" w:val="left"/>
        </w:tabs>
        <w:bidi w:val="0"/>
        <w:spacing w:before="0"/>
        <w:ind w:left="940" w:right="0" w:hanging="260"/>
        <w:jc w:val="both"/>
      </w:pPr>
      <w:r>
        <w:rPr>
          <w:rStyle w:val="CharStyle35"/>
        </w:rPr>
        <w:t xml:space="preserve">Pokud roční objem výroby přesáhne 1 200 MWh, je Výrobce povinen neprodleně upřesňovat Kupujícímu předběžné množství elektřiny vyráběné ve Zdroji a dodávané podle této Smlouvy Kupujícímu v případech, kdy je mu známo, že dojde nebo má dojít k omezení výroby ve Zdroji o více než 15 % v období 8 po sobě jdoucích hodin a více, a to odesláním e-mailu na adresu </w:t>
      </w:r>
      <w:r>
        <w:fldChar w:fldCharType="begin"/>
      </w:r>
      <w:r>
        <w:rPr/>
        <w:instrText> HYPERLINK "mailto:vykup@tedomenergie.cz" </w:instrText>
      </w:r>
      <w:r>
        <w:fldChar w:fldCharType="separate"/>
      </w:r>
      <w:r>
        <w:rPr>
          <w:rStyle w:val="CharStyle35"/>
          <w:lang w:val="en-US" w:eastAsia="en-US" w:bidi="en-US"/>
        </w:rPr>
        <w:t>vykup@tedomenergie.cz</w:t>
      </w:r>
      <w:r>
        <w:fldChar w:fldCharType="end"/>
      </w:r>
      <w:r>
        <w:rPr>
          <w:rStyle w:val="CharStyle35"/>
          <w:lang w:val="en-US" w:eastAsia="en-US" w:bidi="en-US"/>
        </w:rPr>
        <w:t xml:space="preserve">. </w:t>
      </w:r>
      <w:r>
        <w:rPr>
          <w:rStyle w:val="CharStyle35"/>
        </w:rPr>
        <w:t>Množství elektřiny skutečně dodané na základě této Smlouvy Výrobcem Kupujícímu Smluvní strany určují postupem podle čl. V. této Smlouvy.</w:t>
      </w:r>
    </w:p>
    <w:p>
      <w:pPr>
        <w:pStyle w:val="Style34"/>
        <w:keepNext w:val="0"/>
        <w:keepLines w:val="0"/>
        <w:widowControl w:val="0"/>
        <w:numPr>
          <w:ilvl w:val="0"/>
          <w:numId w:val="3"/>
        </w:numPr>
        <w:shd w:val="clear" w:color="auto" w:fill="auto"/>
        <w:tabs>
          <w:tab w:pos="944" w:val="left"/>
        </w:tabs>
        <w:bidi w:val="0"/>
        <w:spacing w:before="0"/>
        <w:ind w:left="940" w:right="0" w:hanging="260"/>
        <w:jc w:val="both"/>
      </w:pPr>
      <w:r>
        <w:rPr>
          <w:rStyle w:val="CharStyle35"/>
        </w:rPr>
        <w:t>Výrobce prohlašuje, že jím vyrobená a Kupujícímu na základě této Smlouvy dodaná elektřina je elektřinou ekologicky šetrnou ve smyslu části 47 zák. č. 261/2007 Sb., v platném znění.</w:t>
      </w:r>
    </w:p>
    <w:p>
      <w:pPr>
        <w:pStyle w:val="Style34"/>
        <w:keepNext w:val="0"/>
        <w:keepLines w:val="0"/>
        <w:widowControl w:val="0"/>
        <w:numPr>
          <w:ilvl w:val="0"/>
          <w:numId w:val="3"/>
        </w:numPr>
        <w:shd w:val="clear" w:color="auto" w:fill="auto"/>
        <w:tabs>
          <w:tab w:pos="944" w:val="left"/>
        </w:tabs>
        <w:bidi w:val="0"/>
        <w:spacing w:before="0" w:line="374" w:lineRule="auto"/>
        <w:ind w:left="940" w:right="0" w:hanging="260"/>
        <w:jc w:val="both"/>
      </w:pPr>
      <w:r>
        <w:rPr>
          <w:rStyle w:val="CharStyle35"/>
        </w:rPr>
        <w:t>Výrobce je povinen předat kupujícímu k elektřině dodané podle této smlouvy záruku (certifikát) o původu elektřiny z obnovitelných zdrojů vydávanou společností OTE, a.s., případně kupujícímu poskytnout součinnost potřebnou pro získání této záruky.</w:t>
      </w:r>
    </w:p>
    <w:p>
      <w:pPr>
        <w:pStyle w:val="Style32"/>
        <w:keepNext/>
        <w:keepLines/>
        <w:widowControl w:val="0"/>
        <w:numPr>
          <w:ilvl w:val="0"/>
          <w:numId w:val="5"/>
        </w:numPr>
        <w:shd w:val="clear" w:color="auto" w:fill="auto"/>
        <w:tabs>
          <w:tab w:pos="942" w:val="left"/>
        </w:tabs>
        <w:bidi w:val="0"/>
        <w:spacing w:before="0"/>
        <w:ind w:left="0" w:right="0" w:firstLine="640"/>
        <w:jc w:val="both"/>
      </w:pPr>
      <w:bookmarkStart w:id="6" w:name="bookmark6"/>
      <w:r>
        <w:rPr>
          <w:rStyle w:val="CharStyle33"/>
          <w:b/>
          <w:bCs/>
        </w:rPr>
        <w:t>Specifikace výrobny elektřiny, předávací místo</w:t>
      </w:r>
      <w:bookmarkEnd w:id="6"/>
    </w:p>
    <w:p>
      <w:pPr>
        <w:pStyle w:val="Style19"/>
        <w:keepNext w:val="0"/>
        <w:keepLines w:val="0"/>
        <w:widowControl w:val="0"/>
        <w:shd w:val="clear" w:color="auto" w:fill="auto"/>
        <w:bidi w:val="0"/>
        <w:spacing w:before="0" w:after="0" w:line="240" w:lineRule="auto"/>
        <w:ind w:left="0" w:right="0" w:firstLine="0"/>
        <w:jc w:val="left"/>
        <w:rPr>
          <w:sz w:val="15"/>
          <w:szCs w:val="15"/>
        </w:rPr>
      </w:pPr>
      <w:r>
        <w:rPr>
          <w:rStyle w:val="CharStyle20"/>
          <w:b/>
          <w:bCs/>
          <w:color w:val="121D2B"/>
          <w:sz w:val="15"/>
          <w:szCs w:val="15"/>
        </w:rPr>
        <w:t>Výrobna - předávací místo</w:t>
      </w:r>
    </w:p>
    <w:tbl>
      <w:tblPr>
        <w:tblOverlap w:val="never"/>
        <w:jc w:val="right"/>
        <w:tblLayout w:type="fixed"/>
      </w:tblPr>
      <w:tblGrid>
        <w:gridCol w:w="4507"/>
        <w:gridCol w:w="5146"/>
      </w:tblGrid>
      <w:tr>
        <w:trPr>
          <w:trHeight w:val="288" w:hRule="exact"/>
        </w:trPr>
        <w:tc>
          <w:tcPr>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color w:val="121D2B"/>
                <w:sz w:val="13"/>
                <w:szCs w:val="13"/>
              </w:rPr>
              <w:t>Název</w:t>
            </w:r>
          </w:p>
        </w:tc>
        <w:tc>
          <w:tcPr>
            <w:tcBorders>
              <w:top w:val="single" w:sz="4"/>
              <w:left w:val="single" w:sz="4"/>
              <w:right w:val="single" w:sz="4"/>
            </w:tcBorders>
            <w:shd w:val="clear" w:color="auto" w:fill="auto"/>
            <w:vAlign w:val="top"/>
          </w:tcPr>
          <w:p>
            <w:pPr>
              <w:widowControl w:val="0"/>
              <w:rPr>
                <w:sz w:val="10"/>
                <w:szCs w:val="10"/>
              </w:rPr>
            </w:pPr>
          </w:p>
        </w:tc>
      </w:tr>
      <w:tr>
        <w:trPr>
          <w:trHeight w:val="278" w:hRule="exact"/>
        </w:trPr>
        <w:tc>
          <w:tcPr>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Adresa</w:t>
            </w:r>
          </w:p>
        </w:tc>
        <w:tc>
          <w:tcPr>
            <w:tcBorders>
              <w:top w:val="single" w:sz="4"/>
              <w:left w:val="single" w:sz="4"/>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Boskovice 3339/30, 68001 Boskovice</w:t>
            </w:r>
          </w:p>
        </w:tc>
      </w:tr>
      <w:tr>
        <w:trPr>
          <w:trHeight w:val="269"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Instalovaný výkon</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9,90</w:t>
            </w:r>
          </w:p>
        </w:tc>
      </w:tr>
      <w:tr>
        <w:trPr>
          <w:trHeight w:val="274"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Typ</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Sluneční</w:t>
            </w:r>
          </w:p>
        </w:tc>
      </w:tr>
      <w:tr>
        <w:trPr>
          <w:trHeight w:val="269"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PDS</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EG.D (EON)</w:t>
            </w:r>
          </w:p>
        </w:tc>
      </w:tr>
      <w:tr>
        <w:trPr>
          <w:trHeight w:val="274" w:hRule="exact"/>
        </w:trPr>
        <w:tc>
          <w:tcPr>
            <w:tcBorders>
              <w:top w:val="single" w:sz="4"/>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EAN</w:t>
            </w:r>
          </w:p>
        </w:tc>
        <w:tc>
          <w:tcPr>
            <w:tcBorders>
              <w:top w:val="single" w:sz="4"/>
              <w:left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859182400220450468</w:t>
            </w:r>
          </w:p>
        </w:tc>
      </w:tr>
      <w:tr>
        <w:trPr>
          <w:trHeight w:val="278"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Typ měření</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B (měsíční)</w:t>
            </w:r>
          </w:p>
        </w:tc>
      </w:tr>
      <w:tr>
        <w:trPr>
          <w:trHeight w:val="288"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Odhad roční výroby v MWh</w:t>
            </w:r>
          </w:p>
        </w:tc>
        <w:tc>
          <w:tcPr>
            <w:tcBorders>
              <w:top w:val="single" w:sz="4"/>
              <w:left w:val="single" w:sz="4"/>
              <w:bottom w:val="single" w:sz="4"/>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9,90</w:t>
            </w:r>
          </w:p>
        </w:tc>
      </w:tr>
    </w:tbl>
    <w:p>
      <w:pPr>
        <w:widowControl w:val="0"/>
        <w:spacing w:after="219" w:line="1" w:lineRule="exact"/>
      </w:pPr>
    </w:p>
    <w:p>
      <w:pPr>
        <w:pStyle w:val="Style32"/>
        <w:keepNext/>
        <w:keepLines/>
        <w:widowControl w:val="0"/>
        <w:numPr>
          <w:ilvl w:val="0"/>
          <w:numId w:val="5"/>
        </w:numPr>
        <w:shd w:val="clear" w:color="auto" w:fill="auto"/>
        <w:tabs>
          <w:tab w:pos="943" w:val="left"/>
        </w:tabs>
        <w:bidi w:val="0"/>
        <w:spacing w:before="0" w:after="380" w:line="240" w:lineRule="auto"/>
        <w:ind w:left="0" w:right="0" w:firstLine="640"/>
        <w:jc w:val="both"/>
      </w:pPr>
      <w:bookmarkStart w:id="8" w:name="bookmark8"/>
      <w:r>
        <w:rPr>
          <w:rStyle w:val="CharStyle33"/>
          <w:b/>
          <w:bCs/>
        </w:rPr>
        <w:t>Kupní cena za dodanou elektřinu</w:t>
      </w:r>
      <w:bookmarkEnd w:id="8"/>
    </w:p>
    <w:p>
      <w:pPr>
        <w:pStyle w:val="Style34"/>
        <w:keepNext w:val="0"/>
        <w:keepLines w:val="0"/>
        <w:widowControl w:val="0"/>
        <w:numPr>
          <w:ilvl w:val="0"/>
          <w:numId w:val="7"/>
        </w:numPr>
        <w:shd w:val="clear" w:color="auto" w:fill="auto"/>
        <w:tabs>
          <w:tab w:pos="944" w:val="left"/>
        </w:tabs>
        <w:bidi w:val="0"/>
        <w:spacing w:before="0"/>
        <w:ind w:left="940" w:right="0" w:hanging="260"/>
        <w:jc w:val="both"/>
      </w:pPr>
      <w:r>
        <w:rPr>
          <w:rStyle w:val="CharStyle35"/>
        </w:rPr>
        <w:t>Kupní cena za dodanou elektřinu je sjednána Smluvními stranami pro každou jednotlivou obchodní hodinu na denním trhu s elektřinou, organizovaným OTE, a.s.(spotový trh), takto:</w:t>
      </w:r>
    </w:p>
    <w:p>
      <w:pPr>
        <w:pStyle w:val="Style32"/>
        <w:keepNext/>
        <w:keepLines/>
        <w:widowControl w:val="0"/>
        <w:shd w:val="clear" w:color="auto" w:fill="auto"/>
        <w:bidi w:val="0"/>
        <w:spacing w:before="0" w:after="0"/>
        <w:ind w:left="5420" w:right="0" w:firstLine="0"/>
        <w:jc w:val="both"/>
      </w:pPr>
      <w:bookmarkStart w:id="10" w:name="bookmark10"/>
      <w:r>
        <w:rPr>
          <w:rStyle w:val="CharStyle33"/>
          <w:b/>
          <w:bCs/>
        </w:rPr>
        <w:t>SKC = HC DT OTE - CSV</w:t>
      </w:r>
      <w:bookmarkEnd w:id="10"/>
    </w:p>
    <w:p>
      <w:pPr>
        <w:pStyle w:val="Style34"/>
        <w:keepNext w:val="0"/>
        <w:keepLines w:val="0"/>
        <w:widowControl w:val="0"/>
        <w:shd w:val="clear" w:color="auto" w:fill="auto"/>
        <w:bidi w:val="0"/>
        <w:spacing w:before="0"/>
        <w:ind w:left="1360" w:right="0" w:firstLine="0"/>
        <w:jc w:val="both"/>
      </w:pPr>
      <w:r>
        <w:rPr>
          <w:rStyle w:val="CharStyle35"/>
          <w:b/>
          <w:bCs/>
        </w:rPr>
        <w:t xml:space="preserve">„SKC“ </w:t>
      </w:r>
      <w:r>
        <w:rPr>
          <w:rStyle w:val="CharStyle35"/>
        </w:rPr>
        <w:t>je sjednaná kupní cena za dodanou elektřinu podle této Smlouvy v Kč/MWh,</w:t>
      </w:r>
    </w:p>
    <w:p>
      <w:pPr>
        <w:pStyle w:val="Style34"/>
        <w:keepNext w:val="0"/>
        <w:keepLines w:val="0"/>
        <w:widowControl w:val="0"/>
        <w:shd w:val="clear" w:color="auto" w:fill="auto"/>
        <w:bidi w:val="0"/>
        <w:spacing w:before="0"/>
        <w:ind w:left="1360" w:right="0" w:firstLine="0"/>
        <w:jc w:val="both"/>
      </w:pPr>
      <w:r>
        <w:rPr>
          <w:rStyle w:val="CharStyle35"/>
          <w:b/>
          <w:bCs/>
        </w:rPr>
        <w:t xml:space="preserve">„HC DT OTE“ </w:t>
      </w:r>
      <w:r>
        <w:rPr>
          <w:rStyle w:val="CharStyle35"/>
        </w:rPr>
        <w:t xml:space="preserve">je hodinová cena elektřiny v Kč/MWh na denním trhu organizovaném operátorem trhu OTE, a.s., stanovená pro danou obchodní hodinu a den, v němž se dodávka elektřiny uskutečnila, zveřejněná na webových stránkách OTE, a.s. - viz </w:t>
      </w:r>
      <w:r>
        <w:fldChar w:fldCharType="begin"/>
      </w:r>
      <w:r>
        <w:rPr/>
        <w:instrText> HYPERLINK "https://www.ote-cr.cz/cs/kratkodobe-trhy/elektr%c3%adna/denni-trh" </w:instrText>
      </w:r>
      <w:r>
        <w:fldChar w:fldCharType="separate"/>
      </w:r>
      <w:r>
        <w:rPr>
          <w:rStyle w:val="CharStyle35"/>
          <w:u w:val="single"/>
          <w:lang w:val="en-US" w:eastAsia="en-US" w:bidi="en-US"/>
        </w:rPr>
        <w:t xml:space="preserve">https://www.ote- </w:t>
      </w:r>
      <w:r>
        <w:rPr>
          <w:rStyle w:val="CharStyle35"/>
          <w:u w:val="single"/>
        </w:rPr>
        <w:t>cr.cz/cs/kratkodobe-trhy/elektrína/denni-trh</w:t>
      </w:r>
      <w:r>
        <w:fldChar w:fldCharType="end"/>
      </w:r>
      <w:r>
        <w:rPr>
          <w:rStyle w:val="CharStyle35"/>
        </w:rPr>
        <w:t>.</w:t>
      </w:r>
    </w:p>
    <w:p>
      <w:pPr>
        <w:pStyle w:val="Style34"/>
        <w:keepNext w:val="0"/>
        <w:keepLines w:val="0"/>
        <w:widowControl w:val="0"/>
        <w:shd w:val="clear" w:color="auto" w:fill="auto"/>
        <w:bidi w:val="0"/>
        <w:spacing w:before="0"/>
        <w:ind w:left="1360" w:right="0" w:firstLine="0"/>
        <w:jc w:val="both"/>
      </w:pPr>
      <w:r>
        <w:rPr>
          <w:rStyle w:val="CharStyle35"/>
        </w:rPr>
        <w:t>Pro přepočet hodinové ceny elektřiny z měny EUR (tak, jak je uváděna na stránkách OTE, a.s.) na CZK bude pro účely vyúčtování ceny komodity použit směnný kurz EUR/CZK - kurs střed devizového trhu vyhlašovaný ČNB, platný vždy ke konci každého jednotlivého dne fakturovaného období dodávky elektřiny. Přepočet hodinové ceny elektřiny z měny EUR na CZK, s takto stanoveným směnným kurzem, bude proveden vždy za každý den z fakturovaného období dodávky elektřiny zvlášť.</w:t>
      </w:r>
    </w:p>
    <w:p>
      <w:pPr>
        <w:pStyle w:val="Style34"/>
        <w:keepNext w:val="0"/>
        <w:keepLines w:val="0"/>
        <w:widowControl w:val="0"/>
        <w:shd w:val="clear" w:color="auto" w:fill="auto"/>
        <w:bidi w:val="0"/>
        <w:spacing w:before="0" w:line="348" w:lineRule="auto"/>
        <w:ind w:left="1360" w:right="0" w:firstLine="0"/>
        <w:jc w:val="both"/>
      </w:pPr>
      <w:r>
        <w:rPr>
          <w:rStyle w:val="CharStyle35"/>
        </w:rPr>
        <w:t>Pro případ, že kurz střed devizového trhu nebude v daný den ČNB vyhlášen, bude pro přepočet za daný den použit poslední kurz střed devizového trhu vyhlášený ČNB před dnem dodávky.</w:t>
      </w:r>
    </w:p>
    <w:p>
      <w:pPr>
        <w:pStyle w:val="Style34"/>
        <w:keepNext w:val="0"/>
        <w:keepLines w:val="0"/>
        <w:widowControl w:val="0"/>
        <w:shd w:val="clear" w:color="auto" w:fill="auto"/>
        <w:bidi w:val="0"/>
        <w:spacing w:before="0"/>
        <w:ind w:left="1360" w:right="0" w:firstLine="0"/>
        <w:jc w:val="both"/>
      </w:pPr>
      <w:r>
        <w:rPr>
          <w:rStyle w:val="CharStyle35"/>
          <w:b/>
          <w:bCs/>
        </w:rPr>
        <w:t xml:space="preserve">„CSV“ </w:t>
      </w:r>
      <w:r>
        <w:rPr>
          <w:rStyle w:val="CharStyle35"/>
        </w:rPr>
        <w:t>je cena za službu výkupu v Kč/MWh, její výše je stanovena na 500,00 Kč/MWh</w:t>
      </w:r>
    </w:p>
    <w:p>
      <w:pPr>
        <w:pStyle w:val="Style34"/>
        <w:keepNext w:val="0"/>
        <w:keepLines w:val="0"/>
        <w:widowControl w:val="0"/>
        <w:numPr>
          <w:ilvl w:val="0"/>
          <w:numId w:val="7"/>
        </w:numPr>
        <w:shd w:val="clear" w:color="auto" w:fill="auto"/>
        <w:tabs>
          <w:tab w:pos="944" w:val="left"/>
        </w:tabs>
        <w:bidi w:val="0"/>
        <w:spacing w:before="0" w:after="1480"/>
        <w:ind w:left="940" w:right="0" w:hanging="260"/>
        <w:jc w:val="both"/>
      </w:pPr>
      <w:r>
        <w:rPr>
          <w:rStyle w:val="CharStyle35"/>
        </w:rPr>
        <w:t>Kupní cena v jednotkové výši podle předchozích odstavců tohoto článku je Smluvními stranami stanovována bez DPH. K ceně bude připočtena DPH dle platných právních předpisů.</w:t>
      </w:r>
    </w:p>
    <w:p>
      <w:pPr>
        <w:pStyle w:val="Style17"/>
        <w:keepNext w:val="0"/>
        <w:keepLines w:val="0"/>
        <w:widowControl w:val="0"/>
        <w:shd w:val="clear" w:color="auto" w:fill="auto"/>
        <w:bidi w:val="0"/>
        <w:spacing w:before="0" w:after="100" w:line="240" w:lineRule="auto"/>
        <w:ind w:left="0" w:right="0" w:firstLine="600"/>
        <w:jc w:val="left"/>
      </w:pPr>
      <w:r>
        <w:rPr>
          <w:rStyle w:val="CharStyle18"/>
          <w:color w:val="000000"/>
        </w:rPr>
        <w:t>EDOM</w:t>
      </w:r>
    </w:p>
    <w:p>
      <w:pPr>
        <w:pStyle w:val="Style13"/>
        <w:keepNext w:val="0"/>
        <w:keepLines w:val="0"/>
        <w:widowControl w:val="0"/>
        <w:shd w:val="clear" w:color="auto" w:fill="auto"/>
        <w:bidi w:val="0"/>
        <w:spacing w:before="0" w:line="240" w:lineRule="auto"/>
        <w:ind w:firstLine="0"/>
        <w:jc w:val="right"/>
        <w:rPr>
          <w:sz w:val="19"/>
          <w:szCs w:val="19"/>
        </w:rPr>
      </w:pPr>
      <w:r>
        <w:rPr>
          <w:rStyle w:val="CharStyle14"/>
        </w:rPr>
        <w:t xml:space="preserve">Smlouva o dodávce elektřiny s převzetím závazku dodat elektřinu do elektrizační soustavy </w:t>
      </w:r>
      <w:r>
        <w:rPr>
          <w:rStyle w:val="CharStyle14"/>
          <w:sz w:val="19"/>
          <w:szCs w:val="19"/>
        </w:rPr>
        <w:t>3/5</w:t>
      </w:r>
    </w:p>
    <w:p>
      <w:pPr>
        <w:pStyle w:val="Style34"/>
        <w:keepNext w:val="0"/>
        <w:keepLines w:val="0"/>
        <w:widowControl w:val="0"/>
        <w:shd w:val="clear" w:color="auto" w:fill="auto"/>
        <w:bidi w:val="0"/>
        <w:spacing w:before="0" w:line="372" w:lineRule="auto"/>
        <w:ind w:left="920" w:right="0" w:firstLine="20"/>
        <w:jc w:val="both"/>
      </w:pPr>
      <w:r>
        <w:rPr>
          <w:rStyle w:val="CharStyle35"/>
        </w:rPr>
        <w:t>Výši ceny za službu výkupu (CSV) jsme oprávněni jednostranně měnit, v tom případě vás budeme informovat smluveným způsobem komunikace. Zvýšení ceny za službu výkupu (CSV) zakládá právo zákazníka Smlouvu nejpozději deset dnů přede dnem účinnosti změny vypovědět s účinností k poslednímu dni přede dnem účinnosti změny.</w:t>
      </w:r>
    </w:p>
    <w:p>
      <w:pPr>
        <w:pStyle w:val="Style32"/>
        <w:keepNext/>
        <w:keepLines/>
        <w:widowControl w:val="0"/>
        <w:shd w:val="clear" w:color="auto" w:fill="auto"/>
        <w:bidi w:val="0"/>
        <w:spacing w:before="0"/>
        <w:ind w:left="0" w:right="0" w:firstLine="660"/>
        <w:jc w:val="both"/>
      </w:pPr>
      <w:bookmarkStart w:id="12" w:name="bookmark12"/>
      <w:r>
        <w:rPr>
          <w:rStyle w:val="CharStyle33"/>
          <w:b/>
          <w:bCs/>
        </w:rPr>
        <w:t>V. Měřeni a vyhodnocení množství dodané elektřiny</w:t>
      </w:r>
      <w:bookmarkEnd w:id="12"/>
    </w:p>
    <w:p>
      <w:pPr>
        <w:pStyle w:val="Style34"/>
        <w:keepNext w:val="0"/>
        <w:keepLines w:val="0"/>
        <w:widowControl w:val="0"/>
        <w:numPr>
          <w:ilvl w:val="0"/>
          <w:numId w:val="9"/>
        </w:numPr>
        <w:shd w:val="clear" w:color="auto" w:fill="auto"/>
        <w:tabs>
          <w:tab w:pos="944" w:val="left"/>
        </w:tabs>
        <w:bidi w:val="0"/>
        <w:spacing w:before="0" w:line="374" w:lineRule="auto"/>
        <w:ind w:left="920" w:right="0" w:hanging="240"/>
        <w:jc w:val="both"/>
      </w:pPr>
      <w:r>
        <w:rPr>
          <w:rStyle w:val="CharStyle35"/>
        </w:rPr>
        <w:t>Obchodní měření elektřiny dodávané do předávacího místa ze Zdroje je stanoveno ve smlouvách o připojení uzavřených mezi Výrobcem a příslušným Provozovatelem DS v souladu s ustanoveními obecně závazných předpisů, zejména s ustanovením § 49 zák. č. 458/2000 Sb., a vyhl. č. 359/2020 Sb. Měřící zařízení pro předávací místa dodává, instaluje a udržuje místně příslušný Provozovatel DS.</w:t>
      </w:r>
    </w:p>
    <w:p>
      <w:pPr>
        <w:pStyle w:val="Style34"/>
        <w:keepNext w:val="0"/>
        <w:keepLines w:val="0"/>
        <w:widowControl w:val="0"/>
        <w:numPr>
          <w:ilvl w:val="0"/>
          <w:numId w:val="9"/>
        </w:numPr>
        <w:shd w:val="clear" w:color="auto" w:fill="auto"/>
        <w:tabs>
          <w:tab w:pos="944" w:val="left"/>
        </w:tabs>
        <w:bidi w:val="0"/>
        <w:spacing w:before="0"/>
        <w:ind w:left="920" w:right="0" w:hanging="240"/>
        <w:jc w:val="both"/>
      </w:pPr>
      <w:r>
        <w:rPr>
          <w:rStyle w:val="CharStyle35"/>
        </w:rPr>
        <w:t>Množství elektřiny skutečně dodané Kupujícímu Výrobcem na základě této Smlouvy odpovídá množství elektřiny převzatém do distribuční soustavy PDS, k níž je Zdroj připojen a stanoví se z údajů obchodního měření předávacích míst podle předchozího odstavce tohoto článku. Kupující na základě oprávnění k přístupu zjistí v systému OTE, a.s. skutečně naměřené hodnoty dodávky elektřiny Výrobcem Kupujícímu v zúčtovacím období, které sdělí Výrobci do 5. pracovního dne po skončení příslušného měsíce dodávky elektřiny podle této Smlouvy, pokud o to Výrobce Kupujícího sám požádá. Skutečné množství elektřiny dodané na základě této Smlouvy Smluvní strany vykazují v kWh.</w:t>
      </w:r>
    </w:p>
    <w:p>
      <w:pPr>
        <w:pStyle w:val="Style34"/>
        <w:keepNext w:val="0"/>
        <w:keepLines w:val="0"/>
        <w:widowControl w:val="0"/>
        <w:numPr>
          <w:ilvl w:val="0"/>
          <w:numId w:val="9"/>
        </w:numPr>
        <w:shd w:val="clear" w:color="auto" w:fill="auto"/>
        <w:tabs>
          <w:tab w:pos="944" w:val="left"/>
        </w:tabs>
        <w:bidi w:val="0"/>
        <w:spacing w:before="0"/>
        <w:ind w:left="920" w:right="0" w:hanging="240"/>
        <w:jc w:val="both"/>
      </w:pPr>
      <w:r>
        <w:rPr>
          <w:rStyle w:val="CharStyle35"/>
        </w:rPr>
        <w:t>Skutečně dodané množství elektřiny vyrobené ve Zdroji a dodané v příslušném měsíci Výrobcem Kupujícímu je Smluvními stranami považováno za smluvní množství elektřiny. Pro zamezení pochybností strany shodně uvádějí, že Kupující je povinen odebrat jen takové množství elektřiny, které mu bylo Výrobcem za příslušné období skutečně dodáno, a že hodnoty předběžných měsíčních a ročních množství elektřiny podle čl. II. této Smlouvy nejsou pro Smluvní strany závazné.</w:t>
      </w:r>
    </w:p>
    <w:p>
      <w:pPr>
        <w:pStyle w:val="Style32"/>
        <w:keepNext/>
        <w:keepLines/>
        <w:widowControl w:val="0"/>
        <w:numPr>
          <w:ilvl w:val="0"/>
          <w:numId w:val="11"/>
        </w:numPr>
        <w:shd w:val="clear" w:color="auto" w:fill="auto"/>
        <w:tabs>
          <w:tab w:pos="933" w:val="left"/>
        </w:tabs>
        <w:bidi w:val="0"/>
        <w:spacing w:before="0"/>
        <w:ind w:left="0" w:right="0" w:firstLine="620"/>
        <w:jc w:val="both"/>
      </w:pPr>
      <w:bookmarkStart w:id="14" w:name="bookmark14"/>
      <w:r>
        <w:rPr>
          <w:rStyle w:val="CharStyle33"/>
          <w:b/>
          <w:bCs/>
        </w:rPr>
        <w:t>Fakturační a platební podmínky</w:t>
      </w:r>
      <w:bookmarkEnd w:id="14"/>
    </w:p>
    <w:p>
      <w:pPr>
        <w:pStyle w:val="Style34"/>
        <w:keepNext w:val="0"/>
        <w:keepLines w:val="0"/>
        <w:widowControl w:val="0"/>
        <w:numPr>
          <w:ilvl w:val="0"/>
          <w:numId w:val="13"/>
        </w:numPr>
        <w:shd w:val="clear" w:color="auto" w:fill="auto"/>
        <w:tabs>
          <w:tab w:pos="906" w:val="left"/>
        </w:tabs>
        <w:bidi w:val="0"/>
        <w:spacing w:before="0"/>
        <w:ind w:left="0" w:right="0" w:firstLine="660"/>
        <w:jc w:val="both"/>
      </w:pPr>
      <w:r>
        <w:rPr>
          <w:rStyle w:val="CharStyle35"/>
        </w:rPr>
        <w:t>Smluvní strany si sjednávají fakturační období kalendářního měsíce.</w:t>
      </w:r>
    </w:p>
    <w:p>
      <w:pPr>
        <w:pStyle w:val="Style34"/>
        <w:keepNext w:val="0"/>
        <w:keepLines w:val="0"/>
        <w:widowControl w:val="0"/>
        <w:numPr>
          <w:ilvl w:val="0"/>
          <w:numId w:val="13"/>
        </w:numPr>
        <w:shd w:val="clear" w:color="auto" w:fill="auto"/>
        <w:tabs>
          <w:tab w:pos="944" w:val="left"/>
        </w:tabs>
        <w:bidi w:val="0"/>
        <w:spacing w:before="0"/>
        <w:ind w:left="920" w:right="0" w:hanging="240"/>
        <w:jc w:val="both"/>
      </w:pPr>
      <w:r>
        <w:rPr>
          <w:rStyle w:val="CharStyle35"/>
        </w:rPr>
        <w:t>Po skončení fakturačního období Výrobce vyúčtuje skutečně dodané množství dodané elektřiny podle článku V. odstavce 3. této Smlouvy, a to na základě daňového dokladu, vystaveného v souladu se zákonem č. 235/2004 Sb., o dani z přidané hodnoty (dále jen „Faktura“). Faktura bude vystavena do 20 dnů ode dne uskutečnění zdanitelného plnění. Za řádné vystavení faktury je odpovědný Kupující, který ji ve lhůtě zašle Výrobci a zároveň ji proplatí nejpozději ke dni splatnosti. Za datum uskutečnění zdanitelného plnění se považuje poslední den příslušného fakturačního období, za který je vyúčtování provedeno.</w:t>
      </w:r>
    </w:p>
    <w:p>
      <w:pPr>
        <w:pStyle w:val="Style34"/>
        <w:keepNext w:val="0"/>
        <w:keepLines w:val="0"/>
        <w:widowControl w:val="0"/>
        <w:numPr>
          <w:ilvl w:val="0"/>
          <w:numId w:val="13"/>
        </w:numPr>
        <w:shd w:val="clear" w:color="auto" w:fill="auto"/>
        <w:tabs>
          <w:tab w:pos="944" w:val="left"/>
        </w:tabs>
        <w:bidi w:val="0"/>
        <w:spacing w:before="0"/>
        <w:ind w:left="920" w:right="0" w:hanging="240"/>
        <w:jc w:val="both"/>
      </w:pPr>
      <w:r>
        <w:rPr>
          <w:rStyle w:val="CharStyle35"/>
        </w:rPr>
        <w:t>Splatnost Faktury činí 30 dnů ode dne doručení Faktury Kupujícímu. Připadá-li tento den na den pracovního volna nebo den pracovního klidu, posunuje se splatnost na nejbližší následující pracovní den. Peněžité závazky se považují za zaplacené okamžikem připsání dlužné částky z účtu Kupujícího na účet Výrobce.</w:t>
      </w:r>
    </w:p>
    <w:p>
      <w:pPr>
        <w:pStyle w:val="Style34"/>
        <w:keepNext w:val="0"/>
        <w:keepLines w:val="0"/>
        <w:widowControl w:val="0"/>
        <w:numPr>
          <w:ilvl w:val="0"/>
          <w:numId w:val="13"/>
        </w:numPr>
        <w:shd w:val="clear" w:color="auto" w:fill="auto"/>
        <w:tabs>
          <w:tab w:pos="915" w:val="left"/>
        </w:tabs>
        <w:bidi w:val="0"/>
        <w:spacing w:before="0"/>
        <w:ind w:left="0" w:right="0" w:firstLine="660"/>
        <w:jc w:val="both"/>
      </w:pPr>
      <w:r>
        <w:rPr>
          <w:rStyle w:val="CharStyle35"/>
        </w:rPr>
        <w:t>Pokud je Výrobce registrovaný plátce DPH, bude k ceně uvedené v článku IV. této Smlouvy připočtena DPH v zákonem dané výši.</w:t>
      </w:r>
    </w:p>
    <w:p>
      <w:pPr>
        <w:pStyle w:val="Style34"/>
        <w:keepNext w:val="0"/>
        <w:keepLines w:val="0"/>
        <w:widowControl w:val="0"/>
        <w:numPr>
          <w:ilvl w:val="0"/>
          <w:numId w:val="13"/>
        </w:numPr>
        <w:shd w:val="clear" w:color="auto" w:fill="auto"/>
        <w:tabs>
          <w:tab w:pos="944" w:val="left"/>
        </w:tabs>
        <w:bidi w:val="0"/>
        <w:spacing w:before="0"/>
        <w:ind w:left="920" w:right="0" w:hanging="240"/>
        <w:jc w:val="both"/>
      </w:pPr>
      <w:r>
        <w:rPr>
          <w:rStyle w:val="CharStyle35"/>
        </w:rPr>
        <w:t>Peněžité závazky podle této Smlouvy Smluvní strany platí bezhotovostním převodem dlužných částek z účtu dlužníka na účet věřitele. Faktury Výrobce je Kupující povinen platit na účet, který je uveden v záhlaví této Smlouvy. V případě každé změny bankovního spojení (účtu) Výrobce oproti bankovnímu spojení uvedenému v záhlaví této Smlouvy musí Výrobce tuto změnu bezodkladně písemně oznámit, a to vždy nejpozději 10 dní před koncem fakturačního období.</w:t>
      </w:r>
    </w:p>
    <w:p>
      <w:pPr>
        <w:pStyle w:val="Style34"/>
        <w:keepNext w:val="0"/>
        <w:keepLines w:val="0"/>
        <w:widowControl w:val="0"/>
        <w:numPr>
          <w:ilvl w:val="0"/>
          <w:numId w:val="13"/>
        </w:numPr>
        <w:shd w:val="clear" w:color="auto" w:fill="auto"/>
        <w:tabs>
          <w:tab w:pos="944" w:val="left"/>
        </w:tabs>
        <w:bidi w:val="0"/>
        <w:spacing w:before="0"/>
        <w:ind w:left="920" w:right="0" w:hanging="240"/>
        <w:jc w:val="both"/>
      </w:pPr>
      <w:r>
        <w:rPr>
          <w:rStyle w:val="CharStyle35"/>
        </w:rPr>
        <w:t>V případě prodlení s plněním peněžitého závazku vyplývajícího z této Smlouvy je dlužník povinen za každý den prodlení uhradit věřiteli úrok z prodlení z dlužné částky, jehož výše se stanovuje pravidelně první pracovní den každého kalendářního měsíce roku ve fixní výši (1 M PRIBOR + 2)/360 procenta s platností na období daného kalendářního měsíce s platností na období tohoto měsíce. Pro účely této smlouva je 1M PRIBOR definován jako úroková sazba jednoměsíčního depozita na pražském trhu mezibankovních depozit, jejíž hodnota je stanovena Českou národní bankou.</w:t>
      </w:r>
    </w:p>
    <w:p>
      <w:pPr>
        <w:pStyle w:val="Style32"/>
        <w:keepNext/>
        <w:keepLines/>
        <w:widowControl w:val="0"/>
        <w:numPr>
          <w:ilvl w:val="0"/>
          <w:numId w:val="11"/>
        </w:numPr>
        <w:shd w:val="clear" w:color="auto" w:fill="auto"/>
        <w:tabs>
          <w:tab w:pos="993" w:val="left"/>
        </w:tabs>
        <w:bidi w:val="0"/>
        <w:spacing w:before="0"/>
        <w:ind w:left="0" w:right="0" w:firstLine="560"/>
        <w:jc w:val="both"/>
      </w:pPr>
      <w:bookmarkStart w:id="16" w:name="bookmark16"/>
      <w:r>
        <w:rPr>
          <w:rStyle w:val="CharStyle33"/>
          <w:b/>
          <w:bCs/>
        </w:rPr>
        <w:t>Povinnosti Smluvních stran</w:t>
      </w:r>
      <w:bookmarkEnd w:id="16"/>
    </w:p>
    <w:p>
      <w:pPr>
        <w:pStyle w:val="Style34"/>
        <w:keepNext w:val="0"/>
        <w:keepLines w:val="0"/>
        <w:widowControl w:val="0"/>
        <w:numPr>
          <w:ilvl w:val="0"/>
          <w:numId w:val="15"/>
        </w:numPr>
        <w:shd w:val="clear" w:color="auto" w:fill="auto"/>
        <w:tabs>
          <w:tab w:pos="896" w:val="left"/>
        </w:tabs>
        <w:bidi w:val="0"/>
        <w:spacing w:before="0"/>
        <w:ind w:left="0" w:right="0" w:firstLine="660"/>
        <w:jc w:val="both"/>
      </w:pPr>
      <w:r>
        <w:rPr>
          <w:rStyle w:val="CharStyle35"/>
        </w:rPr>
        <w:t>Výrobce:</w:t>
      </w:r>
    </w:p>
    <w:p>
      <w:pPr>
        <w:pStyle w:val="Style13"/>
        <w:keepNext w:val="0"/>
        <w:keepLines w:val="0"/>
        <w:widowControl w:val="0"/>
        <w:shd w:val="clear" w:color="auto" w:fill="auto"/>
        <w:bidi w:val="0"/>
        <w:spacing w:before="0" w:after="260" w:line="240" w:lineRule="auto"/>
        <w:ind w:left="4880" w:right="320" w:firstLine="0"/>
        <w:jc w:val="right"/>
        <w:rPr>
          <w:sz w:val="19"/>
          <w:szCs w:val="19"/>
        </w:rPr>
      </w:pPr>
      <w:r>
        <w:rPr>
          <w:rStyle w:val="CharStyle14"/>
        </w:rPr>
        <w:t xml:space="preserve">Smlouva o dodávce elektřiny s převzetím závazku dodat elektřinu do elektrizační soustavy </w:t>
      </w:r>
      <w:r>
        <w:rPr>
          <w:rStyle w:val="CharStyle14"/>
          <w:sz w:val="19"/>
          <w:szCs w:val="19"/>
        </w:rPr>
        <w:t>4/5</w:t>
      </w:r>
    </w:p>
    <w:p>
      <w:pPr>
        <w:pStyle w:val="Style34"/>
        <w:keepNext w:val="0"/>
        <w:keepLines w:val="0"/>
        <w:widowControl w:val="0"/>
        <w:numPr>
          <w:ilvl w:val="0"/>
          <w:numId w:val="17"/>
        </w:numPr>
        <w:shd w:val="clear" w:color="auto" w:fill="auto"/>
        <w:tabs>
          <w:tab w:pos="1382" w:val="left"/>
        </w:tabs>
        <w:bidi w:val="0"/>
        <w:spacing w:before="0" w:after="80" w:line="382" w:lineRule="auto"/>
        <w:ind w:left="1320" w:right="0" w:hanging="260"/>
        <w:jc w:val="both"/>
      </w:pPr>
      <w:r>
        <w:rPr>
          <w:rStyle w:val="CharStyle35"/>
        </w:rPr>
        <w:t>je povinen při dodávce elektřiny ve Zdroji do distribuční soustavy Provozovatele DS dodávat v kvalitě a při splněni dalších podmínek v souladu s Pravidly provozováni distribuční soustavy Provozovatele DS,</w:t>
      </w:r>
    </w:p>
    <w:p>
      <w:pPr>
        <w:pStyle w:val="Style34"/>
        <w:keepNext w:val="0"/>
        <w:keepLines w:val="0"/>
        <w:widowControl w:val="0"/>
        <w:numPr>
          <w:ilvl w:val="0"/>
          <w:numId w:val="17"/>
        </w:numPr>
        <w:shd w:val="clear" w:color="auto" w:fill="auto"/>
        <w:tabs>
          <w:tab w:pos="1382" w:val="left"/>
        </w:tabs>
        <w:bidi w:val="0"/>
        <w:spacing w:before="0" w:after="80" w:line="389" w:lineRule="auto"/>
        <w:ind w:left="1320" w:right="0" w:hanging="260"/>
        <w:jc w:val="both"/>
      </w:pPr>
      <w:r>
        <w:rPr>
          <w:rStyle w:val="CharStyle35"/>
        </w:rPr>
        <w:t>Kupujícímu poskytne přístup k jakémukoliv typu průběhového měření výrobny specifikované v čl. III. této Smlouvy, je-li takovéto měření na výrobně instalováno,</w:t>
      </w:r>
    </w:p>
    <w:p>
      <w:pPr>
        <w:pStyle w:val="Style34"/>
        <w:keepNext w:val="0"/>
        <w:keepLines w:val="0"/>
        <w:widowControl w:val="0"/>
        <w:numPr>
          <w:ilvl w:val="0"/>
          <w:numId w:val="17"/>
        </w:numPr>
        <w:shd w:val="clear" w:color="auto" w:fill="auto"/>
        <w:tabs>
          <w:tab w:pos="1368" w:val="left"/>
        </w:tabs>
        <w:bidi w:val="0"/>
        <w:spacing w:before="0" w:after="80" w:line="374" w:lineRule="auto"/>
        <w:ind w:left="1060" w:right="0" w:firstLine="0"/>
        <w:jc w:val="both"/>
      </w:pPr>
      <w:r>
        <w:rPr>
          <w:rStyle w:val="CharStyle35"/>
        </w:rPr>
        <w:t>je povinen umožnit Kupujícímu přistup k obchodnímu měření a umožnit mu provedení kontrolních odečtů elektroměrů,</w:t>
      </w:r>
    </w:p>
    <w:p>
      <w:pPr>
        <w:pStyle w:val="Style34"/>
        <w:keepNext w:val="0"/>
        <w:keepLines w:val="0"/>
        <w:widowControl w:val="0"/>
        <w:numPr>
          <w:ilvl w:val="0"/>
          <w:numId w:val="15"/>
        </w:numPr>
        <w:shd w:val="clear" w:color="auto" w:fill="auto"/>
        <w:tabs>
          <w:tab w:pos="902" w:val="left"/>
        </w:tabs>
        <w:bidi w:val="0"/>
        <w:spacing w:before="0" w:after="80" w:line="374" w:lineRule="auto"/>
        <w:ind w:left="920" w:right="0" w:hanging="280"/>
        <w:jc w:val="both"/>
      </w:pPr>
      <w:r>
        <w:rPr>
          <w:rStyle w:val="CharStyle35"/>
        </w:rPr>
        <w:t>Výrobce v případě vzniku ostrovního provozu Zdroje s částí distribuční soustavy Provozovatele DS je zodpovědný za škody způsobené jak Provozovateli DS, tak dalším subjektům připojeným na distribuční soustavu v ostrovním provozu.</w:t>
      </w:r>
    </w:p>
    <w:p>
      <w:pPr>
        <w:pStyle w:val="Style34"/>
        <w:keepNext w:val="0"/>
        <w:keepLines w:val="0"/>
        <w:widowControl w:val="0"/>
        <w:numPr>
          <w:ilvl w:val="0"/>
          <w:numId w:val="15"/>
        </w:numPr>
        <w:shd w:val="clear" w:color="auto" w:fill="auto"/>
        <w:tabs>
          <w:tab w:pos="902" w:val="left"/>
        </w:tabs>
        <w:bidi w:val="0"/>
        <w:spacing w:before="0" w:after="80" w:line="374" w:lineRule="auto"/>
        <w:ind w:left="920" w:right="0" w:hanging="280"/>
        <w:jc w:val="both"/>
      </w:pPr>
      <w:r>
        <w:rPr>
          <w:rStyle w:val="CharStyle35"/>
        </w:rPr>
        <w:t>Smluvní strany se zavazují učinit takové právní úkony v příslušných termínech dle obecně závazných předpisů vedoucí k převodu odpovědnosti dodat elektřinu do elektrizační soustavy v předacích místech Výrobce podle této Smlouvy na Kupujícího.</w:t>
      </w:r>
    </w:p>
    <w:p>
      <w:pPr>
        <w:pStyle w:val="Style32"/>
        <w:keepNext/>
        <w:keepLines/>
        <w:widowControl w:val="0"/>
        <w:numPr>
          <w:ilvl w:val="0"/>
          <w:numId w:val="19"/>
        </w:numPr>
        <w:shd w:val="clear" w:color="auto" w:fill="auto"/>
        <w:tabs>
          <w:tab w:pos="924" w:val="left"/>
        </w:tabs>
        <w:bidi w:val="0"/>
        <w:spacing w:before="0" w:after="260" w:line="374" w:lineRule="auto"/>
        <w:ind w:left="0" w:right="0" w:firstLine="520"/>
        <w:jc w:val="left"/>
      </w:pPr>
      <w:bookmarkStart w:id="18" w:name="bookmark18"/>
      <w:r>
        <w:rPr>
          <w:rStyle w:val="CharStyle33"/>
          <w:b/>
          <w:bCs/>
        </w:rPr>
        <w:t>Doba trvání Smlouvy</w:t>
      </w:r>
      <w:bookmarkEnd w:id="18"/>
    </w:p>
    <w:p>
      <w:pPr>
        <w:pStyle w:val="Style34"/>
        <w:keepNext w:val="0"/>
        <w:keepLines w:val="0"/>
        <w:widowControl w:val="0"/>
        <w:numPr>
          <w:ilvl w:val="0"/>
          <w:numId w:val="21"/>
        </w:numPr>
        <w:shd w:val="clear" w:color="auto" w:fill="auto"/>
        <w:tabs>
          <w:tab w:pos="902" w:val="left"/>
        </w:tabs>
        <w:bidi w:val="0"/>
        <w:spacing w:before="0" w:after="80" w:line="374" w:lineRule="auto"/>
        <w:ind w:left="920" w:right="0" w:hanging="280"/>
        <w:jc w:val="both"/>
      </w:pPr>
      <w:r>
        <w:rPr>
          <w:rStyle w:val="CharStyle35"/>
        </w:rPr>
        <w:t>Tato Smlouva nabývá platnosti dnem jejího podpisu oběma Smluvními stranami a účinnosti dnem registrací odběrného místa u operátora trhu OTE a.s.</w:t>
      </w:r>
    </w:p>
    <w:p>
      <w:pPr>
        <w:pStyle w:val="Style34"/>
        <w:keepNext w:val="0"/>
        <w:keepLines w:val="0"/>
        <w:widowControl w:val="0"/>
        <w:numPr>
          <w:ilvl w:val="0"/>
          <w:numId w:val="21"/>
        </w:numPr>
        <w:shd w:val="clear" w:color="auto" w:fill="auto"/>
        <w:tabs>
          <w:tab w:pos="902" w:val="left"/>
        </w:tabs>
        <w:bidi w:val="0"/>
        <w:spacing w:before="0" w:after="80" w:line="382" w:lineRule="auto"/>
        <w:ind w:left="920" w:right="0" w:hanging="280"/>
        <w:jc w:val="both"/>
      </w:pPr>
      <w:r>
        <w:rPr>
          <w:rStyle w:val="CharStyle35"/>
        </w:rPr>
        <w:t>Smlouva se mezi Smluvními stranami sjednává na dobu neurčitou s výpovědní lhůtou 3 měsíců. Výpovědní lhůta začíná běžet od prvního dne měsíce následujícího po měsíci, ve kterém je doručena písemná výpověď druhé smluvní straně.</w:t>
      </w:r>
    </w:p>
    <w:p>
      <w:pPr>
        <w:pStyle w:val="Style32"/>
        <w:keepNext/>
        <w:keepLines/>
        <w:widowControl w:val="0"/>
        <w:numPr>
          <w:ilvl w:val="0"/>
          <w:numId w:val="19"/>
        </w:numPr>
        <w:shd w:val="clear" w:color="auto" w:fill="auto"/>
        <w:tabs>
          <w:tab w:pos="1018" w:val="left"/>
        </w:tabs>
        <w:bidi w:val="0"/>
        <w:spacing w:before="0" w:after="260" w:line="374" w:lineRule="auto"/>
        <w:ind w:left="0" w:right="0"/>
        <w:jc w:val="left"/>
      </w:pPr>
      <w:bookmarkStart w:id="20" w:name="bookmark20"/>
      <w:r>
        <w:rPr>
          <w:rStyle w:val="CharStyle33"/>
          <w:b/>
          <w:bCs/>
        </w:rPr>
        <w:t>Ukončení Smlouvy</w:t>
      </w:r>
      <w:bookmarkEnd w:id="20"/>
    </w:p>
    <w:p>
      <w:pPr>
        <w:pStyle w:val="Style34"/>
        <w:keepNext w:val="0"/>
        <w:keepLines w:val="0"/>
        <w:widowControl w:val="0"/>
        <w:numPr>
          <w:ilvl w:val="0"/>
          <w:numId w:val="23"/>
        </w:numPr>
        <w:shd w:val="clear" w:color="auto" w:fill="auto"/>
        <w:tabs>
          <w:tab w:pos="902" w:val="left"/>
        </w:tabs>
        <w:bidi w:val="0"/>
        <w:spacing w:before="0" w:after="80" w:line="372" w:lineRule="auto"/>
        <w:ind w:left="920" w:right="0" w:hanging="280"/>
        <w:jc w:val="both"/>
      </w:pPr>
      <w:r>
        <w:rPr>
          <w:rStyle w:val="CharStyle35"/>
        </w:rPr>
        <w:t>Kupující má právo od této Smlouvy odstoupit s účinností ke dni doručení písemného odstoupení od Smlouvy druhé Smluvní straně, nestanoví-li v odstoupení lhůtu pozdější, v případech podstatného porušení Smlouvy Výrobcem, zejména nastane-li kterákoliv ze skutečností dále uvedených:</w:t>
      </w:r>
    </w:p>
    <w:p>
      <w:pPr>
        <w:pStyle w:val="Style34"/>
        <w:keepNext w:val="0"/>
        <w:keepLines w:val="0"/>
        <w:widowControl w:val="0"/>
        <w:numPr>
          <w:ilvl w:val="0"/>
          <w:numId w:val="25"/>
        </w:numPr>
        <w:shd w:val="clear" w:color="auto" w:fill="auto"/>
        <w:tabs>
          <w:tab w:pos="1378" w:val="left"/>
        </w:tabs>
        <w:bidi w:val="0"/>
        <w:spacing w:before="0" w:after="80"/>
        <w:ind w:left="1320" w:right="0" w:hanging="260"/>
        <w:jc w:val="both"/>
      </w:pPr>
      <w:r>
        <w:rPr>
          <w:rStyle w:val="CharStyle35"/>
        </w:rPr>
        <w:t>dojde-li k odpojení Zdroje od distribuční soustavy v důsledku zániku Smlouvy o připojení Zdroje k distribuční soustavě Provozovatele DS uvedeného v této Smlouvě,</w:t>
      </w:r>
    </w:p>
    <w:p>
      <w:pPr>
        <w:pStyle w:val="Style34"/>
        <w:keepNext w:val="0"/>
        <w:keepLines w:val="0"/>
        <w:widowControl w:val="0"/>
        <w:numPr>
          <w:ilvl w:val="0"/>
          <w:numId w:val="25"/>
        </w:numPr>
        <w:shd w:val="clear" w:color="auto" w:fill="auto"/>
        <w:tabs>
          <w:tab w:pos="1378" w:val="left"/>
        </w:tabs>
        <w:bidi w:val="0"/>
        <w:spacing w:before="0" w:after="80" w:line="374" w:lineRule="auto"/>
        <w:ind w:left="1060" w:right="0" w:firstLine="0"/>
        <w:jc w:val="left"/>
      </w:pPr>
      <w:r>
        <w:rPr>
          <w:rStyle w:val="CharStyle35"/>
        </w:rPr>
        <w:t>dojde-li k trvalému ukončení provozování Zdroje,</w:t>
      </w:r>
    </w:p>
    <w:p>
      <w:pPr>
        <w:pStyle w:val="Style34"/>
        <w:keepNext w:val="0"/>
        <w:keepLines w:val="0"/>
        <w:widowControl w:val="0"/>
        <w:numPr>
          <w:ilvl w:val="0"/>
          <w:numId w:val="25"/>
        </w:numPr>
        <w:shd w:val="clear" w:color="auto" w:fill="auto"/>
        <w:tabs>
          <w:tab w:pos="1373" w:val="left"/>
        </w:tabs>
        <w:bidi w:val="0"/>
        <w:spacing w:before="0" w:after="80" w:line="374" w:lineRule="auto"/>
        <w:ind w:left="1060" w:right="0" w:firstLine="0"/>
        <w:jc w:val="left"/>
      </w:pPr>
      <w:r>
        <w:rPr>
          <w:rStyle w:val="CharStyle35"/>
        </w:rPr>
        <w:t>zanikne-li Výrobci nebo bude-li Výrobci zrušena licence na výrobu elektřiny,</w:t>
      </w:r>
    </w:p>
    <w:p>
      <w:pPr>
        <w:pStyle w:val="Style34"/>
        <w:keepNext w:val="0"/>
        <w:keepLines w:val="0"/>
        <w:widowControl w:val="0"/>
        <w:numPr>
          <w:ilvl w:val="0"/>
          <w:numId w:val="25"/>
        </w:numPr>
        <w:shd w:val="clear" w:color="auto" w:fill="auto"/>
        <w:tabs>
          <w:tab w:pos="1378" w:val="left"/>
        </w:tabs>
        <w:bidi w:val="0"/>
        <w:spacing w:before="0" w:after="80" w:line="374" w:lineRule="auto"/>
        <w:ind w:left="1060" w:right="0" w:firstLine="0"/>
        <w:jc w:val="both"/>
      </w:pPr>
      <w:r>
        <w:rPr>
          <w:rStyle w:val="CharStyle35"/>
        </w:rPr>
        <w:t>ukáže-li se prohlášení Výrobce uvedené v čl. I. odst. 1. této Smlouvy jako nepravdivé,</w:t>
      </w:r>
    </w:p>
    <w:p>
      <w:pPr>
        <w:pStyle w:val="Style34"/>
        <w:keepNext w:val="0"/>
        <w:keepLines w:val="0"/>
        <w:widowControl w:val="0"/>
        <w:numPr>
          <w:ilvl w:val="0"/>
          <w:numId w:val="25"/>
        </w:numPr>
        <w:shd w:val="clear" w:color="auto" w:fill="auto"/>
        <w:tabs>
          <w:tab w:pos="1382" w:val="left"/>
        </w:tabs>
        <w:bidi w:val="0"/>
        <w:spacing w:before="0" w:after="80"/>
        <w:ind w:left="1320" w:right="0" w:hanging="260"/>
        <w:jc w:val="both"/>
      </w:pPr>
      <w:r>
        <w:rPr>
          <w:rStyle w:val="CharStyle35"/>
        </w:rPr>
        <w:t>zvolí-li Výrobce ve smyslu obecně závazných předpisů takový způsob podpory výroby elektřiny ve Zdroji, který vylučuje souběžné trvání této Smlouvy,</w:t>
      </w:r>
    </w:p>
    <w:p>
      <w:pPr>
        <w:pStyle w:val="Style34"/>
        <w:keepNext w:val="0"/>
        <w:keepLines w:val="0"/>
        <w:widowControl w:val="0"/>
        <w:numPr>
          <w:ilvl w:val="0"/>
          <w:numId w:val="25"/>
        </w:numPr>
        <w:shd w:val="clear" w:color="auto" w:fill="auto"/>
        <w:tabs>
          <w:tab w:pos="1334" w:val="left"/>
        </w:tabs>
        <w:bidi w:val="0"/>
        <w:spacing w:before="0" w:after="80" w:line="374" w:lineRule="auto"/>
        <w:ind w:left="1060" w:right="0" w:firstLine="0"/>
        <w:jc w:val="both"/>
      </w:pPr>
      <w:r>
        <w:rPr>
          <w:rStyle w:val="CharStyle35"/>
        </w:rPr>
        <w:t>nesplní-li Výrobce některou ze svých povinnosti podle čl. VII. odstavce 1 této Smlouvy,</w:t>
      </w:r>
    </w:p>
    <w:p>
      <w:pPr>
        <w:pStyle w:val="Style34"/>
        <w:keepNext w:val="0"/>
        <w:keepLines w:val="0"/>
        <w:widowControl w:val="0"/>
        <w:numPr>
          <w:ilvl w:val="0"/>
          <w:numId w:val="25"/>
        </w:numPr>
        <w:shd w:val="clear" w:color="auto" w:fill="auto"/>
        <w:tabs>
          <w:tab w:pos="1378" w:val="left"/>
        </w:tabs>
        <w:bidi w:val="0"/>
        <w:spacing w:before="0" w:after="80" w:line="374" w:lineRule="auto"/>
        <w:ind w:left="1060" w:right="0" w:firstLine="0"/>
        <w:jc w:val="both"/>
      </w:pPr>
      <w:r>
        <w:rPr>
          <w:rStyle w:val="CharStyle35"/>
        </w:rPr>
        <w:t>nesplní-li Výrobce povinnost informovat Kupujícího podle článku II. odst. 7. této Smlouvy,</w:t>
      </w:r>
    </w:p>
    <w:p>
      <w:pPr>
        <w:pStyle w:val="Style34"/>
        <w:keepNext w:val="0"/>
        <w:keepLines w:val="0"/>
        <w:widowControl w:val="0"/>
        <w:numPr>
          <w:ilvl w:val="0"/>
          <w:numId w:val="25"/>
        </w:numPr>
        <w:shd w:val="clear" w:color="auto" w:fill="auto"/>
        <w:tabs>
          <w:tab w:pos="1382" w:val="left"/>
        </w:tabs>
        <w:bidi w:val="0"/>
        <w:spacing w:before="0" w:after="80" w:line="374" w:lineRule="auto"/>
        <w:ind w:left="1060" w:right="0" w:firstLine="0"/>
        <w:jc w:val="both"/>
      </w:pPr>
      <w:r>
        <w:rPr>
          <w:rStyle w:val="CharStyle35"/>
        </w:rPr>
        <w:t>zanikne-li Kupujícímu pro předací místa uvedená v této Smlouvě odpovědnost za odchylku,</w:t>
      </w:r>
    </w:p>
    <w:p>
      <w:pPr>
        <w:pStyle w:val="Style34"/>
        <w:keepNext w:val="0"/>
        <w:keepLines w:val="0"/>
        <w:widowControl w:val="0"/>
        <w:numPr>
          <w:ilvl w:val="0"/>
          <w:numId w:val="25"/>
        </w:numPr>
        <w:shd w:val="clear" w:color="auto" w:fill="auto"/>
        <w:tabs>
          <w:tab w:pos="1332" w:val="left"/>
        </w:tabs>
        <w:bidi w:val="0"/>
        <w:spacing w:before="0" w:after="80"/>
        <w:ind w:left="1320" w:right="0" w:hanging="260"/>
        <w:jc w:val="both"/>
      </w:pPr>
      <w:r>
        <w:rPr>
          <w:rStyle w:val="CharStyle35"/>
        </w:rPr>
        <w:t>nastanou-li na straně Výrobce okolnosti vylučující odpovědnost, které mu brání v plnění povinností podle této Smlouvy a trvají nepřetržitě déle než tři po sobě jdoucí měsíce.</w:t>
      </w:r>
    </w:p>
    <w:p>
      <w:pPr>
        <w:pStyle w:val="Style32"/>
        <w:keepNext/>
        <w:keepLines/>
        <w:widowControl w:val="0"/>
        <w:numPr>
          <w:ilvl w:val="0"/>
          <w:numId w:val="19"/>
        </w:numPr>
        <w:shd w:val="clear" w:color="auto" w:fill="auto"/>
        <w:tabs>
          <w:tab w:pos="1018" w:val="left"/>
        </w:tabs>
        <w:bidi w:val="0"/>
        <w:spacing w:before="0" w:after="260" w:line="374" w:lineRule="auto"/>
        <w:ind w:left="0" w:right="0"/>
        <w:jc w:val="left"/>
      </w:pPr>
      <w:bookmarkStart w:id="22" w:name="bookmark22"/>
      <w:r>
        <w:rPr>
          <w:rStyle w:val="CharStyle33"/>
          <w:b/>
          <w:bCs/>
        </w:rPr>
        <w:t>Postoupení práv a převod povinností</w:t>
      </w:r>
      <w:bookmarkEnd w:id="22"/>
    </w:p>
    <w:p>
      <w:pPr>
        <w:pStyle w:val="Style34"/>
        <w:keepNext w:val="0"/>
        <w:keepLines w:val="0"/>
        <w:widowControl w:val="0"/>
        <w:numPr>
          <w:ilvl w:val="0"/>
          <w:numId w:val="27"/>
        </w:numPr>
        <w:shd w:val="clear" w:color="auto" w:fill="auto"/>
        <w:tabs>
          <w:tab w:pos="902" w:val="left"/>
        </w:tabs>
        <w:bidi w:val="0"/>
        <w:spacing w:before="0" w:after="80"/>
        <w:ind w:left="920" w:right="0" w:hanging="280"/>
        <w:jc w:val="both"/>
      </w:pPr>
      <w:r>
        <w:rPr>
          <w:rStyle w:val="CharStyle35"/>
        </w:rPr>
        <w:t>Žádná ze Smluvních stran nesmi postoupit třetí straně kterékoliv ze svých práv nebo převést své povinnosti podle této Smlouvy bez předchozího písemného souhlasu druhé Smluvní strany.</w:t>
      </w:r>
    </w:p>
    <w:p>
      <w:pPr>
        <w:pStyle w:val="Style34"/>
        <w:keepNext w:val="0"/>
        <w:keepLines w:val="0"/>
        <w:widowControl w:val="0"/>
        <w:numPr>
          <w:ilvl w:val="0"/>
          <w:numId w:val="19"/>
        </w:numPr>
        <w:shd w:val="clear" w:color="auto" w:fill="auto"/>
        <w:tabs>
          <w:tab w:pos="1018" w:val="left"/>
        </w:tabs>
        <w:bidi w:val="0"/>
        <w:spacing w:before="0" w:after="80" w:line="374" w:lineRule="auto"/>
        <w:ind w:left="0" w:right="0" w:firstLine="600"/>
        <w:jc w:val="left"/>
      </w:pPr>
      <w:r>
        <w:rPr>
          <w:rStyle w:val="CharStyle35"/>
          <w:b/>
          <w:bCs/>
        </w:rPr>
        <w:t>Závěrečná ustanovení</w:t>
      </w:r>
      <w:r>
        <w:br w:type="page"/>
      </w:r>
    </w:p>
    <w:p>
      <w:pPr>
        <w:pStyle w:val="Style13"/>
        <w:keepNext w:val="0"/>
        <w:keepLines w:val="0"/>
        <w:widowControl w:val="0"/>
        <w:shd w:val="clear" w:color="auto" w:fill="auto"/>
        <w:bidi w:val="0"/>
        <w:spacing w:before="0" w:line="240" w:lineRule="auto"/>
        <w:ind w:left="4760" w:right="260" w:firstLine="0"/>
        <w:jc w:val="right"/>
        <w:rPr>
          <w:sz w:val="19"/>
          <w:szCs w:val="19"/>
        </w:rPr>
      </w:pPr>
      <w:r>
        <w:rPr>
          <w:rStyle w:val="CharStyle14"/>
        </w:rPr>
        <w:t xml:space="preserve">Smlouva o dodávce elektřiny s převzetím závazku dodat elektřinu do elektrizační soustavy </w:t>
      </w:r>
      <w:r>
        <w:rPr>
          <w:rStyle w:val="CharStyle14"/>
          <w:sz w:val="19"/>
          <w:szCs w:val="19"/>
        </w:rPr>
        <w:t>5/5</w:t>
      </w:r>
    </w:p>
    <w:p>
      <w:pPr>
        <w:pStyle w:val="Style34"/>
        <w:keepNext w:val="0"/>
        <w:keepLines w:val="0"/>
        <w:widowControl w:val="0"/>
        <w:numPr>
          <w:ilvl w:val="0"/>
          <w:numId w:val="29"/>
        </w:numPr>
        <w:shd w:val="clear" w:color="auto" w:fill="auto"/>
        <w:tabs>
          <w:tab w:pos="809" w:val="left"/>
        </w:tabs>
        <w:bidi w:val="0"/>
        <w:spacing w:before="0" w:after="80" w:line="374" w:lineRule="auto"/>
        <w:ind w:left="800" w:right="0" w:hanging="260"/>
        <w:jc w:val="both"/>
      </w:pPr>
      <w:r>
        <w:rPr>
          <w:rStyle w:val="CharStyle35"/>
        </w:rPr>
        <w:t>Tato Smlouva je Smluvními stranami uzavírána s vědomím, že upravuje závazkové vztahy mezi podnikateli a týká se jejich podnikatelské činnosti.,</w:t>
      </w:r>
    </w:p>
    <w:p>
      <w:pPr>
        <w:pStyle w:val="Style34"/>
        <w:keepNext w:val="0"/>
        <w:keepLines w:val="0"/>
        <w:widowControl w:val="0"/>
        <w:numPr>
          <w:ilvl w:val="0"/>
          <w:numId w:val="29"/>
        </w:numPr>
        <w:shd w:val="clear" w:color="auto" w:fill="auto"/>
        <w:tabs>
          <w:tab w:pos="809" w:val="left"/>
        </w:tabs>
        <w:bidi w:val="0"/>
        <w:spacing w:before="0" w:after="80"/>
        <w:ind w:left="800" w:right="0" w:hanging="260"/>
        <w:jc w:val="both"/>
      </w:pPr>
      <w:r>
        <w:rPr>
          <w:rStyle w:val="CharStyle35"/>
        </w:rPr>
        <w:t>Veškeré změny a doplňky této Smlouvy Smluvní strany provádí pouze písemně, vyjma způsobu změny ceny sjednanému v čl. IV. 2. této Smlouvy. K návrhu změny Smlouvy doručeného jednou Smluvní stranou je druhá Smluvní strana povinna se vyjádřit do 30 dnů od jeho doručení. Po dobu trvání lhůty podle předchozí věty je navrhující Smluvní strana takovým návrhem změny Smlouvy vázána.</w:t>
      </w:r>
    </w:p>
    <w:p>
      <w:pPr>
        <w:pStyle w:val="Style34"/>
        <w:keepNext w:val="0"/>
        <w:keepLines w:val="0"/>
        <w:widowControl w:val="0"/>
        <w:numPr>
          <w:ilvl w:val="0"/>
          <w:numId w:val="29"/>
        </w:numPr>
        <w:shd w:val="clear" w:color="auto" w:fill="auto"/>
        <w:tabs>
          <w:tab w:pos="789" w:val="left"/>
        </w:tabs>
        <w:bidi w:val="0"/>
        <w:spacing w:before="0" w:after="80" w:line="372" w:lineRule="auto"/>
        <w:ind w:left="0" w:right="0" w:firstLine="520"/>
        <w:jc w:val="both"/>
      </w:pPr>
      <w:r>
        <w:rPr>
          <w:rStyle w:val="CharStyle35"/>
        </w:rPr>
        <w:t>Práva a povinnosti z této Smlouvy přecházejí na případné právní nástupce obou Smluvních stran.</w:t>
      </w:r>
    </w:p>
    <w:p>
      <w:pPr>
        <w:pStyle w:val="Style34"/>
        <w:keepNext w:val="0"/>
        <w:keepLines w:val="0"/>
        <w:widowControl w:val="0"/>
        <w:numPr>
          <w:ilvl w:val="0"/>
          <w:numId w:val="29"/>
        </w:numPr>
        <w:shd w:val="clear" w:color="auto" w:fill="auto"/>
        <w:tabs>
          <w:tab w:pos="809" w:val="left"/>
        </w:tabs>
        <w:bidi w:val="0"/>
        <w:spacing w:before="0" w:after="80" w:line="372" w:lineRule="auto"/>
        <w:ind w:left="800" w:right="0" w:hanging="260"/>
        <w:jc w:val="both"/>
      </w:pPr>
      <w:r>
        <w:rPr>
          <w:rStyle w:val="CharStyle35"/>
        </w:rPr>
        <w:t>Smlouva stejně jako veškeré informace spojené s jejím sjednáváním a realizaci jsou důvěrné dokumenty a nesmí být jako celek ani v částech poskytnuty třetím osobám bez předchozího souhlasu druhé strany. Toto ustanovení se nevztahuje na případy, kdy je předložení Smlouvy vyžadováno na základě obecně závazného právního předpisu.</w:t>
      </w:r>
    </w:p>
    <w:p>
      <w:pPr>
        <w:pStyle w:val="Style34"/>
        <w:keepNext w:val="0"/>
        <w:keepLines w:val="0"/>
        <w:widowControl w:val="0"/>
        <w:numPr>
          <w:ilvl w:val="0"/>
          <w:numId w:val="29"/>
        </w:numPr>
        <w:shd w:val="clear" w:color="auto" w:fill="auto"/>
        <w:tabs>
          <w:tab w:pos="809" w:val="left"/>
        </w:tabs>
        <w:bidi w:val="0"/>
        <w:spacing w:before="0" w:after="80"/>
        <w:ind w:left="800" w:right="0" w:hanging="260"/>
        <w:jc w:val="both"/>
      </w:pPr>
      <w:r>
        <w:rPr>
          <w:rStyle w:val="CharStyle35"/>
        </w:rPr>
        <w:t>Smluvní strany prohlašují, že v případě, že se v budoucnu některé ustanovení této Smlouvy stane neplatným, není tím dotčena platnost ostatních ustanovení Smlouvy.</w:t>
      </w:r>
    </w:p>
    <w:p>
      <w:pPr>
        <w:pStyle w:val="Style34"/>
        <w:keepNext w:val="0"/>
        <w:keepLines w:val="0"/>
        <w:widowControl w:val="0"/>
        <w:numPr>
          <w:ilvl w:val="0"/>
          <w:numId w:val="29"/>
        </w:numPr>
        <w:shd w:val="clear" w:color="auto" w:fill="auto"/>
        <w:tabs>
          <w:tab w:pos="809" w:val="left"/>
        </w:tabs>
        <w:bidi w:val="0"/>
        <w:spacing w:before="0" w:after="80"/>
        <w:ind w:left="800" w:right="0" w:hanging="260"/>
        <w:jc w:val="both"/>
      </w:pPr>
      <w:r>
        <w:rPr>
          <w:rStyle w:val="CharStyle35"/>
        </w:rPr>
        <w:t>Není-li ve Smlouvě anebo obecně závaznými právními předpisy stanoveno jinak, použijí se na práva a povinnosti Smluvních stran ustanovení § 2079 a násl. zák. č. 89/2012 Sb., s tím, že Výrobce je v postavení prodávajícího.</w:t>
      </w:r>
    </w:p>
    <w:p>
      <w:pPr>
        <w:pStyle w:val="Style34"/>
        <w:keepNext w:val="0"/>
        <w:keepLines w:val="0"/>
        <w:widowControl w:val="0"/>
        <w:numPr>
          <w:ilvl w:val="0"/>
          <w:numId w:val="29"/>
        </w:numPr>
        <w:shd w:val="clear" w:color="auto" w:fill="auto"/>
        <w:tabs>
          <w:tab w:pos="789" w:val="left"/>
        </w:tabs>
        <w:bidi w:val="0"/>
        <w:spacing w:before="0" w:after="80" w:line="372" w:lineRule="auto"/>
        <w:ind w:left="0" w:right="0" w:firstLine="520"/>
        <w:jc w:val="both"/>
      </w:pPr>
      <w:r>
        <w:rPr>
          <w:rStyle w:val="CharStyle35"/>
        </w:rPr>
        <w:t>Tato Smlouva je vyhotovena ve dvou stejnopisech s platností originálu, z nichž každá Smluvní strana obdrží po jednom vyhotovení.</w:t>
      </w:r>
    </w:p>
    <w:p>
      <w:pPr>
        <w:pStyle w:val="Style34"/>
        <w:keepNext w:val="0"/>
        <w:keepLines w:val="0"/>
        <w:widowControl w:val="0"/>
        <w:numPr>
          <w:ilvl w:val="0"/>
          <w:numId w:val="29"/>
        </w:numPr>
        <w:shd w:val="clear" w:color="auto" w:fill="auto"/>
        <w:tabs>
          <w:tab w:pos="809" w:val="left"/>
        </w:tabs>
        <w:bidi w:val="0"/>
        <w:spacing w:before="0" w:after="0" w:line="449" w:lineRule="auto"/>
        <w:ind w:left="800" w:right="0" w:hanging="260"/>
        <w:jc w:val="both"/>
        <w:sectPr>
          <w:headerReference w:type="default" r:id="rId5"/>
          <w:headerReference w:type="first" r:id="rId6"/>
          <w:footnotePr>
            <w:pos w:val="pageBottom"/>
            <w:numFmt w:val="decimal"/>
            <w:numRestart w:val="continuous"/>
          </w:footnotePr>
          <w:pgSz w:w="11900" w:h="16840"/>
          <w:pgMar w:top="857" w:right="697" w:bottom="723" w:left="413" w:header="0" w:footer="3" w:gutter="0"/>
          <w:pgNumType w:start="1"/>
          <w:cols w:space="720"/>
          <w:noEndnote/>
          <w:titlePg/>
          <w:rtlGutter w:val="0"/>
          <w:docGrid w:linePitch="360"/>
        </w:sectPr>
      </w:pPr>
      <w:r>
        <w:rPr>
          <w:rStyle w:val="CharStyle35"/>
        </w:rPr>
        <w:t>Smluvní strany prohlašují, že tuto Smlouvu uzavírají svobodně a vážně. Smluvní strany zároveň prohlašují, že se podrobně seznámily s obsahem této Smlouvy, jejímu obsahu porozuměly a souhlasí s ním, a že si nejsou vědomy žádných překážek, nároků třetích osob ani jiných právních vad, které by bránili jejímu uzavření.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5" w:after="4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45" w:right="0" w:bottom="1733" w:left="0" w:header="0" w:footer="3" w:gutter="0"/>
          <w:cols w:space="720"/>
          <w:noEndnote/>
          <w:rtlGutter w:val="0"/>
          <w:docGrid w:linePitch="360"/>
        </w:sectPr>
      </w:pPr>
    </w:p>
    <w:p>
      <w:pPr>
        <w:pStyle w:val="Style34"/>
        <w:keepNext w:val="0"/>
        <w:keepLines w:val="0"/>
        <w:widowControl w:val="0"/>
        <w:shd w:val="clear" w:color="auto" w:fill="auto"/>
        <w:bidi w:val="0"/>
        <w:spacing w:before="0" w:after="0" w:line="240" w:lineRule="auto"/>
        <w:ind w:left="0" w:right="0" w:firstLine="0"/>
        <w:jc w:val="left"/>
        <w:rPr>
          <w:sz w:val="14"/>
          <w:szCs w:val="14"/>
        </w:rPr>
      </w:pPr>
      <w:r>
        <w:rPr>
          <w:rStyle w:val="CharStyle35"/>
          <w:color w:val="ABB6BE"/>
          <w:sz w:val="11"/>
          <w:szCs w:val="11"/>
        </w:rPr>
        <w:t xml:space="preserve">Místo </w:t>
      </w:r>
      <w:r>
        <w:rPr>
          <w:rStyle w:val="CharStyle35"/>
          <w:color w:val="ABB6BE"/>
          <w:sz w:val="13"/>
          <w:szCs w:val="13"/>
        </w:rPr>
        <w:t xml:space="preserve">a datum podpisu </w:t>
      </w:r>
      <w:r>
        <w:rPr>
          <w:rStyle w:val="CharStyle35"/>
          <w:color w:val="ABB6BE"/>
          <w:sz w:val="14"/>
          <w:szCs w:val="14"/>
        </w:rPr>
        <w:t>Praha, 30.5.2023</w:t>
      </w:r>
    </w:p>
    <w:p>
      <w:pPr>
        <w:pStyle w:val="Style2"/>
        <w:keepNext w:val="0"/>
        <w:keepLines w:val="0"/>
        <w:widowControl w:val="0"/>
        <w:shd w:val="clear" w:color="auto" w:fill="auto"/>
        <w:bidi w:val="0"/>
        <w:spacing w:before="0" w:after="0" w:line="240" w:lineRule="auto"/>
        <w:ind w:left="0" w:right="0" w:firstLine="0"/>
        <w:jc w:val="left"/>
        <w:rPr>
          <w:sz w:val="14"/>
          <w:szCs w:val="14"/>
        </w:rPr>
        <w:sectPr>
          <w:footnotePr>
            <w:pos w:val="pageBottom"/>
            <w:numFmt w:val="decimal"/>
            <w:numRestart w:val="continuous"/>
          </w:footnotePr>
          <w:type w:val="continuous"/>
          <w:pgSz w:w="11900" w:h="16840"/>
          <w:pgMar w:top="1245" w:right="3507" w:bottom="1733" w:left="1083" w:header="0" w:footer="3" w:gutter="0"/>
          <w:cols w:num="2" w:space="2214"/>
          <w:noEndnote/>
          <w:rtlGutter w:val="0"/>
          <w:docGrid w:linePitch="360"/>
        </w:sectPr>
      </w:pPr>
      <w:r>
        <w:rPr>
          <w:rStyle w:val="CharStyle3"/>
          <w:color w:val="578BAC"/>
          <w:u w:val="single"/>
        </w:rPr>
        <w:t>Místo a datum podpisu</w:t>
      </w:r>
      <w:r>
        <w:rPr>
          <w:rStyle w:val="CharStyle3"/>
          <w:color w:val="578BAC"/>
        </w:rPr>
        <w:t xml:space="preserve"> </w:t>
      </w:r>
      <w:r>
        <w:rPr>
          <w:rStyle w:val="CharStyle3"/>
          <w:color w:val="000000"/>
          <w:sz w:val="14"/>
          <w:szCs w:val="14"/>
        </w:rPr>
        <w:t>Brno,30.5.2023</w:t>
      </w: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45" w:right="0" w:bottom="1733" w:left="0" w:header="0" w:footer="3" w:gutter="0"/>
          <w:cols w:space="720"/>
          <w:noEndnote/>
          <w:rtlGutter w:val="0"/>
          <w:docGrid w:linePitch="360"/>
        </w:sectPr>
      </w:pPr>
    </w:p>
    <w:p>
      <w:pPr>
        <w:widowControl w:val="0"/>
        <w:spacing w:line="1" w:lineRule="exact"/>
      </w:pPr>
      <w:r>
        <w:drawing>
          <wp:anchor distT="0" distB="0" distL="0" distR="0" simplePos="0" relativeHeight="125829382" behindDoc="0" locked="0" layoutInCell="1" allowOverlap="1">
            <wp:simplePos x="0" y="0"/>
            <wp:positionH relativeFrom="page">
              <wp:posOffset>1176655</wp:posOffset>
            </wp:positionH>
            <wp:positionV relativeFrom="paragraph">
              <wp:posOffset>39370</wp:posOffset>
            </wp:positionV>
            <wp:extent cx="1395730" cy="725170"/>
            <wp:wrapSquare wrapText="bothSides"/>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1395730" cy="725170"/>
                    </a:xfrm>
                    <a:prstGeom prst="rect"/>
                  </pic:spPr>
                </pic:pic>
              </a:graphicData>
            </a:graphic>
          </wp:anchor>
        </w:drawing>
      </w:r>
    </w:p>
    <w:p>
      <w:pPr>
        <w:pStyle w:val="Style2"/>
        <w:keepNext w:val="0"/>
        <w:keepLines w:val="0"/>
        <w:widowControl w:val="0"/>
        <w:shd w:val="clear" w:color="auto" w:fill="auto"/>
        <w:bidi w:val="0"/>
        <w:spacing w:before="0" w:after="600" w:line="240" w:lineRule="auto"/>
        <w:ind w:left="0" w:right="0" w:firstLine="0"/>
        <w:jc w:val="center"/>
        <w:rPr>
          <w:sz w:val="14"/>
          <w:szCs w:val="14"/>
        </w:rPr>
      </w:pPr>
      <w:r>
        <w:rPr>
          <w:rStyle w:val="CharStyle3"/>
          <w:color w:val="000000"/>
          <w:spacing w:val="1"/>
          <w:sz w:val="14"/>
          <w:szCs w:val="14"/>
          <w:shd w:val="clear" w:color="auto" w:fill="000000"/>
        </w:rPr>
        <w:t>...</w:t>
      </w:r>
      <w:r>
        <w:rPr>
          <w:rStyle w:val="CharStyle3"/>
          <w:color w:val="000000"/>
          <w:spacing w:val="2"/>
          <w:sz w:val="14"/>
          <w:szCs w:val="14"/>
          <w:shd w:val="clear" w:color="auto" w:fill="000000"/>
        </w:rPr>
        <w:t>......</w:t>
      </w:r>
      <w:r>
        <w:rPr>
          <w:rStyle w:val="CharStyle3"/>
          <w:color w:val="000000"/>
          <w:sz w:val="14"/>
          <w:szCs w:val="14"/>
          <w:shd w:val="clear" w:color="auto" w:fill="000000"/>
        </w:rPr>
        <w:t>​...................</w:t>
      </w:r>
    </w:p>
    <w:p>
      <w:pPr>
        <w:pStyle w:val="Style50"/>
        <w:keepNext w:val="0"/>
        <w:keepLines w:val="0"/>
        <w:widowControl w:val="0"/>
        <w:shd w:val="clear" w:color="auto" w:fill="auto"/>
        <w:bidi w:val="0"/>
        <w:spacing w:before="0" w:after="0" w:line="240" w:lineRule="auto"/>
        <w:ind w:right="0" w:firstLine="0"/>
        <w:jc w:val="left"/>
      </w:pPr>
      <w:r>
        <w:rPr>
          <w:rStyle w:val="CharStyle51"/>
          <w:shd w:val="clear" w:color="auto" w:fill="000000"/>
        </w:rPr>
        <w:t>..</w:t>
      </w:r>
      <w:r>
        <w:rPr>
          <w:rStyle w:val="CharStyle51"/>
          <w:spacing w:val="1"/>
          <w:shd w:val="clear" w:color="auto" w:fill="000000"/>
        </w:rPr>
        <w:t>....</w:t>
      </w:r>
      <w:r>
        <w:rPr>
          <w:rStyle w:val="CharStyle51"/>
          <w:shd w:val="clear" w:color="auto" w:fill="000000"/>
        </w:rPr>
        <w:t>​</w:t>
      </w:r>
      <w:r>
        <w:rPr>
          <w:rStyle w:val="CharStyle51"/>
          <w:spacing w:val="2"/>
          <w:shd w:val="clear" w:color="auto" w:fill="000000"/>
        </w:rPr>
        <w:t>....</w:t>
      </w:r>
      <w:r>
        <w:rPr>
          <w:rStyle w:val="CharStyle51"/>
          <w:spacing w:val="3"/>
          <w:shd w:val="clear" w:color="auto" w:fill="000000"/>
        </w:rPr>
        <w:t>.....</w:t>
      </w:r>
      <w:r>
        <w:rPr>
          <w:rStyle w:val="CharStyle51"/>
          <w:spacing w:val="1"/>
          <w:shd w:val="clear" w:color="auto" w:fill="000000"/>
        </w:rPr>
        <w:t>..</w:t>
      </w:r>
      <w:r>
        <w:rPr>
          <w:rStyle w:val="CharStyle51"/>
          <w:spacing w:val="2"/>
          <w:shd w:val="clear" w:color="auto" w:fill="000000"/>
        </w:rPr>
        <w:t>....</w:t>
      </w:r>
      <w:r>
        <w:rPr>
          <w:rStyle w:val="CharStyle51"/>
          <w:shd w:val="clear" w:color="auto" w:fill="000000"/>
        </w:rPr>
        <w:t>​.....</w:t>
      </w:r>
      <w:r>
        <w:rPr>
          <w:rStyle w:val="CharStyle51"/>
          <w:spacing w:val="1"/>
          <w:shd w:val="clear" w:color="auto" w:fill="000000"/>
        </w:rPr>
        <w:t>...</w:t>
      </w:r>
      <w:r>
        <w:rPr>
          <w:rStyle w:val="CharStyle51"/>
          <w:shd w:val="clear" w:color="auto" w:fill="000000"/>
        </w:rPr>
        <w:t>​</w:t>
      </w:r>
      <w:r>
        <w:rPr>
          <w:rStyle w:val="CharStyle51"/>
          <w:spacing w:val="2"/>
          <w:shd w:val="clear" w:color="auto" w:fill="000000"/>
        </w:rPr>
        <w:t>...</w:t>
      </w:r>
      <w:r>
        <w:rPr>
          <w:rStyle w:val="CharStyle51"/>
          <w:spacing w:val="3"/>
          <w:shd w:val="clear" w:color="auto" w:fill="000000"/>
        </w:rPr>
        <w:t>.....</w:t>
      </w:r>
      <w:r>
        <w:rPr>
          <w:rStyle w:val="CharStyle51"/>
          <w:shd w:val="clear" w:color="auto" w:fill="000000"/>
        </w:rPr>
        <w:t>​....</w:t>
      </w:r>
      <w:r>
        <w:rPr>
          <w:rStyle w:val="CharStyle51"/>
          <w:spacing w:val="1"/>
          <w:shd w:val="clear" w:color="auto" w:fill="000000"/>
        </w:rPr>
        <w:t>.....</w:t>
      </w:r>
      <w:r>
        <w:rPr>
          <w:rStyle w:val="CharStyle51"/>
          <w:shd w:val="clear" w:color="auto" w:fill="000000"/>
        </w:rPr>
        <w:t>​...................</w:t>
      </w:r>
      <w:r>
        <w:rPr>
          <w:rStyle w:val="CharStyle51"/>
          <w:spacing w:val="1"/>
          <w:shd w:val="clear" w:color="auto" w:fill="000000"/>
        </w:rPr>
        <w:t>..</w:t>
      </w:r>
    </w:p>
    <w:p>
      <w:pPr>
        <w:pStyle w:val="Style17"/>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1245" w:right="737" w:bottom="1733" w:left="4097" w:header="0" w:footer="3" w:gutter="0"/>
          <w:cols w:space="720"/>
          <w:noEndnote/>
          <w:rtlGutter w:val="0"/>
          <w:docGrid w:linePitch="360"/>
        </w:sectPr>
      </w:pPr>
      <w:r>
        <w:rPr>
          <w:rStyle w:val="CharStyle18"/>
          <w:b/>
          <w:bCs/>
          <w:color w:val="000000"/>
          <w:sz w:val="12"/>
          <w:szCs w:val="12"/>
          <w:shd w:val="clear" w:color="auto" w:fill="000000"/>
          <w:lang w:val="en-US" w:eastAsia="en-US" w:bidi="en-US"/>
        </w:rPr>
        <w:t>...</w:t>
      </w:r>
      <w:r>
        <w:rPr>
          <w:rStyle w:val="CharStyle18"/>
          <w:b/>
          <w:bCs/>
          <w:color w:val="000000"/>
          <w:spacing w:val="1"/>
          <w:sz w:val="12"/>
          <w:szCs w:val="12"/>
          <w:shd w:val="clear" w:color="auto" w:fill="000000"/>
          <w:lang w:val="en-US" w:eastAsia="en-US" w:bidi="en-US"/>
        </w:rPr>
        <w:t>..................</w:t>
      </w:r>
      <w:r>
        <w:rPr>
          <w:rStyle w:val="CharStyle18"/>
          <w:b/>
          <w:bCs/>
          <w:color w:val="000000"/>
          <w:sz w:val="12"/>
          <w:szCs w:val="12"/>
          <w:shd w:val="clear" w:color="auto" w:fill="000000"/>
          <w:lang w:val="en-US" w:eastAsia="en-US" w:bidi="en-US"/>
        </w:rPr>
        <w:t>.</w:t>
      </w:r>
      <w:r>
        <w:rPr>
          <w:rStyle w:val="CharStyle18"/>
          <w:color w:val="000000"/>
          <w:shd w:val="clear" w:color="auto" w:fill="000000"/>
        </w:rPr>
        <w:t>​..............................</w:t>
      </w:r>
    </w:p>
    <w:p>
      <w:pPr>
        <w:widowControl w:val="0"/>
        <w:spacing w:before="53" w:after="5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45" w:right="0" w:bottom="1245"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rStyle w:val="CharStyle3"/>
          <w:color w:val="000000"/>
        </w:rPr>
        <w:t>KupujiciAneta Malatová, na základě plné</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245" w:right="3344" w:bottom="1245" w:left="1083" w:header="0" w:footer="3" w:gutter="0"/>
          <w:cols w:num="2" w:space="2242"/>
          <w:noEndnote/>
          <w:rtlGutter w:val="0"/>
          <w:docGrid w:linePitch="360"/>
        </w:sectPr>
      </w:pPr>
      <w:r>
        <w:rPr>
          <w:rStyle w:val="CharStyle3"/>
        </w:rPr>
        <w:t>VýrobceMUDr. Hana Albrechtová . ředitel</w:t>
      </w:r>
    </w:p>
    <w:sectPr>
      <w:footnotePr>
        <w:pos w:val="pageBottom"/>
        <w:numFmt w:val="decimal"/>
        <w:numRestart w:val="continuous"/>
      </w:footnotePr>
      <w:type w:val="continuous"/>
      <w:pgSz w:w="11900" w:h="16840"/>
      <w:pgMar w:top="1245" w:right="3344" w:bottom="1245" w:left="1083" w:header="0" w:footer="3" w:gutter="0"/>
      <w:cols w:num="2" w:space="2242"/>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4992370</wp:posOffset>
              </wp:positionH>
              <wp:positionV relativeFrom="page">
                <wp:posOffset>370840</wp:posOffset>
              </wp:positionV>
              <wp:extent cx="2185670" cy="69850"/>
              <wp:wrapNone/>
              <wp:docPr id="5" name="Shape 5"/>
              <a:graphic xmlns:a="http://schemas.openxmlformats.org/drawingml/2006/main">
                <a:graphicData uri="http://schemas.microsoft.com/office/word/2010/wordprocessingShape">
                  <wps:wsp>
                    <wps:cNvSpPr txBox="1"/>
                    <wps:spPr>
                      <a:xfrm>
                        <a:ext cx="2185670" cy="698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1"/>
                              <w:szCs w:val="11"/>
                            </w:rPr>
                          </w:pPr>
                          <w:r>
                            <w:rPr>
                              <w:rStyle w:val="CharStyle10"/>
                              <w:rFonts w:ascii="Arial" w:eastAsia="Arial" w:hAnsi="Arial" w:cs="Arial"/>
                              <w:sz w:val="11"/>
                              <w:szCs w:val="11"/>
                            </w:rPr>
                            <w:t xml:space="preserve">Envelope ID </w:t>
                          </w:r>
                          <w:r>
                            <w:rPr>
                              <w:rStyle w:val="CharStyle10"/>
                              <w:rFonts w:ascii="Arial" w:eastAsia="Arial" w:hAnsi="Arial" w:cs="Arial"/>
                              <w:sz w:val="11"/>
                              <w:szCs w:val="11"/>
                              <w:lang w:val="en-US" w:eastAsia="en-US" w:bidi="en-US"/>
                            </w:rPr>
                            <w:t xml:space="preserve">DigiSign.org: </w:t>
                          </w:r>
                          <w:r>
                            <w:rPr>
                              <w:rStyle w:val="CharStyle10"/>
                              <w:rFonts w:ascii="Arial" w:eastAsia="Arial" w:hAnsi="Arial" w:cs="Arial"/>
                              <w:sz w:val="11"/>
                              <w:szCs w:val="11"/>
                            </w:rPr>
                            <w:t>01886c71-fd9f-73e5-9a9a-7cee0b6cd34c</w:t>
                          </w:r>
                        </w:p>
                      </w:txbxContent>
                    </wps:txbx>
                    <wps:bodyPr wrap="none" lIns="0" tIns="0" rIns="0" bIns="0">
                      <a:spAutoFit/>
                    </wps:bodyPr>
                  </wps:wsp>
                </a:graphicData>
              </a:graphic>
            </wp:anchor>
          </w:drawing>
        </mc:Choice>
        <mc:Fallback>
          <w:pict>
            <v:shape id="_x0000_s1031" type="#_x0000_t202" style="position:absolute;margin-left:393.10000000000002pt;margin-top:29.199999999999999pt;width:172.09999999999999pt;height:5.5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1"/>
                        <w:szCs w:val="11"/>
                      </w:rPr>
                    </w:pPr>
                    <w:r>
                      <w:rPr>
                        <w:rStyle w:val="CharStyle10"/>
                        <w:rFonts w:ascii="Arial" w:eastAsia="Arial" w:hAnsi="Arial" w:cs="Arial"/>
                        <w:sz w:val="11"/>
                        <w:szCs w:val="11"/>
                      </w:rPr>
                      <w:t xml:space="preserve">Envelope ID </w:t>
                    </w:r>
                    <w:r>
                      <w:rPr>
                        <w:rStyle w:val="CharStyle10"/>
                        <w:rFonts w:ascii="Arial" w:eastAsia="Arial" w:hAnsi="Arial" w:cs="Arial"/>
                        <w:sz w:val="11"/>
                        <w:szCs w:val="11"/>
                        <w:lang w:val="en-US" w:eastAsia="en-US" w:bidi="en-US"/>
                      </w:rPr>
                      <w:t xml:space="preserve">DigiSign.org: </w:t>
                    </w:r>
                    <w:r>
                      <w:rPr>
                        <w:rStyle w:val="CharStyle10"/>
                        <w:rFonts w:ascii="Arial" w:eastAsia="Arial" w:hAnsi="Arial" w:cs="Arial"/>
                        <w:sz w:val="11"/>
                        <w:szCs w:val="11"/>
                      </w:rPr>
                      <w:t>01886c71-fd9f-73e5-9a9a-7cee0b6cd34c</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2152015</wp:posOffset>
              </wp:positionH>
              <wp:positionV relativeFrom="page">
                <wp:posOffset>145415</wp:posOffset>
              </wp:positionV>
              <wp:extent cx="5026025" cy="335280"/>
              <wp:wrapNone/>
              <wp:docPr id="7" name="Shape 7"/>
              <a:graphic xmlns:a="http://schemas.openxmlformats.org/drawingml/2006/main">
                <a:graphicData uri="http://schemas.microsoft.com/office/word/2010/wordprocessingShape">
                  <wps:wsp>
                    <wps:cNvSpPr txBox="1"/>
                    <wps:spPr>
                      <a:xfrm>
                        <a:ext cx="5026025" cy="335280"/>
                      </a:xfrm>
                      <a:prstGeom prst="rect"/>
                      <a:noFill/>
                    </wps:spPr>
                    <wps:txbx>
                      <w:txbxContent>
                        <w:p>
                          <w:pPr>
                            <w:pStyle w:val="Style9"/>
                            <w:keepNext w:val="0"/>
                            <w:keepLines w:val="0"/>
                            <w:widowControl w:val="0"/>
                            <w:shd w:val="clear" w:color="auto" w:fill="auto"/>
                            <w:tabs>
                              <w:tab w:pos="7915" w:val="right"/>
                            </w:tabs>
                            <w:bidi w:val="0"/>
                            <w:spacing w:before="0" w:after="0" w:line="240" w:lineRule="auto"/>
                            <w:ind w:left="0" w:right="0" w:firstLine="0"/>
                            <w:jc w:val="left"/>
                            <w:rPr>
                              <w:sz w:val="11"/>
                              <w:szCs w:val="11"/>
                            </w:rPr>
                          </w:pPr>
                          <w:r>
                            <w:rPr>
                              <w:rStyle w:val="CharStyle10"/>
                              <w:rFonts w:ascii="Arial" w:eastAsia="Arial" w:hAnsi="Arial" w:cs="Arial"/>
                              <w:sz w:val="64"/>
                              <w:szCs w:val="64"/>
                            </w:rPr>
                            <w:t>Illllllllllllllllllllllll</w:t>
                            <w:tab/>
                          </w:r>
                          <w:r>
                            <w:rPr>
                              <w:rStyle w:val="CharStyle10"/>
                              <w:rFonts w:ascii="Arial" w:eastAsia="Arial" w:hAnsi="Arial" w:cs="Arial"/>
                              <w:sz w:val="11"/>
                              <w:szCs w:val="11"/>
                            </w:rPr>
                            <w:t xml:space="preserve">Envelope ID </w:t>
                          </w:r>
                          <w:r>
                            <w:rPr>
                              <w:rStyle w:val="CharStyle10"/>
                              <w:rFonts w:ascii="Arial" w:eastAsia="Arial" w:hAnsi="Arial" w:cs="Arial"/>
                              <w:sz w:val="11"/>
                              <w:szCs w:val="11"/>
                              <w:lang w:val="en-US" w:eastAsia="en-US" w:bidi="en-US"/>
                            </w:rPr>
                            <w:t xml:space="preserve">DigiSign.org: </w:t>
                          </w:r>
                          <w:r>
                            <w:rPr>
                              <w:rStyle w:val="CharStyle10"/>
                              <w:rFonts w:ascii="Arial" w:eastAsia="Arial" w:hAnsi="Arial" w:cs="Arial"/>
                              <w:sz w:val="11"/>
                              <w:szCs w:val="11"/>
                            </w:rPr>
                            <w:t>01886c71-fd9f-73e5-9a9a-7cee0b6cd34c</w:t>
                          </w:r>
                        </w:p>
                      </w:txbxContent>
                    </wps:txbx>
                    <wps:bodyPr lIns="0" tIns="0" rIns="0" bIns="0">
                      <a:spAutoFit/>
                    </wps:bodyPr>
                  </wps:wsp>
                </a:graphicData>
              </a:graphic>
            </wp:anchor>
          </w:drawing>
        </mc:Choice>
        <mc:Fallback>
          <w:pict>
            <v:shape id="_x0000_s1033" type="#_x0000_t202" style="position:absolute;margin-left:169.45000000000002pt;margin-top:11.450000000000001pt;width:395.75pt;height:26.400000000000002pt;z-index:-18874406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7915" w:val="right"/>
                      </w:tabs>
                      <w:bidi w:val="0"/>
                      <w:spacing w:before="0" w:after="0" w:line="240" w:lineRule="auto"/>
                      <w:ind w:left="0" w:right="0" w:firstLine="0"/>
                      <w:jc w:val="left"/>
                      <w:rPr>
                        <w:sz w:val="11"/>
                        <w:szCs w:val="11"/>
                      </w:rPr>
                    </w:pPr>
                    <w:r>
                      <w:rPr>
                        <w:rStyle w:val="CharStyle10"/>
                        <w:rFonts w:ascii="Arial" w:eastAsia="Arial" w:hAnsi="Arial" w:cs="Arial"/>
                        <w:sz w:val="64"/>
                        <w:szCs w:val="64"/>
                      </w:rPr>
                      <w:t>Illllllllllllllllllllllll</w:t>
                      <w:tab/>
                    </w:r>
                    <w:r>
                      <w:rPr>
                        <w:rStyle w:val="CharStyle10"/>
                        <w:rFonts w:ascii="Arial" w:eastAsia="Arial" w:hAnsi="Arial" w:cs="Arial"/>
                        <w:sz w:val="11"/>
                        <w:szCs w:val="11"/>
                      </w:rPr>
                      <w:t xml:space="preserve">Envelope ID </w:t>
                    </w:r>
                    <w:r>
                      <w:rPr>
                        <w:rStyle w:val="CharStyle10"/>
                        <w:rFonts w:ascii="Arial" w:eastAsia="Arial" w:hAnsi="Arial" w:cs="Arial"/>
                        <w:sz w:val="11"/>
                        <w:szCs w:val="11"/>
                        <w:lang w:val="en-US" w:eastAsia="en-US" w:bidi="en-US"/>
                      </w:rPr>
                      <w:t xml:space="preserve">DigiSign.org: </w:t>
                    </w:r>
                    <w:r>
                      <w:rPr>
                        <w:rStyle w:val="CharStyle10"/>
                        <w:rFonts w:ascii="Arial" w:eastAsia="Arial" w:hAnsi="Arial" w:cs="Arial"/>
                        <w:sz w:val="11"/>
                        <w:szCs w:val="11"/>
                      </w:rPr>
                      <w:t>01886c71-fd9f-73e5-9a9a-7cee0b6cd34c</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0">
    <w:multiLevelType w:val="multilevel"/>
    <w:lvl w:ilvl="0">
      <w:start w:val="6"/>
      <w:numFmt w:val="upperRoman"/>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8">
    <w:multiLevelType w:val="multilevel"/>
    <w:lvl w:ilvl="0">
      <w:start w:val="8"/>
      <w:numFmt w:val="upperRoman"/>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Arial" w:eastAsia="Arial" w:hAnsi="Arial" w:cs="Arial"/>
      <w:b w:val="0"/>
      <w:bCs w:val="0"/>
      <w:i w:val="0"/>
      <w:iCs w:val="0"/>
      <w:smallCaps w:val="0"/>
      <w:strike w:val="0"/>
      <w:color w:val="ABB6BE"/>
      <w:sz w:val="13"/>
      <w:szCs w:val="13"/>
      <w:u w:val="none"/>
    </w:rPr>
  </w:style>
  <w:style w:type="character" w:customStyle="1" w:styleId="CharStyle6">
    <w:name w:val="Nadpis #1_"/>
    <w:basedOn w:val="DefaultParagraphFont"/>
    <w:link w:val="Style5"/>
    <w:rPr>
      <w:rFonts w:ascii="Arial" w:eastAsia="Arial" w:hAnsi="Arial" w:cs="Arial"/>
      <w:b w:val="0"/>
      <w:bCs w:val="0"/>
      <w:i w:val="0"/>
      <w:iCs w:val="0"/>
      <w:smallCaps w:val="0"/>
      <w:strike w:val="0"/>
      <w:sz w:val="15"/>
      <w:szCs w:val="15"/>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Základní text (2)_"/>
    <w:basedOn w:val="DefaultParagraphFont"/>
    <w:link w:val="Style13"/>
    <w:rPr>
      <w:rFonts w:ascii="Arial" w:eastAsia="Arial" w:hAnsi="Arial" w:cs="Arial"/>
      <w:b w:val="0"/>
      <w:bCs w:val="0"/>
      <w:i w:val="0"/>
      <w:iCs w:val="0"/>
      <w:smallCaps w:val="0"/>
      <w:strike w:val="0"/>
      <w:sz w:val="34"/>
      <w:szCs w:val="34"/>
      <w:u w:val="none"/>
    </w:rPr>
  </w:style>
  <w:style w:type="character" w:customStyle="1" w:styleId="CharStyle18">
    <w:name w:val="Základní text (3)_"/>
    <w:basedOn w:val="DefaultParagraphFont"/>
    <w:link w:val="Style17"/>
    <w:rPr>
      <w:rFonts w:ascii="Arial" w:eastAsia="Arial" w:hAnsi="Arial" w:cs="Arial"/>
      <w:b w:val="0"/>
      <w:bCs w:val="0"/>
      <w:i w:val="0"/>
      <w:iCs w:val="0"/>
      <w:smallCaps w:val="0"/>
      <w:strike w:val="0"/>
      <w:color w:val="ABB6BE"/>
      <w:sz w:val="10"/>
      <w:szCs w:val="10"/>
      <w:u w:val="none"/>
    </w:rPr>
  </w:style>
  <w:style w:type="character" w:customStyle="1" w:styleId="CharStyle20">
    <w:name w:val="Titulek tabulky_"/>
    <w:basedOn w:val="DefaultParagraphFont"/>
    <w:link w:val="Style19"/>
    <w:rPr>
      <w:rFonts w:ascii="Arial" w:eastAsia="Arial" w:hAnsi="Arial" w:cs="Arial"/>
      <w:b w:val="0"/>
      <w:bCs w:val="0"/>
      <w:i w:val="0"/>
      <w:iCs w:val="0"/>
      <w:smallCaps w:val="0"/>
      <w:strike w:val="0"/>
      <w:color w:val="ABB6BE"/>
      <w:sz w:val="13"/>
      <w:szCs w:val="13"/>
      <w:u w:val="none"/>
    </w:rPr>
  </w:style>
  <w:style w:type="character" w:customStyle="1" w:styleId="CharStyle25">
    <w:name w:val="Jiné_"/>
    <w:basedOn w:val="DefaultParagraphFont"/>
    <w:link w:val="Style24"/>
    <w:rPr>
      <w:rFonts w:ascii="Arial" w:eastAsia="Arial" w:hAnsi="Arial" w:cs="Arial"/>
      <w:b w:val="0"/>
      <w:bCs w:val="0"/>
      <w:i w:val="0"/>
      <w:iCs w:val="0"/>
      <w:smallCaps w:val="0"/>
      <w:strike w:val="0"/>
      <w:sz w:val="15"/>
      <w:szCs w:val="15"/>
      <w:u w:val="none"/>
    </w:rPr>
  </w:style>
  <w:style w:type="character" w:customStyle="1" w:styleId="CharStyle33">
    <w:name w:val="Nadpis #2_"/>
    <w:basedOn w:val="DefaultParagraphFont"/>
    <w:link w:val="Style32"/>
    <w:rPr>
      <w:rFonts w:ascii="Arial" w:eastAsia="Arial" w:hAnsi="Arial" w:cs="Arial"/>
      <w:b/>
      <w:bCs/>
      <w:i w:val="0"/>
      <w:iCs w:val="0"/>
      <w:smallCaps w:val="0"/>
      <w:strike w:val="0"/>
      <w:sz w:val="15"/>
      <w:szCs w:val="15"/>
      <w:u w:val="none"/>
    </w:rPr>
  </w:style>
  <w:style w:type="character" w:customStyle="1" w:styleId="CharStyle35">
    <w:name w:val="Základní text_"/>
    <w:basedOn w:val="DefaultParagraphFont"/>
    <w:link w:val="Style34"/>
    <w:rPr>
      <w:rFonts w:ascii="Arial" w:eastAsia="Arial" w:hAnsi="Arial" w:cs="Arial"/>
      <w:b w:val="0"/>
      <w:bCs w:val="0"/>
      <w:i w:val="0"/>
      <w:iCs w:val="0"/>
      <w:smallCaps w:val="0"/>
      <w:strike w:val="0"/>
      <w:sz w:val="15"/>
      <w:szCs w:val="15"/>
      <w:u w:val="none"/>
    </w:rPr>
  </w:style>
  <w:style w:type="character" w:customStyle="1" w:styleId="CharStyle51">
    <w:name w:val="Základní text (5)_"/>
    <w:basedOn w:val="DefaultParagraphFont"/>
    <w:link w:val="Style50"/>
    <w:rPr>
      <w:rFonts w:ascii="Times New Roman" w:eastAsia="Times New Roman" w:hAnsi="Times New Roman" w:cs="Times New Roman"/>
      <w:b w:val="0"/>
      <w:bCs w:val="0"/>
      <w:i w:val="0"/>
      <w:iCs w:val="0"/>
      <w:smallCaps w:val="0"/>
      <w:strike w:val="0"/>
      <w:sz w:val="11"/>
      <w:szCs w:val="11"/>
      <w:u w:val="none"/>
    </w:rPr>
  </w:style>
  <w:style w:type="paragraph" w:customStyle="1" w:styleId="Style2">
    <w:name w:val="Základní text (4)"/>
    <w:basedOn w:val="Normal"/>
    <w:link w:val="CharStyle3"/>
    <w:pPr>
      <w:widowControl w:val="0"/>
      <w:shd w:val="clear" w:color="auto" w:fill="auto"/>
      <w:spacing w:after="280"/>
    </w:pPr>
    <w:rPr>
      <w:rFonts w:ascii="Arial" w:eastAsia="Arial" w:hAnsi="Arial" w:cs="Arial"/>
      <w:b w:val="0"/>
      <w:bCs w:val="0"/>
      <w:i w:val="0"/>
      <w:iCs w:val="0"/>
      <w:smallCaps w:val="0"/>
      <w:strike w:val="0"/>
      <w:color w:val="ABB6BE"/>
      <w:sz w:val="13"/>
      <w:szCs w:val="13"/>
      <w:u w:val="none"/>
    </w:rPr>
  </w:style>
  <w:style w:type="paragraph" w:customStyle="1" w:styleId="Style5">
    <w:name w:val="Nadpis #1"/>
    <w:basedOn w:val="Normal"/>
    <w:link w:val="CharStyle6"/>
    <w:pPr>
      <w:widowControl w:val="0"/>
      <w:shd w:val="clear" w:color="auto" w:fill="auto"/>
      <w:ind w:firstLine="640"/>
      <w:outlineLvl w:val="0"/>
    </w:pPr>
    <w:rPr>
      <w:rFonts w:ascii="Arial" w:eastAsia="Arial" w:hAnsi="Arial" w:cs="Arial"/>
      <w:b w:val="0"/>
      <w:bCs w:val="0"/>
      <w:i w:val="0"/>
      <w:iCs w:val="0"/>
      <w:smallCaps w:val="0"/>
      <w:strike w:val="0"/>
      <w:sz w:val="15"/>
      <w:szCs w:val="15"/>
      <w:u w:val="none"/>
    </w:rPr>
  </w:style>
  <w:style w:type="paragraph" w:customStyle="1" w:styleId="Style9">
    <w:name w:val="Záhlaví nebo zápatí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Základní text (2)"/>
    <w:basedOn w:val="Normal"/>
    <w:link w:val="CharStyle14"/>
    <w:pPr>
      <w:widowControl w:val="0"/>
      <w:shd w:val="clear" w:color="auto" w:fill="auto"/>
      <w:spacing w:after="220"/>
      <w:ind w:left="4900" w:right="280"/>
      <w:jc w:val="right"/>
    </w:pPr>
    <w:rPr>
      <w:rFonts w:ascii="Arial" w:eastAsia="Arial" w:hAnsi="Arial" w:cs="Arial"/>
      <w:b w:val="0"/>
      <w:bCs w:val="0"/>
      <w:i w:val="0"/>
      <w:iCs w:val="0"/>
      <w:smallCaps w:val="0"/>
      <w:strike w:val="0"/>
      <w:sz w:val="34"/>
      <w:szCs w:val="34"/>
      <w:u w:val="none"/>
    </w:rPr>
  </w:style>
  <w:style w:type="paragraph" w:customStyle="1" w:styleId="Style17">
    <w:name w:val="Základní text (3)"/>
    <w:basedOn w:val="Normal"/>
    <w:link w:val="CharStyle18"/>
    <w:pPr>
      <w:widowControl w:val="0"/>
      <w:shd w:val="clear" w:color="auto" w:fill="auto"/>
      <w:spacing w:after="70"/>
      <w:ind w:firstLine="620"/>
    </w:pPr>
    <w:rPr>
      <w:rFonts w:ascii="Arial" w:eastAsia="Arial" w:hAnsi="Arial" w:cs="Arial"/>
      <w:b w:val="0"/>
      <w:bCs w:val="0"/>
      <w:i w:val="0"/>
      <w:iCs w:val="0"/>
      <w:smallCaps w:val="0"/>
      <w:strike w:val="0"/>
      <w:color w:val="ABB6BE"/>
      <w:sz w:val="10"/>
      <w:szCs w:val="10"/>
      <w:u w:val="none"/>
    </w:rPr>
  </w:style>
  <w:style w:type="paragraph" w:customStyle="1" w:styleId="Style19">
    <w:name w:val="Titulek tabulky"/>
    <w:basedOn w:val="Normal"/>
    <w:link w:val="CharStyle20"/>
    <w:pPr>
      <w:widowControl w:val="0"/>
      <w:shd w:val="clear" w:color="auto" w:fill="auto"/>
    </w:pPr>
    <w:rPr>
      <w:rFonts w:ascii="Arial" w:eastAsia="Arial" w:hAnsi="Arial" w:cs="Arial"/>
      <w:b w:val="0"/>
      <w:bCs w:val="0"/>
      <w:i w:val="0"/>
      <w:iCs w:val="0"/>
      <w:smallCaps w:val="0"/>
      <w:strike w:val="0"/>
      <w:color w:val="ABB6BE"/>
      <w:sz w:val="13"/>
      <w:szCs w:val="13"/>
      <w:u w:val="none"/>
    </w:rPr>
  </w:style>
  <w:style w:type="paragraph" w:customStyle="1" w:styleId="Style24">
    <w:name w:val="Jiné"/>
    <w:basedOn w:val="Normal"/>
    <w:link w:val="CharStyle25"/>
    <w:pPr>
      <w:widowControl w:val="0"/>
      <w:shd w:val="clear" w:color="auto" w:fill="auto"/>
      <w:spacing w:after="100" w:line="360" w:lineRule="auto"/>
    </w:pPr>
    <w:rPr>
      <w:rFonts w:ascii="Arial" w:eastAsia="Arial" w:hAnsi="Arial" w:cs="Arial"/>
      <w:b w:val="0"/>
      <w:bCs w:val="0"/>
      <w:i w:val="0"/>
      <w:iCs w:val="0"/>
      <w:smallCaps w:val="0"/>
      <w:strike w:val="0"/>
      <w:sz w:val="15"/>
      <w:szCs w:val="15"/>
      <w:u w:val="none"/>
    </w:rPr>
  </w:style>
  <w:style w:type="paragraph" w:customStyle="1" w:styleId="Style32">
    <w:name w:val="Nadpis #2"/>
    <w:basedOn w:val="Normal"/>
    <w:link w:val="CharStyle33"/>
    <w:pPr>
      <w:widowControl w:val="0"/>
      <w:shd w:val="clear" w:color="auto" w:fill="auto"/>
      <w:spacing w:after="280" w:line="360" w:lineRule="auto"/>
      <w:ind w:firstLine="600"/>
      <w:outlineLvl w:val="1"/>
    </w:pPr>
    <w:rPr>
      <w:rFonts w:ascii="Arial" w:eastAsia="Arial" w:hAnsi="Arial" w:cs="Arial"/>
      <w:b/>
      <w:bCs/>
      <w:i w:val="0"/>
      <w:iCs w:val="0"/>
      <w:smallCaps w:val="0"/>
      <w:strike w:val="0"/>
      <w:sz w:val="15"/>
      <w:szCs w:val="15"/>
      <w:u w:val="none"/>
    </w:rPr>
  </w:style>
  <w:style w:type="paragraph" w:customStyle="1" w:styleId="Style34">
    <w:name w:val="Základní text"/>
    <w:basedOn w:val="Normal"/>
    <w:link w:val="CharStyle35"/>
    <w:pPr>
      <w:widowControl w:val="0"/>
      <w:shd w:val="clear" w:color="auto" w:fill="auto"/>
      <w:spacing w:after="100" w:line="360" w:lineRule="auto"/>
    </w:pPr>
    <w:rPr>
      <w:rFonts w:ascii="Arial" w:eastAsia="Arial" w:hAnsi="Arial" w:cs="Arial"/>
      <w:b w:val="0"/>
      <w:bCs w:val="0"/>
      <w:i w:val="0"/>
      <w:iCs w:val="0"/>
      <w:smallCaps w:val="0"/>
      <w:strike w:val="0"/>
      <w:sz w:val="15"/>
      <w:szCs w:val="15"/>
      <w:u w:val="none"/>
    </w:rPr>
  </w:style>
  <w:style w:type="paragraph" w:customStyle="1" w:styleId="Style50">
    <w:name w:val="Základní text (5)"/>
    <w:basedOn w:val="Normal"/>
    <w:link w:val="CharStyle51"/>
    <w:pPr>
      <w:widowControl w:val="0"/>
      <w:shd w:val="clear" w:color="auto" w:fill="auto"/>
      <w:ind w:left="2640"/>
    </w:pPr>
    <w:rPr>
      <w:rFonts w:ascii="Times New Roman" w:eastAsia="Times New Roman" w:hAnsi="Times New Roman" w:cs="Times New Roman"/>
      <w:b w:val="0"/>
      <w:bCs w:val="0"/>
      <w:i w:val="0"/>
      <w:iCs w:val="0"/>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s>
</file>