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9B" w:rsidRDefault="002F6B50">
      <w:pPr>
        <w:spacing w:line="1" w:lineRule="exact"/>
      </w:pPr>
      <w:r>
        <w:rPr>
          <w:noProof/>
          <w:lang w:bidi="ar-SA"/>
        </w:rPr>
        <w:drawing>
          <wp:anchor distT="0" distB="0" distL="114300" distR="1056005" simplePos="0" relativeHeight="125829378" behindDoc="0" locked="0" layoutInCell="1" allowOverlap="1">
            <wp:simplePos x="0" y="0"/>
            <wp:positionH relativeFrom="page">
              <wp:posOffset>606425</wp:posOffset>
            </wp:positionH>
            <wp:positionV relativeFrom="paragraph">
              <wp:posOffset>311150</wp:posOffset>
            </wp:positionV>
            <wp:extent cx="426720" cy="40830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2672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335280</wp:posOffset>
                </wp:positionV>
                <wp:extent cx="941705" cy="3810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F9B" w:rsidRDefault="002F6B5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VAKHB</w:t>
                            </w:r>
                          </w:p>
                          <w:p w:rsidR="009C0F9B" w:rsidRDefault="002F6B5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VODOVODY A KANALIZACE HAVLÍČKŮV </w:t>
                            </w:r>
                            <w:proofErr w:type="gramStart"/>
                            <w:r>
                              <w:t>8ROD ».».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1.099999999999994pt;margin-top:26.399999999999999pt;width:74.150000000000006pt;height:30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>VAKHB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VODOVODY A KANALIZACE HAVLÍČKŮV 8ROD ».».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2992755</wp:posOffset>
                </wp:positionH>
                <wp:positionV relativeFrom="paragraph">
                  <wp:posOffset>481330</wp:posOffset>
                </wp:positionV>
                <wp:extent cx="1850390" cy="1860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F9B" w:rsidRDefault="002F6B50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SMLOUVA: SMLOV-2023-5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35.65000000000001pt;margin-top:37.899999999999999pt;width:145.69999999999999pt;height:14.65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SMLOUVA: SMLOV-2023-5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5715" distL="114300" distR="3125470" simplePos="0" relativeHeight="125829381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7814945</wp:posOffset>
                </wp:positionV>
                <wp:extent cx="3416935" cy="4451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F9B" w:rsidRDefault="002F6B50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Svoz odpadní vody (pásmo do 15 km včetně sání)</w:t>
                            </w:r>
                          </w:p>
                          <w:p w:rsidR="009C0F9B" w:rsidRDefault="002F6B5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Likvidace odpadní vody kategorie 4: septiky a žumpy ostatní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.899999999999999pt;margin-top:615.35000000000002pt;width:269.05000000000001pt;height:35.049999999999997pt;z-index:-125829372;mso-wrap-distance-left:9.pt;mso-wrap-distance-top:2.pt;mso-wrap-distance-right:246.09999999999999pt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Svoz odpadní vody (pásmo do 15 km včetně sání)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Likvidace odpadní vody kategorie 4: septiky a žumpy ostatní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990" distB="261620" distL="5402580" distR="873125" simplePos="0" relativeHeight="125829383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7836535</wp:posOffset>
                </wp:positionV>
                <wp:extent cx="381000" cy="1676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F9B" w:rsidRDefault="002F6B50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výjezd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54.30000000000001pt;margin-top:617.04999999999995pt;width:30.pt;height:13.199999999999999pt;z-index:-125829370;mso-wrap-distance-left:425.39999999999998pt;mso-wrap-distance-top:3.7000000000000002pt;mso-wrap-distance-right:68.75pt;mso-wrap-distance-bottom:20.6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výjezd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1785" distB="3175" distL="5490845" distR="958850" simplePos="0" relativeHeight="125829385" behindDoc="0" locked="0" layoutInCell="1" allowOverlap="1">
                <wp:simplePos x="0" y="0"/>
                <wp:positionH relativeFrom="page">
                  <wp:posOffset>5857875</wp:posOffset>
                </wp:positionH>
                <wp:positionV relativeFrom="paragraph">
                  <wp:posOffset>8101330</wp:posOffset>
                </wp:positionV>
                <wp:extent cx="207010" cy="1612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F9B" w:rsidRDefault="002F6B5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61.25pt;margin-top:637.89999999999998pt;width:16.300000000000001pt;height:12.699999999999999pt;z-index:-125829368;mso-wrap-distance-left:432.35000000000002pt;mso-wrap-distance-top:24.550000000000001pt;mso-wrap-distance-right:75.5pt;mso-wrap-distance-bottom:0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990" distB="0" distL="6264910" distR="114300" simplePos="0" relativeHeight="125829387" behindDoc="0" locked="0" layoutInCell="1" allowOverlap="1">
                <wp:simplePos x="0" y="0"/>
                <wp:positionH relativeFrom="page">
                  <wp:posOffset>6631940</wp:posOffset>
                </wp:positionH>
                <wp:positionV relativeFrom="paragraph">
                  <wp:posOffset>7836535</wp:posOffset>
                </wp:positionV>
                <wp:extent cx="277495" cy="4298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F9B" w:rsidRDefault="002F6B50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1,00</w:t>
                            </w:r>
                          </w:p>
                          <w:p w:rsidR="009C0F9B" w:rsidRDefault="002F6B50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5,00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522.20000000000005pt;margin-top:617.04999999999995pt;width:21.850000000000001pt;height:33.850000000000001pt;z-index:-125829366;mso-wrap-distance-left:493.30000000000001pt;mso-wrap-distance-top:3.7000000000000002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0F9B" w:rsidRDefault="002F6B50">
      <w:pPr>
        <w:pStyle w:val="Zkladntext20"/>
        <w:shd w:val="clear" w:color="auto" w:fill="auto"/>
        <w:spacing w:after="0"/>
      </w:pPr>
      <w:r>
        <w:t xml:space="preserve">KRAJSKÁ SPRÁVA A ÚDRŽBA SILNIC </w:t>
      </w:r>
      <w:r>
        <w:t>VYSOČINY příspěvková organizace</w:t>
      </w:r>
    </w:p>
    <w:p w:rsidR="009C0F9B" w:rsidRDefault="002F6B50">
      <w:pPr>
        <w:pStyle w:val="Zkladntext20"/>
        <w:shd w:val="clear" w:color="auto" w:fill="auto"/>
        <w:spacing w:after="60"/>
        <w:ind w:left="4520"/>
      </w:pPr>
      <w:r>
        <w:t>SMLOUVA REGISTROVÁNA</w:t>
      </w:r>
    </w:p>
    <w:p w:rsidR="009C0F9B" w:rsidRDefault="002F6B50">
      <w:pPr>
        <w:pStyle w:val="Zkladntext30"/>
        <w:shd w:val="clear" w:color="auto" w:fill="auto"/>
        <w:tabs>
          <w:tab w:val="left" w:pos="1680"/>
        </w:tabs>
        <w:spacing w:after="140"/>
      </w:pPr>
      <w:r>
        <w:rPr>
          <w:b w:val="0"/>
          <w:bCs w:val="0"/>
          <w:sz w:val="13"/>
          <w:szCs w:val="13"/>
        </w:rPr>
        <w:t>~</w:t>
      </w:r>
      <w:proofErr w:type="spellStart"/>
      <w:r>
        <w:rPr>
          <w:b w:val="0"/>
          <w:bCs w:val="0"/>
          <w:sz w:val="13"/>
          <w:szCs w:val="13"/>
          <w:vertAlign w:val="superscript"/>
        </w:rPr>
        <w:t>C</w:t>
      </w:r>
      <w:r>
        <w:rPr>
          <w:b w:val="0"/>
          <w:bCs w:val="0"/>
          <w:sz w:val="13"/>
          <w:szCs w:val="13"/>
          <w:u w:val="single"/>
        </w:rPr>
        <w:t>Wc^em</w:t>
      </w:r>
      <w:proofErr w:type="spellEnd"/>
      <w:r>
        <w:rPr>
          <w:b w:val="0"/>
          <w:bCs w:val="0"/>
          <w:sz w:val="13"/>
          <w:szCs w:val="13"/>
          <w:u w:val="single"/>
        </w:rPr>
        <w:t>:</w:t>
      </w:r>
      <w:r>
        <w:rPr>
          <w:b w:val="0"/>
          <w:bCs w:val="0"/>
          <w:sz w:val="13"/>
          <w:szCs w:val="13"/>
          <w:u w:val="single"/>
        </w:rPr>
        <w:tab/>
      </w:r>
      <w:r>
        <w:rPr>
          <w:b w:val="0"/>
          <w:bCs w:val="0"/>
          <w:i/>
          <w:iCs/>
          <w:color w:val="79779E"/>
          <w:u w:val="single"/>
        </w:rPr>
        <w:t>2-0L3 -</w:t>
      </w:r>
    </w:p>
    <w:p w:rsidR="009C0F9B" w:rsidRDefault="002F6B50">
      <w:pPr>
        <w:pStyle w:val="Zkladntext1"/>
        <w:shd w:val="clear" w:color="auto" w:fill="auto"/>
        <w:spacing w:after="600"/>
        <w:jc w:val="center"/>
      </w:pPr>
      <w:r>
        <w:t>o způsobu a podmínkách předávání a přebírání odpadních vod od původců včetně čerpání a přepravy do čistíren</w:t>
      </w:r>
      <w:r>
        <w:br/>
        <w:t xml:space="preserve">odpadních vod společnosti Vodovody a kanalizace Havlíčkův Brod, a s. k </w:t>
      </w:r>
      <w:proofErr w:type="gramStart"/>
      <w:r>
        <w:t>vyčištěni</w:t>
      </w:r>
      <w:proofErr w:type="gramEnd"/>
    </w:p>
    <w:p w:rsidR="009C0F9B" w:rsidRDefault="002F6B50">
      <w:pPr>
        <w:pStyle w:val="Titulektabulky0"/>
        <w:shd w:val="clear" w:color="auto" w:fill="auto"/>
        <w:ind w:left="62"/>
      </w:pPr>
      <w:r>
        <w:rPr>
          <w:b/>
          <w:bCs/>
        </w:rPr>
        <w:t>Smluvní strany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5309"/>
      </w:tblGrid>
      <w:tr w:rsidR="009C0F9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754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  <w:spacing w:before="80"/>
            </w:pPr>
            <w:r>
              <w:rPr>
                <w:b/>
                <w:bCs/>
              </w:rPr>
              <w:t>PŘÍJEMCE A PŘEPRAVCE:</w:t>
            </w:r>
          </w:p>
        </w:tc>
        <w:tc>
          <w:tcPr>
            <w:tcW w:w="5309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>Vodovody a kanalizace Havlíčkův Brod, a. s.</w:t>
            </w:r>
          </w:p>
        </w:tc>
      </w:tr>
      <w:tr w:rsidR="009C0F9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754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</w:pPr>
            <w:r>
              <w:t>Zastoupený: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9C0F9B" w:rsidRDefault="002F6B5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Žižkova 832, 580 01 Havlíčkův Brod</w:t>
            </w:r>
          </w:p>
          <w:p w:rsidR="009C0F9B" w:rsidRDefault="002F6B50">
            <w:pPr>
              <w:pStyle w:val="Jin0"/>
              <w:shd w:val="clear" w:color="auto" w:fill="auto"/>
              <w:spacing w:line="230" w:lineRule="auto"/>
              <w:ind w:firstLine="240"/>
            </w:pPr>
            <w:r>
              <w:t>Ing. Janem Kadlecem, ředitelem společnosti</w:t>
            </w:r>
          </w:p>
        </w:tc>
      </w:tr>
      <w:tr w:rsidR="009C0F9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754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</w:pPr>
            <w:r>
              <w:t>ve věcech technických oprávněn jednat:</w:t>
            </w:r>
          </w:p>
        </w:tc>
        <w:tc>
          <w:tcPr>
            <w:tcW w:w="5309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  <w:tabs>
                <w:tab w:val="left" w:pos="1795"/>
              </w:tabs>
              <w:spacing w:line="259" w:lineRule="auto"/>
              <w:ind w:left="240" w:firstLine="1820"/>
            </w:pPr>
            <w:r>
              <w:t>vedoucí provozu ČOV H. Brod tel:</w:t>
            </w:r>
            <w:r>
              <w:tab/>
            </w:r>
            <w:r>
              <w:t>e-mail:</w:t>
            </w:r>
          </w:p>
        </w:tc>
      </w:tr>
      <w:tr w:rsidR="009C0F9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754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  <w:spacing w:before="80"/>
            </w:pPr>
            <w:r>
              <w:t>ve věcech provozních oprávněn jednat:</w:t>
            </w:r>
          </w:p>
        </w:tc>
        <w:tc>
          <w:tcPr>
            <w:tcW w:w="5309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  <w:ind w:left="1900"/>
            </w:pPr>
            <w:r>
              <w:t>vedoucí střediska ČOV H. Brod</w:t>
            </w:r>
          </w:p>
          <w:p w:rsidR="009C0F9B" w:rsidRDefault="002F6B50">
            <w:pPr>
              <w:pStyle w:val="Jin0"/>
              <w:shd w:val="clear" w:color="auto" w:fill="auto"/>
              <w:tabs>
                <w:tab w:val="left" w:pos="1680"/>
              </w:tabs>
              <w:ind w:left="240"/>
            </w:pPr>
            <w:r>
              <w:t xml:space="preserve">Okrouhlická 3288, 580 01 Havlíčkův Brod </w:t>
            </w:r>
            <w:proofErr w:type="gramStart"/>
            <w:r>
              <w:t>tel:</w:t>
            </w:r>
            <w:r>
              <w:tab/>
              <w:t>, e-mail</w:t>
            </w:r>
            <w:proofErr w:type="gramEnd"/>
            <w:r>
              <w:t>:</w:t>
            </w:r>
          </w:p>
        </w:tc>
      </w:tr>
      <w:tr w:rsidR="009C0F9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754" w:type="dxa"/>
            <w:shd w:val="clear" w:color="auto" w:fill="FFFFFF"/>
            <w:vAlign w:val="bottom"/>
          </w:tcPr>
          <w:p w:rsidR="009C0F9B" w:rsidRDefault="002F6B50">
            <w:pPr>
              <w:pStyle w:val="Jin0"/>
              <w:shd w:val="clear" w:color="auto" w:fill="auto"/>
            </w:pPr>
            <w:r>
              <w:t>IČO, DIČ: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9C0F9B" w:rsidRDefault="002F6B50">
            <w:pPr>
              <w:pStyle w:val="Jin0"/>
              <w:shd w:val="clear" w:color="auto" w:fill="auto"/>
              <w:ind w:firstLine="240"/>
            </w:pPr>
            <w:r>
              <w:t>48173002, CZ48173002</w:t>
            </w:r>
          </w:p>
        </w:tc>
      </w:tr>
      <w:tr w:rsidR="009C0F9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54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</w:pPr>
            <w:r>
              <w:t>Bankovní spojení</w:t>
            </w:r>
          </w:p>
        </w:tc>
        <w:tc>
          <w:tcPr>
            <w:tcW w:w="5309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  <w:jc w:val="center"/>
            </w:pPr>
            <w:r>
              <w:t>Komerční banka</w:t>
            </w:r>
          </w:p>
        </w:tc>
      </w:tr>
      <w:tr w:rsidR="009C0F9B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3754" w:type="dxa"/>
            <w:shd w:val="clear" w:color="auto" w:fill="FFFFFF"/>
          </w:tcPr>
          <w:p w:rsidR="009C0F9B" w:rsidRDefault="002F6B50">
            <w:pPr>
              <w:pStyle w:val="Jin0"/>
              <w:shd w:val="clear" w:color="auto" w:fill="auto"/>
              <w:spacing w:before="240"/>
            </w:pPr>
            <w:r>
              <w:rPr>
                <w:b/>
                <w:bCs/>
              </w:rPr>
              <w:t>PŮVODCE:</w:t>
            </w:r>
          </w:p>
        </w:tc>
        <w:tc>
          <w:tcPr>
            <w:tcW w:w="5309" w:type="dxa"/>
            <w:shd w:val="clear" w:color="auto" w:fill="FFFFFF"/>
            <w:vAlign w:val="bottom"/>
          </w:tcPr>
          <w:p w:rsidR="009C0F9B" w:rsidRDefault="002F6B50">
            <w:pPr>
              <w:pStyle w:val="Jin0"/>
              <w:shd w:val="clear" w:color="auto" w:fill="auto"/>
              <w:spacing w:after="60" w:line="259" w:lineRule="auto"/>
              <w:ind w:left="180"/>
            </w:pPr>
            <w:r>
              <w:rPr>
                <w:b/>
                <w:bCs/>
              </w:rPr>
              <w:t xml:space="preserve">Krajská správa a údržba silnic Vysočiny, </w:t>
            </w:r>
            <w:r>
              <w:rPr>
                <w:b/>
                <w:bCs/>
              </w:rPr>
              <w:t>příspěvková organizace</w:t>
            </w:r>
          </w:p>
          <w:p w:rsidR="009C0F9B" w:rsidRDefault="002F6B50">
            <w:pPr>
              <w:pStyle w:val="Jin0"/>
              <w:shd w:val="clear" w:color="auto" w:fill="auto"/>
              <w:spacing w:line="259" w:lineRule="auto"/>
              <w:ind w:firstLine="180"/>
            </w:pPr>
            <w:r>
              <w:t>Kosovská 1122/16</w:t>
            </w:r>
          </w:p>
          <w:p w:rsidR="009C0F9B" w:rsidRDefault="002F6B50">
            <w:pPr>
              <w:pStyle w:val="Jin0"/>
              <w:shd w:val="clear" w:color="auto" w:fill="auto"/>
              <w:spacing w:after="40" w:line="259" w:lineRule="auto"/>
              <w:ind w:firstLine="180"/>
            </w:pPr>
            <w:r>
              <w:t>58601 Jihlava</w:t>
            </w:r>
          </w:p>
        </w:tc>
      </w:tr>
    </w:tbl>
    <w:p w:rsidR="009C0F9B" w:rsidRDefault="002F6B50">
      <w:pPr>
        <w:pStyle w:val="Titulektabulky0"/>
        <w:shd w:val="clear" w:color="auto" w:fill="auto"/>
      </w:pPr>
      <w:r>
        <w:t>ve věcech technických a provozních oprávněn jednat:</w:t>
      </w:r>
    </w:p>
    <w:p w:rsidR="009C0F9B" w:rsidRDefault="009C0F9B">
      <w:pPr>
        <w:spacing w:after="59" w:line="1" w:lineRule="exact"/>
      </w:pPr>
    </w:p>
    <w:p w:rsidR="009C0F9B" w:rsidRDefault="009C0F9B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5304"/>
      </w:tblGrid>
      <w:tr w:rsidR="009C0F9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54" w:type="dxa"/>
            <w:shd w:val="clear" w:color="auto" w:fill="FFFFFF"/>
            <w:vAlign w:val="bottom"/>
          </w:tcPr>
          <w:p w:rsidR="009C0F9B" w:rsidRDefault="002F6B50">
            <w:pPr>
              <w:pStyle w:val="Jin0"/>
              <w:shd w:val="clear" w:color="auto" w:fill="auto"/>
            </w:pPr>
            <w:r>
              <w:t>IČO, DIČ:</w:t>
            </w:r>
          </w:p>
        </w:tc>
        <w:tc>
          <w:tcPr>
            <w:tcW w:w="5304" w:type="dxa"/>
            <w:shd w:val="clear" w:color="auto" w:fill="FFFFFF"/>
            <w:vAlign w:val="bottom"/>
          </w:tcPr>
          <w:p w:rsidR="009C0F9B" w:rsidRDefault="002F6B50">
            <w:pPr>
              <w:pStyle w:val="Jin0"/>
              <w:shd w:val="clear" w:color="auto" w:fill="auto"/>
              <w:ind w:firstLine="180"/>
            </w:pPr>
            <w:r>
              <w:t>00090450 CZ00090450</w:t>
            </w:r>
          </w:p>
        </w:tc>
      </w:tr>
    </w:tbl>
    <w:p w:rsidR="009C0F9B" w:rsidRDefault="002F6B50">
      <w:pPr>
        <w:pStyle w:val="Titulektabulky0"/>
        <w:shd w:val="clear" w:color="auto" w:fill="auto"/>
        <w:ind w:left="10"/>
      </w:pPr>
      <w:r>
        <w:t>Bankovní spojení</w:t>
      </w:r>
    </w:p>
    <w:p w:rsidR="009C0F9B" w:rsidRDefault="009C0F9B">
      <w:pPr>
        <w:spacing w:after="979" w:line="1" w:lineRule="exact"/>
      </w:pPr>
    </w:p>
    <w:p w:rsidR="009C0F9B" w:rsidRDefault="002F6B50">
      <w:pPr>
        <w:pStyle w:val="Zkladntext1"/>
        <w:shd w:val="clear" w:color="auto" w:fill="auto"/>
        <w:ind w:left="4520"/>
      </w:pPr>
      <w:r>
        <w:rPr>
          <w:b/>
          <w:bCs/>
        </w:rPr>
        <w:t>I.</w:t>
      </w:r>
    </w:p>
    <w:p w:rsidR="009C0F9B" w:rsidRDefault="002F6B50">
      <w:pPr>
        <w:pStyle w:val="Nadpis10"/>
        <w:keepNext/>
        <w:keepLines/>
        <w:shd w:val="clear" w:color="auto" w:fill="auto"/>
        <w:spacing w:after="180"/>
        <w:ind w:left="3860"/>
      </w:pPr>
      <w:bookmarkStart w:id="0" w:name="bookmark0"/>
      <w:bookmarkStart w:id="1" w:name="bookmark1"/>
      <w:r>
        <w:t>Předmět smlouvy</w:t>
      </w:r>
      <w:bookmarkEnd w:id="0"/>
      <w:bookmarkEnd w:id="1"/>
    </w:p>
    <w:p w:rsidR="009C0F9B" w:rsidRDefault="002F6B50">
      <w:pPr>
        <w:pStyle w:val="Zkladntext1"/>
        <w:shd w:val="clear" w:color="auto" w:fill="auto"/>
        <w:spacing w:after="240"/>
      </w:pPr>
      <w:r>
        <w:t>Způsob a podmínky předávání a přebírání odpadních vod od původců včetně čerpání</w:t>
      </w:r>
      <w:r>
        <w:t xml:space="preserve"> a přepravy do čistíren odpadních vod společnosti Vodovody a kanalizace H. Brod a.s. k vyčištění dle fakturačních položek:</w:t>
      </w:r>
    </w:p>
    <w:p w:rsidR="009C0F9B" w:rsidRDefault="002F6B50">
      <w:pPr>
        <w:pStyle w:val="Zkladntext1"/>
        <w:shd w:val="clear" w:color="auto" w:fill="auto"/>
        <w:spacing w:after="60"/>
      </w:pPr>
      <w:r>
        <w:t>Technické informace:</w:t>
      </w:r>
    </w:p>
    <w:p w:rsidR="009C0F9B" w:rsidRDefault="002F6B50">
      <w:pPr>
        <w:pStyle w:val="Zkladntext1"/>
        <w:shd w:val="clear" w:color="auto" w:fill="auto"/>
        <w:spacing w:after="660"/>
      </w:pPr>
      <w:r>
        <w:t>Herálec /farma/</w:t>
      </w:r>
    </w:p>
    <w:p w:rsidR="009C0F9B" w:rsidRDefault="002F6B50">
      <w:pPr>
        <w:pStyle w:val="Zkladntext1"/>
        <w:pBdr>
          <w:bottom w:val="single" w:sz="4" w:space="0" w:color="auto"/>
        </w:pBdr>
        <w:shd w:val="clear" w:color="auto" w:fill="auto"/>
        <w:spacing w:after="160"/>
        <w:sectPr w:rsidR="009C0F9B">
          <w:pgSz w:w="11900" w:h="16840"/>
          <w:pgMar w:top="616" w:right="894" w:bottom="616" w:left="768" w:header="188" w:footer="18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5885180</wp:posOffset>
                </wp:positionH>
                <wp:positionV relativeFrom="paragraph">
                  <wp:posOffset>25400</wp:posOffset>
                </wp:positionV>
                <wp:extent cx="1029970" cy="16129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F9B" w:rsidRDefault="002F6B5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MJ Množství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63.39999999999998pt;margin-top:2.pt;width:81.099999999999994pt;height:12.699999999999999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 Množství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Položky smlouvy:</w:t>
      </w:r>
    </w:p>
    <w:p w:rsidR="009C0F9B" w:rsidRDefault="002F6B50">
      <w:pPr>
        <w:pStyle w:val="Nadpis1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lastRenderedPageBreak/>
        <w:t>Předmět plnění</w:t>
      </w:r>
      <w:bookmarkEnd w:id="2"/>
      <w:bookmarkEnd w:id="3"/>
    </w:p>
    <w:p w:rsidR="009C0F9B" w:rsidRDefault="002F6B50">
      <w:pPr>
        <w:pStyle w:val="Zkladntext1"/>
        <w:shd w:val="clear" w:color="auto" w:fill="auto"/>
        <w:ind w:firstLine="140"/>
      </w:pPr>
      <w:r>
        <w:t>Příjemce a přepravce</w:t>
      </w:r>
      <w:r>
        <w:t xml:space="preserve"> v jedné osobě se zavazuje, že bude na určenou čistírnu odpadních vod společnosti Vodovody a kanalizace H. Brod a.s. odpadní vodu za následujících podmínek:</w:t>
      </w:r>
    </w:p>
    <w:p w:rsidR="009C0F9B" w:rsidRDefault="002F6B50">
      <w:pPr>
        <w:pStyle w:val="Zkladntext1"/>
        <w:shd w:val="clear" w:color="auto" w:fill="auto"/>
      </w:pPr>
      <w:proofErr w:type="gramStart"/>
      <w:r>
        <w:t>1.Odpadní</w:t>
      </w:r>
      <w:proofErr w:type="gramEnd"/>
      <w:r>
        <w:t xml:space="preserve"> voda bude separovaná podle kvality takto:</w:t>
      </w:r>
    </w:p>
    <w:p w:rsidR="009C0F9B" w:rsidRDefault="002F6B50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ind w:firstLine="300"/>
      </w:pPr>
      <w:r>
        <w:t>Kategorie 1: průsakové vody ze skládek do hodno</w:t>
      </w:r>
      <w:r>
        <w:t>t CHSK2500 mg/l, BSK5 1600 mg/l</w:t>
      </w:r>
    </w:p>
    <w:p w:rsidR="009C0F9B" w:rsidRDefault="002F6B50">
      <w:pPr>
        <w:pStyle w:val="Zkladntext1"/>
        <w:numPr>
          <w:ilvl w:val="0"/>
          <w:numId w:val="1"/>
        </w:numPr>
        <w:shd w:val="clear" w:color="auto" w:fill="auto"/>
        <w:tabs>
          <w:tab w:val="left" w:pos="788"/>
        </w:tabs>
        <w:ind w:firstLine="300"/>
      </w:pPr>
      <w:r>
        <w:t>Kategorie 2: průsakové vody ze skládek nad hodnoty CHSK 2500 mg/l, BSK5 1600 mg/l</w:t>
      </w:r>
    </w:p>
    <w:p w:rsidR="009C0F9B" w:rsidRDefault="002F6B50">
      <w:pPr>
        <w:pStyle w:val="Zkladntext1"/>
        <w:numPr>
          <w:ilvl w:val="0"/>
          <w:numId w:val="1"/>
        </w:numPr>
        <w:shd w:val="clear" w:color="auto" w:fill="auto"/>
        <w:tabs>
          <w:tab w:val="left" w:pos="788"/>
        </w:tabs>
        <w:ind w:firstLine="300"/>
      </w:pPr>
      <w:r>
        <w:t>Kategorie 3: septiky a žumpy obyvatelstvo</w:t>
      </w:r>
    </w:p>
    <w:p w:rsidR="009C0F9B" w:rsidRDefault="002F6B50">
      <w:pPr>
        <w:pStyle w:val="Zkladntext1"/>
        <w:numPr>
          <w:ilvl w:val="0"/>
          <w:numId w:val="1"/>
        </w:numPr>
        <w:shd w:val="clear" w:color="auto" w:fill="auto"/>
        <w:tabs>
          <w:tab w:val="left" w:pos="788"/>
        </w:tabs>
        <w:ind w:firstLine="300"/>
      </w:pPr>
      <w:r>
        <w:t>Kategorie 4: septiky a žumpy ostatní</w:t>
      </w:r>
    </w:p>
    <w:p w:rsidR="009C0F9B" w:rsidRDefault="002F6B50">
      <w:pPr>
        <w:pStyle w:val="Zkladntext1"/>
        <w:numPr>
          <w:ilvl w:val="0"/>
          <w:numId w:val="1"/>
        </w:numPr>
        <w:shd w:val="clear" w:color="auto" w:fill="auto"/>
        <w:tabs>
          <w:tab w:val="left" w:pos="788"/>
        </w:tabs>
        <w:ind w:firstLine="300"/>
      </w:pPr>
      <w:r>
        <w:t>Kategorie 5: mobilní nebo chemické WC</w:t>
      </w:r>
    </w:p>
    <w:p w:rsidR="009C0F9B" w:rsidRDefault="002F6B50">
      <w:pPr>
        <w:pStyle w:val="Zkladntext1"/>
        <w:numPr>
          <w:ilvl w:val="0"/>
          <w:numId w:val="1"/>
        </w:numPr>
        <w:shd w:val="clear" w:color="auto" w:fill="auto"/>
        <w:tabs>
          <w:tab w:val="left" w:pos="808"/>
        </w:tabs>
        <w:ind w:left="620" w:hanging="300"/>
      </w:pPr>
      <w:r>
        <w:t>Kategorie 6: kaly z ČOV b</w:t>
      </w:r>
      <w:r>
        <w:t>ez kalové koncovky vyhovující požadavkům na "mezní hodnoty" (koncentraci v kalech mg.kg-1) pro použití na kompostárně podle vyhlášky č.474/200 Sb.</w:t>
      </w:r>
    </w:p>
    <w:p w:rsidR="009C0F9B" w:rsidRDefault="002F6B50">
      <w:pPr>
        <w:pStyle w:val="Zkladntext1"/>
        <w:numPr>
          <w:ilvl w:val="0"/>
          <w:numId w:val="1"/>
        </w:numPr>
        <w:shd w:val="clear" w:color="auto" w:fill="auto"/>
        <w:tabs>
          <w:tab w:val="left" w:pos="788"/>
        </w:tabs>
        <w:ind w:firstLine="300"/>
      </w:pPr>
      <w:r>
        <w:t>Kategorie 7: potravinářský průmysl hodnoty BSK5 vyšší než 1600 mg/l</w:t>
      </w:r>
    </w:p>
    <w:p w:rsidR="009C0F9B" w:rsidRDefault="002F6B50">
      <w:pPr>
        <w:pStyle w:val="Zkladntext1"/>
        <w:shd w:val="clear" w:color="auto" w:fill="auto"/>
      </w:pPr>
      <w:proofErr w:type="gramStart"/>
      <w:r>
        <w:t>2.Odpadní</w:t>
      </w:r>
      <w:proofErr w:type="gramEnd"/>
      <w:r>
        <w:t xml:space="preserve"> vody nesmí obsahovat:</w:t>
      </w:r>
    </w:p>
    <w:p w:rsidR="009C0F9B" w:rsidRDefault="002F6B50">
      <w:pPr>
        <w:pStyle w:val="Zkladntext1"/>
        <w:shd w:val="clear" w:color="auto" w:fill="auto"/>
        <w:ind w:firstLine="140"/>
      </w:pPr>
      <w:r>
        <w:t>-látky ve</w:t>
      </w:r>
      <w:r>
        <w:t xml:space="preserve"> smyslu § 39 přílohy 1 zákona č, 254/2001 Sb. o vodách a o změně některých zákonů (vodní zákon) dle seznamu látek, který je nedílnou součástí této smlouvy.</w:t>
      </w:r>
    </w:p>
    <w:p w:rsidR="009C0F9B" w:rsidRDefault="002F6B50">
      <w:pPr>
        <w:pStyle w:val="Zkladntext1"/>
        <w:shd w:val="clear" w:color="auto" w:fill="auto"/>
      </w:pPr>
      <w:r>
        <w:t>-pevné živočišné tkáně, zbytky z kuchyně. Odpadní vody z kuchyně musí být předčištěné v lapači tuků.</w:t>
      </w:r>
    </w:p>
    <w:p w:rsidR="009C0F9B" w:rsidRDefault="002F6B50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ind w:firstLine="140"/>
      </w:pPr>
      <w:r>
        <w:t>Příjemce a přepravce v jedné osobě je povinen při přepravě odpadní vody řádně vyplnit Evidenční list přepravy odpadních vod.</w:t>
      </w:r>
    </w:p>
    <w:p w:rsidR="009C0F9B" w:rsidRDefault="002F6B50">
      <w:pPr>
        <w:pStyle w:val="Zkladntext1"/>
        <w:numPr>
          <w:ilvl w:val="0"/>
          <w:numId w:val="2"/>
        </w:numPr>
        <w:shd w:val="clear" w:color="auto" w:fill="auto"/>
        <w:tabs>
          <w:tab w:val="left" w:pos="339"/>
        </w:tabs>
        <w:ind w:firstLine="140"/>
      </w:pPr>
      <w:r>
        <w:t>Příjemce a přepravce je oprávněn provádět namátkovou kontrolu kvality odpadní vody formou odběru vzorku z dovezené odpadní vody. V</w:t>
      </w:r>
      <w:r>
        <w:t xml:space="preserve"> případě zjištění, že dovážené odpadní vody jsou v rozporu s ustanovením čl. 1 a 2 může být původci účtována sankce ve výši 20 000 Kč.</w:t>
      </w:r>
    </w:p>
    <w:p w:rsidR="009C0F9B" w:rsidRDefault="002F6B50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firstLine="140"/>
      </w:pPr>
      <w:r>
        <w:t>Příjemce a přepravce si vyhrazuje právo během platnosti smlouvy změnit místo předávání odpadních vod na jinou ČOV provozo</w:t>
      </w:r>
      <w:r>
        <w:t>vanou příjemcem bez změny ceny plnění.</w:t>
      </w:r>
    </w:p>
    <w:p w:rsidR="009C0F9B" w:rsidRDefault="002F6B50">
      <w:pPr>
        <w:pStyle w:val="Zkladntext1"/>
        <w:numPr>
          <w:ilvl w:val="0"/>
          <w:numId w:val="2"/>
        </w:numPr>
        <w:shd w:val="clear" w:color="auto" w:fill="auto"/>
        <w:tabs>
          <w:tab w:val="left" w:pos="339"/>
        </w:tabs>
        <w:spacing w:after="380"/>
        <w:ind w:firstLine="140"/>
      </w:pPr>
      <w:r>
        <w:t xml:space="preserve">Příjemce a přepravce v jedné osobě si vyhrazuje právo požadovat před zahájením plnění zálohovou </w:t>
      </w:r>
      <w:proofErr w:type="gramStart"/>
      <w:r>
        <w:t>platbu v ve</w:t>
      </w:r>
      <w:proofErr w:type="gramEnd"/>
      <w:r>
        <w:t xml:space="preserve"> výši 100 % ceny dílčího plnění.</w:t>
      </w:r>
    </w:p>
    <w:p w:rsidR="009C0F9B" w:rsidRDefault="002F6B50">
      <w:pPr>
        <w:pStyle w:val="Zkladntext1"/>
        <w:shd w:val="clear" w:color="auto" w:fill="auto"/>
        <w:ind w:left="4380"/>
      </w:pPr>
      <w:r>
        <w:rPr>
          <w:b/>
          <w:bCs/>
        </w:rPr>
        <w:t>III.</w:t>
      </w:r>
    </w:p>
    <w:p w:rsidR="009C0F9B" w:rsidRDefault="002F6B50">
      <w:pPr>
        <w:pStyle w:val="Zkladntext1"/>
        <w:shd w:val="clear" w:color="auto" w:fill="auto"/>
        <w:spacing w:after="140"/>
        <w:ind w:left="3960"/>
      </w:pPr>
      <w:r>
        <w:rPr>
          <w:b/>
          <w:bCs/>
        </w:rPr>
        <w:t>Čas plnění</w:t>
      </w:r>
    </w:p>
    <w:p w:rsidR="009C0F9B" w:rsidRDefault="002F6B50">
      <w:pPr>
        <w:pStyle w:val="Zkladntext1"/>
        <w:shd w:val="clear" w:color="auto" w:fill="auto"/>
        <w:spacing w:after="380"/>
      </w:pPr>
      <w:r>
        <w:t xml:space="preserve">Smlouva se uzavírá na dobu neurčitou a nabývá platnosti dnem </w:t>
      </w:r>
      <w:r>
        <w:t>podpisu obou smluvních stran.</w:t>
      </w:r>
    </w:p>
    <w:p w:rsidR="009C0F9B" w:rsidRDefault="002F6B50">
      <w:pPr>
        <w:pStyle w:val="Zkladntext1"/>
        <w:shd w:val="clear" w:color="auto" w:fill="auto"/>
        <w:ind w:left="4380"/>
      </w:pPr>
      <w:r>
        <w:rPr>
          <w:b/>
          <w:bCs/>
        </w:rPr>
        <w:t>IV.</w:t>
      </w:r>
    </w:p>
    <w:p w:rsidR="009C0F9B" w:rsidRDefault="002F6B50">
      <w:pPr>
        <w:pStyle w:val="Nadpis10"/>
        <w:keepNext/>
        <w:keepLines/>
        <w:shd w:val="clear" w:color="auto" w:fill="auto"/>
        <w:spacing w:after="140"/>
      </w:pPr>
      <w:bookmarkStart w:id="4" w:name="bookmark4"/>
      <w:bookmarkStart w:id="5" w:name="bookmark5"/>
      <w:r>
        <w:t>Cena plnění</w:t>
      </w:r>
      <w:bookmarkEnd w:id="4"/>
      <w:bookmarkEnd w:id="5"/>
    </w:p>
    <w:p w:rsidR="009C0F9B" w:rsidRDefault="002F6B50">
      <w:pPr>
        <w:pStyle w:val="Zkladntext1"/>
        <w:shd w:val="clear" w:color="auto" w:fill="auto"/>
        <w:spacing w:after="380"/>
      </w:pPr>
      <w:r>
        <w:t>Ceny čištění odpadních vod, čerpání a přepravy jsou uvedeny na stránkách příjemce.</w:t>
      </w:r>
    </w:p>
    <w:p w:rsidR="009C0F9B" w:rsidRDefault="002F6B50">
      <w:pPr>
        <w:pStyle w:val="Zkladntext1"/>
        <w:shd w:val="clear" w:color="auto" w:fill="auto"/>
        <w:ind w:left="4380"/>
      </w:pPr>
      <w:r>
        <w:rPr>
          <w:b/>
          <w:bCs/>
        </w:rPr>
        <w:t>V.</w:t>
      </w:r>
    </w:p>
    <w:p w:rsidR="009C0F9B" w:rsidRDefault="002F6B50">
      <w:pPr>
        <w:pStyle w:val="Nadpis10"/>
        <w:keepNext/>
        <w:keepLines/>
        <w:shd w:val="clear" w:color="auto" w:fill="auto"/>
        <w:spacing w:after="80"/>
        <w:ind w:left="4060"/>
      </w:pPr>
      <w:bookmarkStart w:id="6" w:name="bookmark6"/>
      <w:bookmarkStart w:id="7" w:name="bookmark7"/>
      <w:r>
        <w:t>Závěrečná</w:t>
      </w:r>
      <w:bookmarkEnd w:id="6"/>
      <w:bookmarkEnd w:id="7"/>
    </w:p>
    <w:p w:rsidR="009C0F9B" w:rsidRDefault="002F6B50">
      <w:pPr>
        <w:pStyle w:val="Zkladntext1"/>
        <w:numPr>
          <w:ilvl w:val="0"/>
          <w:numId w:val="3"/>
        </w:numPr>
        <w:shd w:val="clear" w:color="auto" w:fill="auto"/>
        <w:tabs>
          <w:tab w:val="left" w:pos="334"/>
        </w:tabs>
        <w:spacing w:line="264" w:lineRule="auto"/>
        <w:ind w:firstLine="140"/>
      </w:pPr>
      <w:r>
        <w:t xml:space="preserve">V ostatních touto smlouvou neupravených vztazích se obě smluvní strany řídí příslušnými ustanoveními platného </w:t>
      </w:r>
      <w:r>
        <w:t>občanského zákoníku.</w:t>
      </w:r>
    </w:p>
    <w:p w:rsidR="009C0F9B" w:rsidRDefault="002F6B50">
      <w:pPr>
        <w:pStyle w:val="Zkladntext1"/>
        <w:numPr>
          <w:ilvl w:val="0"/>
          <w:numId w:val="3"/>
        </w:numPr>
        <w:shd w:val="clear" w:color="auto" w:fill="auto"/>
        <w:tabs>
          <w:tab w:val="left" w:pos="339"/>
        </w:tabs>
        <w:spacing w:line="259" w:lineRule="auto"/>
        <w:ind w:firstLine="140"/>
      </w:pPr>
      <w:r>
        <w:t xml:space="preserve">Příjemce je oprávněn, odchylně od </w:t>
      </w:r>
      <w:proofErr w:type="gramStart"/>
      <w:r>
        <w:t>ustanoveni</w:t>
      </w:r>
      <w:proofErr w:type="gramEnd"/>
      <w:r>
        <w:t xml:space="preserve"> občanského zákoníku, vypovědět smlouvu s okamžitou platností, nebude-li za strany původce plněno ustanovení čl. 1 a 2</w:t>
      </w:r>
    </w:p>
    <w:p w:rsidR="009C0F9B" w:rsidRDefault="002F6B50">
      <w:pPr>
        <w:pStyle w:val="Zkladntext1"/>
        <w:shd w:val="clear" w:color="auto" w:fill="auto"/>
        <w:spacing w:line="259" w:lineRule="auto"/>
      </w:pPr>
      <w:proofErr w:type="gramStart"/>
      <w:r>
        <w:t>3.Smlouva</w:t>
      </w:r>
      <w:proofErr w:type="gramEnd"/>
      <w:r>
        <w:t xml:space="preserve"> je vyhotovena ve 2 stejnopisech, z nichž 1 stejnopis obdrží př</w:t>
      </w:r>
      <w:r>
        <w:t>íjemce a 1 původce.</w:t>
      </w:r>
    </w:p>
    <w:p w:rsidR="009C0F9B" w:rsidRDefault="002F6B50">
      <w:pPr>
        <w:pStyle w:val="Zkladntext1"/>
        <w:numPr>
          <w:ilvl w:val="0"/>
          <w:numId w:val="4"/>
        </w:numPr>
        <w:shd w:val="clear" w:color="auto" w:fill="auto"/>
        <w:spacing w:after="1220" w:line="259" w:lineRule="auto"/>
        <w:ind w:firstLine="140"/>
      </w:pPr>
      <w:r>
        <w:t>Tuto smlouvu lze měnit, doplňovat nebo zrušit pouze písemným ujednáním podepsaným oprávněnými zástupci smluvních stran.</w:t>
      </w:r>
    </w:p>
    <w:p w:rsidR="009C0F9B" w:rsidRDefault="002F6B50">
      <w:pPr>
        <w:pStyle w:val="Zkladntext1"/>
        <w:shd w:val="clear" w:color="auto" w:fill="auto"/>
        <w:spacing w:after="180"/>
        <w:ind w:firstLine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12700</wp:posOffset>
                </wp:positionV>
                <wp:extent cx="2639695" cy="40513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F9B" w:rsidRDefault="002F6B50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Za původce:</w:t>
                            </w:r>
                          </w:p>
                          <w:p w:rsidR="009C0F9B" w:rsidRDefault="002F6B50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430"/>
                                <w:tab w:val="left" w:leader="dot" w:pos="2563"/>
                              </w:tabs>
                            </w:pPr>
                            <w:r>
                              <w:t>y</w:t>
                            </w:r>
                            <w:r>
                              <w:tab/>
                              <w:t xml:space="preserve">Jihlavě   </w:t>
                            </w:r>
                            <w:proofErr w:type="gramStart"/>
                            <w:r>
                              <w:t>01</w:t>
                            </w:r>
                            <w:r>
                              <w:t>.06.</w:t>
                            </w:r>
                            <w:r>
                              <w:t xml:space="preserve"> 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3" type="#_x0000_t202" style="position:absolute;left:0;text-align:left;margin-left:38.85pt;margin-top:1pt;width:207.85pt;height:31.9pt;z-index:125829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" filled="f" stroked="f">
                <v:textbox inset="0,0,0,0">
                  <w:txbxContent>
                    <w:p w:rsidR="009C0F9B" w:rsidRDefault="002F6B50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Za původce:</w:t>
                      </w:r>
                    </w:p>
                    <w:p w:rsidR="009C0F9B" w:rsidRDefault="002F6B50">
                      <w:pPr>
                        <w:pStyle w:val="Zkladntext40"/>
                        <w:shd w:val="clear" w:color="auto" w:fill="auto"/>
                        <w:tabs>
                          <w:tab w:val="left" w:pos="1430"/>
                          <w:tab w:val="left" w:leader="dot" w:pos="2563"/>
                        </w:tabs>
                      </w:pPr>
                      <w:r>
                        <w:t>y</w:t>
                      </w:r>
                      <w:r>
                        <w:tab/>
                        <w:t xml:space="preserve">Jihlavě   </w:t>
                      </w:r>
                      <w:proofErr w:type="gramStart"/>
                      <w:r>
                        <w:t>01</w:t>
                      </w:r>
                      <w:r>
                        <w:t>.06.</w:t>
                      </w:r>
                      <w:r>
                        <w:t xml:space="preserve"> 2023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příjemce a přepravce:</w:t>
      </w:r>
    </w:p>
    <w:p w:rsidR="009C0F9B" w:rsidRDefault="002F6B50">
      <w:pPr>
        <w:pStyle w:val="Zkladntext1"/>
        <w:shd w:val="clear" w:color="auto" w:fill="auto"/>
        <w:spacing w:after="100"/>
        <w:ind w:firstLine="820"/>
        <w:sectPr w:rsidR="009C0F9B">
          <w:headerReference w:type="default" r:id="rId9"/>
          <w:pgSz w:w="11900" w:h="16840"/>
          <w:pgMar w:top="1013" w:right="1048" w:bottom="1013" w:left="551" w:header="0" w:footer="585" w:gutter="0"/>
          <w:cols w:space="720"/>
          <w:noEndnote/>
          <w:docGrid w:linePitch="360"/>
        </w:sectPr>
      </w:pPr>
      <w:bookmarkStart w:id="8" w:name="_GoBack"/>
      <w:r>
        <w:t>V Havlíčkově Brodě dne 10.05.2023</w:t>
      </w:r>
    </w:p>
    <w:bookmarkEnd w:id="8"/>
    <w:p w:rsidR="009C0F9B" w:rsidRDefault="002F6B50">
      <w:pPr>
        <w:pStyle w:val="Zkladntext1"/>
        <w:shd w:val="clear" w:color="auto" w:fill="auto"/>
      </w:pPr>
      <w:r>
        <w:lastRenderedPageBreak/>
        <w:t>Příloha č. 1 k zákonu č. 254/2001 Sb.</w:t>
      </w:r>
    </w:p>
    <w:p w:rsidR="009C0F9B" w:rsidRDefault="002F6B50">
      <w:pPr>
        <w:pStyle w:val="Zkladntext1"/>
        <w:shd w:val="clear" w:color="auto" w:fill="auto"/>
      </w:pPr>
      <w:r>
        <w:t>Zvlášť nebezpečné závadné a nebezpečné závadné látky</w:t>
      </w:r>
    </w:p>
    <w:p w:rsidR="009C0F9B" w:rsidRDefault="002F6B50">
      <w:pPr>
        <w:pStyle w:val="Zkladntext1"/>
        <w:numPr>
          <w:ilvl w:val="0"/>
          <w:numId w:val="5"/>
        </w:numPr>
        <w:shd w:val="clear" w:color="auto" w:fill="auto"/>
        <w:tabs>
          <w:tab w:val="left" w:pos="272"/>
        </w:tabs>
      </w:pPr>
      <w:r>
        <w:t>Zvlášť nebezpečné závadné látky</w:t>
      </w:r>
    </w:p>
    <w:p w:rsidR="009C0F9B" w:rsidRDefault="002F6B50">
      <w:pPr>
        <w:pStyle w:val="Zkladntext1"/>
        <w:shd w:val="clear" w:color="auto" w:fill="auto"/>
        <w:spacing w:line="259" w:lineRule="auto"/>
      </w:pPr>
      <w:r>
        <w:t xml:space="preserve">Zvlášť nebezpečné závadné látky jsou látky náležející do </w:t>
      </w:r>
      <w:r>
        <w:t>dále uvedených skupin látek, s výjimkou těch, jež jsou biologicky neškodné nebo se rychle mění na látky biologicky neškodné:</w:t>
      </w:r>
    </w:p>
    <w:p w:rsidR="009C0F9B" w:rsidRDefault="002F6B50">
      <w:pPr>
        <w:pStyle w:val="Zkladntext1"/>
        <w:numPr>
          <w:ilvl w:val="0"/>
          <w:numId w:val="6"/>
        </w:numPr>
        <w:shd w:val="clear" w:color="auto" w:fill="auto"/>
        <w:tabs>
          <w:tab w:val="left" w:pos="325"/>
        </w:tabs>
      </w:pPr>
      <w:proofErr w:type="spellStart"/>
      <w:r>
        <w:t>organohalogenové</w:t>
      </w:r>
      <w:proofErr w:type="spellEnd"/>
      <w:r>
        <w:t xml:space="preserve"> sloučeniny a látky, které mohou tvořit takové sloučeniny ve vodním prostředí,</w:t>
      </w:r>
    </w:p>
    <w:p w:rsidR="009C0F9B" w:rsidRDefault="002F6B50">
      <w:pPr>
        <w:pStyle w:val="Zkladntext1"/>
        <w:numPr>
          <w:ilvl w:val="0"/>
          <w:numId w:val="6"/>
        </w:numPr>
        <w:shd w:val="clear" w:color="auto" w:fill="auto"/>
        <w:tabs>
          <w:tab w:val="left" w:pos="339"/>
        </w:tabs>
      </w:pPr>
      <w:proofErr w:type="spellStart"/>
      <w:r>
        <w:t>organofosforové</w:t>
      </w:r>
      <w:proofErr w:type="spellEnd"/>
      <w:r>
        <w:t xml:space="preserve"> sloučeniny,</w:t>
      </w:r>
    </w:p>
    <w:p w:rsidR="009C0F9B" w:rsidRDefault="002F6B50">
      <w:pPr>
        <w:pStyle w:val="Zkladntext1"/>
        <w:numPr>
          <w:ilvl w:val="0"/>
          <w:numId w:val="6"/>
        </w:numPr>
        <w:shd w:val="clear" w:color="auto" w:fill="auto"/>
        <w:tabs>
          <w:tab w:val="left" w:pos="339"/>
        </w:tabs>
      </w:pPr>
      <w:proofErr w:type="spellStart"/>
      <w:r>
        <w:t>organocí</w:t>
      </w:r>
      <w:r>
        <w:t>nové</w:t>
      </w:r>
      <w:proofErr w:type="spellEnd"/>
      <w:r>
        <w:t xml:space="preserve"> sloučeniny,</w:t>
      </w:r>
    </w:p>
    <w:p w:rsidR="009C0F9B" w:rsidRDefault="002F6B50">
      <w:pPr>
        <w:pStyle w:val="Zkladntext1"/>
        <w:numPr>
          <w:ilvl w:val="0"/>
          <w:numId w:val="6"/>
        </w:numPr>
        <w:shd w:val="clear" w:color="auto" w:fill="auto"/>
        <w:tabs>
          <w:tab w:val="left" w:pos="339"/>
        </w:tabs>
      </w:pPr>
      <w:r>
        <w:t xml:space="preserve">látky nebo produkty jejich rozkladu, u kterých byly prokázány karcinogenní nebo mutagenní vlastnosti, které mohou ovlivnit produkci steroidů, štítnou žlázu, rozmnožování nebo jiné endokrinní funkce ve vodním prostředí nebo zprostředkovaně </w:t>
      </w:r>
      <w:r>
        <w:t>přes vodní prostředí,</w:t>
      </w:r>
    </w:p>
    <w:p w:rsidR="009C0F9B" w:rsidRDefault="002F6B50">
      <w:pPr>
        <w:pStyle w:val="Zkladntext1"/>
        <w:numPr>
          <w:ilvl w:val="0"/>
          <w:numId w:val="6"/>
        </w:numPr>
        <w:shd w:val="clear" w:color="auto" w:fill="auto"/>
        <w:tabs>
          <w:tab w:val="left" w:pos="339"/>
        </w:tabs>
      </w:pPr>
      <w:r>
        <w:t>rtuť a její sloučeniny,</w:t>
      </w:r>
    </w:p>
    <w:p w:rsidR="009C0F9B" w:rsidRDefault="002F6B50">
      <w:pPr>
        <w:pStyle w:val="Zkladntext1"/>
        <w:numPr>
          <w:ilvl w:val="0"/>
          <w:numId w:val="6"/>
        </w:numPr>
        <w:shd w:val="clear" w:color="auto" w:fill="auto"/>
        <w:tabs>
          <w:tab w:val="left" w:pos="339"/>
        </w:tabs>
      </w:pPr>
      <w:r>
        <w:t>kadmium a jeho sloučeniny,</w:t>
      </w:r>
    </w:p>
    <w:p w:rsidR="009C0F9B" w:rsidRDefault="002F6B50">
      <w:pPr>
        <w:pStyle w:val="Zkladntext1"/>
        <w:numPr>
          <w:ilvl w:val="0"/>
          <w:numId w:val="6"/>
        </w:numPr>
        <w:shd w:val="clear" w:color="auto" w:fill="auto"/>
        <w:tabs>
          <w:tab w:val="left" w:pos="339"/>
        </w:tabs>
      </w:pPr>
      <w:r>
        <w:t>persistentní minerální oleje a persistentní uhlovodíky ropného původu,</w:t>
      </w:r>
    </w:p>
    <w:p w:rsidR="009C0F9B" w:rsidRDefault="002F6B50">
      <w:pPr>
        <w:pStyle w:val="Zkladntext1"/>
        <w:numPr>
          <w:ilvl w:val="0"/>
          <w:numId w:val="6"/>
        </w:numPr>
        <w:shd w:val="clear" w:color="auto" w:fill="auto"/>
        <w:tabs>
          <w:tab w:val="left" w:pos="339"/>
        </w:tabs>
      </w:pPr>
      <w:r>
        <w:t xml:space="preserve">persistentní syntetické látky, které se mohou vznášet, zůstávat v suspenzi nebo klesnout ke dnu a které mohou </w:t>
      </w:r>
      <w:r>
        <w:t>zasahovat do jakéhokoliv užívání vod.</w:t>
      </w:r>
    </w:p>
    <w:p w:rsidR="009C0F9B" w:rsidRDefault="002F6B50">
      <w:pPr>
        <w:pStyle w:val="Zkladntext1"/>
        <w:shd w:val="clear" w:color="auto" w:fill="auto"/>
      </w:pPr>
      <w:r>
        <w:t xml:space="preserve">Jednotlivé zvlášť nebezpečné závadné látky jsou uvedeny pod označením zvlášť nebezpečné závadné látky nebo prioritní nebezpečné látky v nařízení vlády vydaném podle § 39 odst. 3; ostatní látky náležející do uvedených </w:t>
      </w:r>
      <w:r>
        <w:t xml:space="preserve">skupin, ale v </w:t>
      </w:r>
      <w:proofErr w:type="gramStart"/>
      <w:r>
        <w:t>nařízeni</w:t>
      </w:r>
      <w:proofErr w:type="gramEnd"/>
      <w:r>
        <w:t xml:space="preserve"> vlády neoznačené jako zvlášť nebezpečné závadné látky nebo prioritní nebezpečné látky, se považují za nebezpečné závadné látky.</w:t>
      </w:r>
    </w:p>
    <w:p w:rsidR="009C0F9B" w:rsidRDefault="002F6B50">
      <w:pPr>
        <w:pStyle w:val="Zkladntext1"/>
        <w:shd w:val="clear" w:color="auto" w:fill="auto"/>
      </w:pPr>
      <w:r>
        <w:t>II. Nebezpečné závadné látky</w:t>
      </w:r>
    </w:p>
    <w:p w:rsidR="009C0F9B" w:rsidRDefault="002F6B50">
      <w:pPr>
        <w:pStyle w:val="Zkladntext1"/>
        <w:shd w:val="clear" w:color="auto" w:fill="auto"/>
      </w:pPr>
      <w:r>
        <w:t>Nebezpečné závadné látky jsou látky náležející do dále uvedených skupin: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20"/>
        </w:tabs>
      </w:pPr>
      <w:r>
        <w:t>Slo</w:t>
      </w:r>
      <w:r>
        <w:t>učeniny metaloidů a kovů: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20"/>
        </w:tabs>
      </w:pPr>
      <w:r>
        <w:t>zinek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39"/>
        </w:tabs>
      </w:pPr>
      <w:r>
        <w:t>měď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39"/>
        </w:tabs>
      </w:pPr>
      <w:r>
        <w:t>nikl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44"/>
        </w:tabs>
      </w:pPr>
      <w:r>
        <w:t>chrom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44"/>
        </w:tabs>
      </w:pPr>
      <w:r>
        <w:t>olovo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44"/>
        </w:tabs>
      </w:pPr>
      <w:r>
        <w:t>selen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44"/>
        </w:tabs>
      </w:pPr>
      <w:r>
        <w:t>arsen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44"/>
        </w:tabs>
      </w:pPr>
      <w:r>
        <w:t>antimon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344"/>
        </w:tabs>
      </w:pPr>
      <w:r>
        <w:t>molybden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titan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cín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baryum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beryllium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bor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uran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vanad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kobalt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thallium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tellur</w:t>
      </w:r>
    </w:p>
    <w:p w:rsidR="009C0F9B" w:rsidRDefault="002F6B50">
      <w:pPr>
        <w:pStyle w:val="Zkladntext1"/>
        <w:numPr>
          <w:ilvl w:val="0"/>
          <w:numId w:val="8"/>
        </w:numPr>
        <w:shd w:val="clear" w:color="auto" w:fill="auto"/>
        <w:tabs>
          <w:tab w:val="left" w:pos="450"/>
        </w:tabs>
      </w:pPr>
      <w:r>
        <w:t>stříbro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34"/>
        </w:tabs>
      </w:pPr>
      <w:r>
        <w:t>Biocidy a jejich deriváty neuvedené v seznamu zvlášť nebezpečných závadných látek.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34"/>
        </w:tabs>
      </w:pPr>
      <w:r>
        <w:t xml:space="preserve">Látky, které mají </w:t>
      </w:r>
      <w:r>
        <w:t>škodlivý účinek na chuť nebo na vůni produktů pro lidskou spotřebu pocházejících z vodního prostředí, a sloučeniny mající schopnost zvýšit obsah těchto látek ve vodách.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44"/>
        </w:tabs>
      </w:pPr>
      <w:r>
        <w:t>Toxické nebo persistentní organické sloučeniny křemíku a látky, které mohou zvýšit obsa</w:t>
      </w:r>
      <w:r>
        <w:t>h těchto sloučenin ve vodách, vyjma těch, jež jsou biologicky neškodné nebo se rychle přeměňují ve vodě na neškodné látky.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44"/>
        </w:tabs>
      </w:pPr>
      <w:r>
        <w:t>Elementární fosfor a anorganické sloučeniny fosforu.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44"/>
        </w:tabs>
      </w:pPr>
      <w:r>
        <w:t>Nepersistentní minerální oleje a nepersistentní uhlovodíky ropného původu.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44"/>
        </w:tabs>
      </w:pPr>
      <w:r>
        <w:t>Fluor</w:t>
      </w:r>
      <w:r>
        <w:t>idy.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44"/>
        </w:tabs>
      </w:pPr>
      <w:proofErr w:type="gramStart"/>
      <w:r>
        <w:t>Látky</w:t>
      </w:r>
      <w:proofErr w:type="gramEnd"/>
      <w:r>
        <w:t xml:space="preserve">, které máji nepříznivý účinek na kyslíkovou rovnováhu, zejména amonné soli a </w:t>
      </w:r>
      <w:proofErr w:type="gramStart"/>
      <w:r>
        <w:t>dusitany.</w:t>
      </w:r>
      <w:proofErr w:type="gramEnd"/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344"/>
        </w:tabs>
      </w:pPr>
      <w:r>
        <w:t>Kyanidy.</w:t>
      </w:r>
    </w:p>
    <w:p w:rsidR="009C0F9B" w:rsidRDefault="002F6B50">
      <w:pPr>
        <w:pStyle w:val="Zkladntext1"/>
        <w:numPr>
          <w:ilvl w:val="0"/>
          <w:numId w:val="7"/>
        </w:numPr>
        <w:shd w:val="clear" w:color="auto" w:fill="auto"/>
        <w:tabs>
          <w:tab w:val="left" w:pos="430"/>
        </w:tabs>
        <w:sectPr w:rsidR="009C0F9B">
          <w:headerReference w:type="default" r:id="rId10"/>
          <w:pgSz w:w="11900" w:h="16840"/>
          <w:pgMar w:top="1120" w:right="1074" w:bottom="1120" w:left="861" w:header="692" w:footer="3" w:gutter="0"/>
          <w:cols w:space="720"/>
          <w:noEndnote/>
          <w:docGrid w:linePitch="360"/>
        </w:sectPr>
      </w:pPr>
      <w:proofErr w:type="spellStart"/>
      <w:r>
        <w:t>Sedimentovatelné</w:t>
      </w:r>
      <w:proofErr w:type="spellEnd"/>
      <w:r>
        <w:t xml:space="preserve"> tuhé látky, které mají nepříznivý účinek na dobrý stav povrchových vod.</w:t>
      </w:r>
    </w:p>
    <w:p w:rsidR="009C0F9B" w:rsidRDefault="009C0F9B">
      <w:pPr>
        <w:framePr w:w="91" w:h="197" w:wrap="none" w:hAnchor="page" w:x="1360" w:y="1"/>
      </w:pPr>
    </w:p>
    <w:p w:rsidR="009C0F9B" w:rsidRDefault="009C0F9B">
      <w:pPr>
        <w:spacing w:after="196" w:line="1" w:lineRule="exact"/>
      </w:pPr>
    </w:p>
    <w:p w:rsidR="009C0F9B" w:rsidRDefault="009C0F9B">
      <w:pPr>
        <w:spacing w:line="1" w:lineRule="exact"/>
      </w:pPr>
    </w:p>
    <w:sectPr w:rsidR="009C0F9B">
      <w:pgSz w:w="11900" w:h="16840"/>
      <w:pgMar w:top="16407" w:right="10450" w:bottom="36" w:left="1359" w:header="1597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6B50">
      <w:r>
        <w:separator/>
      </w:r>
    </w:p>
  </w:endnote>
  <w:endnote w:type="continuationSeparator" w:id="0">
    <w:p w:rsidR="00000000" w:rsidRDefault="002F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9B" w:rsidRDefault="009C0F9B"/>
  </w:footnote>
  <w:footnote w:type="continuationSeparator" w:id="0">
    <w:p w:rsidR="009C0F9B" w:rsidRDefault="009C0F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9B" w:rsidRDefault="002F6B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3288030</wp:posOffset>
              </wp:positionH>
              <wp:positionV relativeFrom="page">
                <wp:posOffset>499745</wp:posOffset>
              </wp:positionV>
              <wp:extent cx="88265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0F9B" w:rsidRDefault="002F6B5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58.89999999999998pt;margin-top:39.350000000000001pt;width:6.9500000000000002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9B" w:rsidRDefault="009C0F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84B"/>
    <w:multiLevelType w:val="multilevel"/>
    <w:tmpl w:val="3B6E3B3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B7F2C"/>
    <w:multiLevelType w:val="multilevel"/>
    <w:tmpl w:val="0FF484E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A67BF"/>
    <w:multiLevelType w:val="multilevel"/>
    <w:tmpl w:val="C23AAA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D1577"/>
    <w:multiLevelType w:val="multilevel"/>
    <w:tmpl w:val="442CE2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C5AAC"/>
    <w:multiLevelType w:val="multilevel"/>
    <w:tmpl w:val="8256C4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3647CE"/>
    <w:multiLevelType w:val="multilevel"/>
    <w:tmpl w:val="C3F892C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422D60"/>
    <w:multiLevelType w:val="multilevel"/>
    <w:tmpl w:val="CFA2FB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66476A"/>
    <w:multiLevelType w:val="multilevel"/>
    <w:tmpl w:val="E36C390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C0F9B"/>
    <w:rsid w:val="002F6B50"/>
    <w:rsid w:val="009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3A567D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</w:pPr>
    <w:rPr>
      <w:rFonts w:ascii="Arial" w:eastAsia="Arial" w:hAnsi="Arial" w:cs="Arial"/>
      <w:b/>
      <w:bCs/>
      <w:color w:val="3A567D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60" w:lineRule="auto"/>
      <w:ind w:left="7040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396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mbria" w:eastAsia="Cambria" w:hAnsi="Cambria" w:cs="Cambria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3A567D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</w:pPr>
    <w:rPr>
      <w:rFonts w:ascii="Arial" w:eastAsia="Arial" w:hAnsi="Arial" w:cs="Arial"/>
      <w:b/>
      <w:bCs/>
      <w:color w:val="3A567D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60" w:lineRule="auto"/>
      <w:ind w:left="7040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396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mbria" w:eastAsia="Cambria" w:hAnsi="Cambria" w:cs="Cambria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2023-06-02T06:03:00Z</dcterms:created>
  <dcterms:modified xsi:type="dcterms:W3CDTF">2023-06-02T06:03:00Z</dcterms:modified>
</cp:coreProperties>
</file>