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C" w:rsidRPr="001324C2" w:rsidRDefault="00DB7C0C" w:rsidP="00DB7C0C">
      <w:pPr>
        <w:jc w:val="center"/>
        <w:rPr>
          <w:rFonts w:ascii="Arial" w:hAnsi="Arial" w:cs="Arial"/>
          <w:b/>
          <w:sz w:val="24"/>
          <w:szCs w:val="24"/>
        </w:rPr>
      </w:pPr>
      <w:r w:rsidRPr="001324C2">
        <w:rPr>
          <w:rFonts w:ascii="Arial" w:hAnsi="Arial" w:cs="Arial"/>
          <w:b/>
          <w:sz w:val="24"/>
          <w:szCs w:val="24"/>
        </w:rPr>
        <w:t>Rámcová kupní smlouva</w:t>
      </w:r>
    </w:p>
    <w:p w:rsidR="00DB7C0C" w:rsidRDefault="00DB7C0C" w:rsidP="00DB7C0C">
      <w:pPr>
        <w:jc w:val="center"/>
        <w:rPr>
          <w:rFonts w:ascii="Arial" w:hAnsi="Arial" w:cs="Arial"/>
          <w:b/>
        </w:rPr>
      </w:pPr>
    </w:p>
    <w:p w:rsidR="00DB7C0C" w:rsidRPr="001324C2" w:rsidRDefault="00DB7C0C" w:rsidP="00DB7C0C">
      <w:pPr>
        <w:jc w:val="center"/>
        <w:rPr>
          <w:rFonts w:ascii="Arial" w:hAnsi="Arial" w:cs="Arial"/>
          <w:b/>
          <w:sz w:val="32"/>
          <w:szCs w:val="32"/>
        </w:rPr>
      </w:pPr>
      <w:r w:rsidRPr="001324C2">
        <w:rPr>
          <w:rFonts w:ascii="Arial" w:hAnsi="Arial" w:cs="Arial"/>
          <w:b/>
          <w:sz w:val="32"/>
          <w:szCs w:val="32"/>
        </w:rPr>
        <w:t xml:space="preserve">Nákup reagencií do integrovaného analyzátoru pro potřeby </w:t>
      </w:r>
    </w:p>
    <w:p w:rsidR="00DB7C0C" w:rsidRPr="001324C2" w:rsidRDefault="00DB7C0C" w:rsidP="00DB7C0C">
      <w:pPr>
        <w:jc w:val="center"/>
        <w:rPr>
          <w:rFonts w:ascii="Arial" w:hAnsi="Arial" w:cs="Arial"/>
          <w:sz w:val="32"/>
          <w:szCs w:val="32"/>
        </w:rPr>
      </w:pPr>
      <w:r w:rsidRPr="001324C2">
        <w:rPr>
          <w:rFonts w:ascii="Arial" w:hAnsi="Arial" w:cs="Arial"/>
          <w:b/>
          <w:sz w:val="32"/>
          <w:szCs w:val="32"/>
        </w:rPr>
        <w:t>Oddělení klinických laboratoří</w:t>
      </w:r>
    </w:p>
    <w:p w:rsidR="00DB7C0C" w:rsidRPr="0071313C" w:rsidRDefault="00DB7C0C" w:rsidP="00DB7C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podle § </w:t>
      </w:r>
      <w:smartTag w:uri="urn:schemas-microsoft-com:office:smarttags" w:element="metricconverter">
        <w:smartTagPr>
          <w:attr w:name="ProductID" w:val="2079 a"/>
        </w:smartTagPr>
        <w:r w:rsidRPr="0071313C">
          <w:rPr>
            <w:rFonts w:ascii="Arial" w:hAnsi="Arial" w:cs="Arial"/>
          </w:rPr>
          <w:t>2079 a</w:t>
        </w:r>
      </w:smartTag>
      <w:r w:rsidRPr="0071313C">
        <w:rPr>
          <w:rFonts w:ascii="Arial" w:hAnsi="Arial" w:cs="Arial"/>
        </w:rPr>
        <w:t xml:space="preserve"> násl. občanského zákoníku, uzavřená mezi</w:t>
      </w:r>
    </w:p>
    <w:p w:rsidR="00DB7C0C" w:rsidRDefault="00DB7C0C" w:rsidP="00DB7C0C">
      <w:pPr>
        <w:jc w:val="both"/>
        <w:rPr>
          <w:rFonts w:ascii="Arial" w:hAnsi="Arial" w:cs="Arial"/>
        </w:rPr>
      </w:pPr>
    </w:p>
    <w:p w:rsidR="00DB7C0C" w:rsidRDefault="00DB7C0C" w:rsidP="00DB7C0C">
      <w:pPr>
        <w:jc w:val="both"/>
        <w:rPr>
          <w:rFonts w:ascii="Arial" w:hAnsi="Arial" w:cs="Arial"/>
        </w:rPr>
      </w:pPr>
    </w:p>
    <w:p w:rsidR="00DB7C0C" w:rsidRDefault="00DB7C0C" w:rsidP="00DB7C0C">
      <w:pPr>
        <w:jc w:val="both"/>
        <w:rPr>
          <w:rFonts w:ascii="Arial" w:hAnsi="Arial" w:cs="Arial"/>
        </w:rPr>
      </w:pPr>
    </w:p>
    <w:p w:rsidR="00DB7C0C" w:rsidRDefault="00DB7C0C" w:rsidP="00DB7C0C">
      <w:pPr>
        <w:ind w:left="720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EB04EF" w:rsidRPr="0071313C" w:rsidRDefault="00EB04EF" w:rsidP="00EB04EF">
      <w:pPr>
        <w:jc w:val="both"/>
        <w:rPr>
          <w:rFonts w:ascii="Arial" w:hAnsi="Arial" w:cs="Arial"/>
          <w:b/>
        </w:rPr>
      </w:pPr>
      <w:r w:rsidRPr="0071313C">
        <w:rPr>
          <w:rFonts w:ascii="Arial" w:hAnsi="Arial" w:cs="Arial"/>
          <w:b/>
        </w:rPr>
        <w:t>Prodávající:</w:t>
      </w:r>
      <w:r w:rsidRPr="0071313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Abbott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Laboratories</w:t>
      </w:r>
      <w:proofErr w:type="spellEnd"/>
      <w:r>
        <w:rPr>
          <w:rFonts w:ascii="Arial" w:hAnsi="Arial" w:cs="Arial"/>
          <w:b/>
        </w:rPr>
        <w:t>, s.r.o.</w:t>
      </w:r>
    </w:p>
    <w:p w:rsidR="00EB04EF" w:rsidRPr="0071313C" w:rsidRDefault="00EB04EF" w:rsidP="00EB04EF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Sídlem: </w:t>
      </w:r>
      <w:r w:rsidRPr="0071313C">
        <w:rPr>
          <w:rFonts w:ascii="Arial" w:hAnsi="Arial" w:cs="Arial"/>
        </w:rPr>
        <w:tab/>
      </w:r>
      <w:r>
        <w:rPr>
          <w:rFonts w:ascii="Arial" w:hAnsi="Arial" w:cs="Arial"/>
        </w:rPr>
        <w:tab/>
        <w:t>Evropská 2591/33d, 160 00 Praha 6</w:t>
      </w:r>
    </w:p>
    <w:p w:rsidR="00EB04EF" w:rsidRDefault="00EB04EF" w:rsidP="00EB04EF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Zastoupen: </w:t>
      </w:r>
      <w:r w:rsidRPr="0071313C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Monikou </w:t>
      </w:r>
      <w:proofErr w:type="spellStart"/>
      <w:r>
        <w:rPr>
          <w:rFonts w:ascii="Arial" w:hAnsi="Arial" w:cs="Arial"/>
        </w:rPr>
        <w:t>Pősovou</w:t>
      </w:r>
      <w:proofErr w:type="spellEnd"/>
      <w:r>
        <w:rPr>
          <w:rFonts w:ascii="Arial" w:hAnsi="Arial" w:cs="Arial"/>
        </w:rPr>
        <w:t>, jednatelem</w:t>
      </w:r>
    </w:p>
    <w:p w:rsidR="00EB04EF" w:rsidRPr="0071313C" w:rsidRDefault="00EB04EF" w:rsidP="00EB04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Zmocněná osoba:</w:t>
      </w:r>
      <w:r>
        <w:rPr>
          <w:rFonts w:ascii="Arial" w:hAnsi="Arial" w:cs="Arial"/>
        </w:rPr>
        <w:tab/>
        <w:t xml:space="preserve">Ing. Jitka </w:t>
      </w:r>
      <w:proofErr w:type="spellStart"/>
      <w:r>
        <w:rPr>
          <w:rFonts w:ascii="Arial" w:hAnsi="Arial" w:cs="Arial"/>
        </w:rPr>
        <w:t>Drmlová</w:t>
      </w:r>
      <w:proofErr w:type="spellEnd"/>
      <w:r>
        <w:rPr>
          <w:rFonts w:ascii="Arial" w:hAnsi="Arial" w:cs="Arial"/>
        </w:rPr>
        <w:t xml:space="preserve">, Finance </w:t>
      </w:r>
      <w:proofErr w:type="spellStart"/>
      <w:r>
        <w:rPr>
          <w:rFonts w:ascii="Arial" w:hAnsi="Arial" w:cs="Arial"/>
        </w:rPr>
        <w:t>Manager</w:t>
      </w:r>
      <w:proofErr w:type="spellEnd"/>
      <w:r>
        <w:rPr>
          <w:rFonts w:ascii="Arial" w:hAnsi="Arial" w:cs="Arial"/>
        </w:rPr>
        <w:t xml:space="preserve"> CR&amp;SR&amp;PL na základě plné moci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Abbott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Laboratories</w:t>
      </w:r>
      <w:proofErr w:type="spellEnd"/>
      <w:r>
        <w:rPr>
          <w:rFonts w:ascii="Arial" w:hAnsi="Arial" w:cs="Arial"/>
        </w:rPr>
        <w:t>, s.r.o.</w:t>
      </w:r>
    </w:p>
    <w:p w:rsidR="00EB04EF" w:rsidRPr="0071313C" w:rsidRDefault="00EB04EF" w:rsidP="00EB04EF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IČO:             </w:t>
      </w:r>
      <w:r w:rsidRPr="0071313C">
        <w:rPr>
          <w:rFonts w:ascii="Arial" w:hAnsi="Arial" w:cs="Arial"/>
        </w:rPr>
        <w:tab/>
      </w:r>
      <w:r>
        <w:rPr>
          <w:rFonts w:ascii="Arial" w:hAnsi="Arial" w:cs="Arial"/>
        </w:rPr>
        <w:tab/>
        <w:t>25095145</w:t>
      </w:r>
    </w:p>
    <w:p w:rsidR="00DB7C0C" w:rsidRDefault="00EB04EF" w:rsidP="00EB04EF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DIČ:             </w:t>
      </w:r>
      <w:r w:rsidRPr="0071313C">
        <w:rPr>
          <w:rFonts w:ascii="Arial" w:hAnsi="Arial" w:cs="Arial"/>
        </w:rPr>
        <w:tab/>
      </w:r>
      <w:r>
        <w:rPr>
          <w:rFonts w:ascii="Arial" w:hAnsi="Arial" w:cs="Arial"/>
        </w:rPr>
        <w:tab/>
        <w:t>CZ25095145</w:t>
      </w:r>
    </w:p>
    <w:p w:rsidR="00EB04EF" w:rsidRPr="0071313C" w:rsidRDefault="00EB04EF" w:rsidP="00EB04EF">
      <w:pPr>
        <w:jc w:val="both"/>
        <w:rPr>
          <w:rFonts w:ascii="Arial" w:hAnsi="Arial" w:cs="Arial"/>
          <w:b/>
        </w:rPr>
      </w:pPr>
    </w:p>
    <w:p w:rsidR="00DB7C0C" w:rsidRPr="0071313C" w:rsidRDefault="00DB7C0C" w:rsidP="00DB7C0C">
      <w:pPr>
        <w:jc w:val="both"/>
        <w:rPr>
          <w:rFonts w:ascii="Arial" w:hAnsi="Arial" w:cs="Arial"/>
          <w:b/>
        </w:rPr>
      </w:pPr>
      <w:r w:rsidRPr="0071313C">
        <w:rPr>
          <w:rFonts w:ascii="Arial" w:hAnsi="Arial" w:cs="Arial"/>
        </w:rPr>
        <w:t>jako prodávající (dále jen „prodávající“), a</w:t>
      </w:r>
    </w:p>
    <w:p w:rsidR="00DB7C0C" w:rsidRPr="0071313C" w:rsidRDefault="00DB7C0C" w:rsidP="00DB7C0C">
      <w:pPr>
        <w:jc w:val="both"/>
        <w:rPr>
          <w:rFonts w:ascii="Arial" w:hAnsi="Arial" w:cs="Arial"/>
          <w:b/>
        </w:rPr>
      </w:pPr>
    </w:p>
    <w:p w:rsidR="00DB7C0C" w:rsidRPr="0071313C" w:rsidRDefault="00DB7C0C" w:rsidP="00DB7C0C">
      <w:pPr>
        <w:jc w:val="both"/>
        <w:rPr>
          <w:rFonts w:ascii="Arial" w:hAnsi="Arial" w:cs="Arial"/>
          <w:b/>
        </w:rPr>
      </w:pPr>
      <w:r w:rsidRPr="0071313C">
        <w:rPr>
          <w:rFonts w:ascii="Arial" w:hAnsi="Arial" w:cs="Arial"/>
          <w:b/>
        </w:rPr>
        <w:t>Kupující:</w:t>
      </w:r>
      <w:r w:rsidRPr="0071313C">
        <w:rPr>
          <w:rFonts w:ascii="Arial" w:hAnsi="Arial" w:cs="Arial"/>
          <w:b/>
        </w:rPr>
        <w:tab/>
      </w:r>
      <w:r w:rsidR="00EB04EF">
        <w:rPr>
          <w:rFonts w:ascii="Arial" w:hAnsi="Arial" w:cs="Arial"/>
          <w:b/>
        </w:rPr>
        <w:tab/>
      </w:r>
      <w:r w:rsidRPr="0071313C">
        <w:rPr>
          <w:rFonts w:ascii="Arial" w:hAnsi="Arial" w:cs="Arial"/>
          <w:b/>
        </w:rPr>
        <w:t>Nemocnice Milosrdných bratří, příspěvková organizace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Sídlem: </w:t>
      </w:r>
      <w:r w:rsidRPr="0071313C">
        <w:rPr>
          <w:rFonts w:ascii="Arial" w:hAnsi="Arial" w:cs="Arial"/>
        </w:rPr>
        <w:tab/>
      </w:r>
      <w:r w:rsidR="00EB04EF">
        <w:rPr>
          <w:rFonts w:ascii="Arial" w:hAnsi="Arial" w:cs="Arial"/>
        </w:rPr>
        <w:tab/>
      </w:r>
      <w:r w:rsidRPr="0071313C">
        <w:rPr>
          <w:rFonts w:ascii="Arial" w:hAnsi="Arial" w:cs="Arial"/>
        </w:rPr>
        <w:t>Polní 3, 639 00 Brno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Zastoupen: </w:t>
      </w:r>
      <w:r w:rsidRPr="0071313C">
        <w:rPr>
          <w:rFonts w:ascii="Arial" w:hAnsi="Arial" w:cs="Arial"/>
        </w:rPr>
        <w:tab/>
      </w:r>
      <w:r w:rsidR="00EB04EF">
        <w:rPr>
          <w:rFonts w:ascii="Arial" w:hAnsi="Arial" w:cs="Arial"/>
        </w:rPr>
        <w:tab/>
      </w:r>
      <w:r w:rsidRPr="0071313C">
        <w:rPr>
          <w:rFonts w:ascii="Arial" w:hAnsi="Arial" w:cs="Arial"/>
        </w:rPr>
        <w:t>MUDr. Josefem Drbalem, ředitelem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IČO:             </w:t>
      </w:r>
      <w:r w:rsidRPr="0071313C">
        <w:rPr>
          <w:rFonts w:ascii="Arial" w:hAnsi="Arial" w:cs="Arial"/>
        </w:rPr>
        <w:tab/>
      </w:r>
      <w:r w:rsidR="00EB04EF">
        <w:rPr>
          <w:rFonts w:ascii="Arial" w:hAnsi="Arial" w:cs="Arial"/>
        </w:rPr>
        <w:tab/>
      </w:r>
      <w:r w:rsidRPr="0071313C">
        <w:rPr>
          <w:rFonts w:ascii="Arial" w:hAnsi="Arial" w:cs="Arial"/>
        </w:rPr>
        <w:t>48512478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DIČ:             </w:t>
      </w:r>
      <w:r w:rsidRPr="0071313C">
        <w:rPr>
          <w:rFonts w:ascii="Arial" w:hAnsi="Arial" w:cs="Arial"/>
        </w:rPr>
        <w:tab/>
      </w:r>
      <w:r w:rsidR="00EB04EF">
        <w:rPr>
          <w:rFonts w:ascii="Arial" w:hAnsi="Arial" w:cs="Arial"/>
        </w:rPr>
        <w:tab/>
      </w:r>
      <w:r w:rsidRPr="0071313C">
        <w:rPr>
          <w:rFonts w:ascii="Arial" w:hAnsi="Arial" w:cs="Arial"/>
        </w:rPr>
        <w:t>CZ48512478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>jako kupujícím (dále jen „kupující“)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E31302" w:rsidRDefault="00DB7C0C" w:rsidP="00DB7C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31302">
        <w:rPr>
          <w:rFonts w:ascii="Arial" w:hAnsi="Arial" w:cs="Arial"/>
          <w:color w:val="auto"/>
          <w:sz w:val="20"/>
          <w:szCs w:val="20"/>
        </w:rPr>
        <w:t xml:space="preserve">Prodávající je oprávněn na základě svého vlastnického práva a příslušného oprávnění obchodovat se zbožím ve formě </w:t>
      </w:r>
      <w:r w:rsidR="00800E49" w:rsidRPr="00E31302">
        <w:rPr>
          <w:rFonts w:ascii="Arial" w:hAnsi="Arial" w:cs="Arial"/>
          <w:color w:val="auto"/>
          <w:sz w:val="20"/>
          <w:szCs w:val="20"/>
        </w:rPr>
        <w:t xml:space="preserve">spotřebního materiálu pro analyzátory v klinických laboratořích, jehož specifikace je uvedena v příloze č. 1, která je nedílnou součástí této smlouvy. Není-li prodávající přímo výrobcem příslušného zboží, rozumí se příslušným oprávněním podle tohoto článku této smlouvy pověření </w:t>
      </w:r>
      <w:r w:rsidR="009E6782" w:rsidRPr="00E31302">
        <w:rPr>
          <w:rFonts w:ascii="Arial" w:hAnsi="Arial" w:cs="Arial"/>
          <w:color w:val="auto"/>
          <w:sz w:val="20"/>
          <w:szCs w:val="20"/>
        </w:rPr>
        <w:t xml:space="preserve">od </w:t>
      </w:r>
      <w:r w:rsidR="00800E49" w:rsidRPr="00E31302">
        <w:rPr>
          <w:rFonts w:ascii="Arial" w:hAnsi="Arial" w:cs="Arial"/>
          <w:color w:val="auto"/>
          <w:sz w:val="20"/>
          <w:szCs w:val="20"/>
        </w:rPr>
        <w:t>výrobce k distribuci tohoto zboží, jehož písemná kopie je přílohou č. 2, která je n</w:t>
      </w:r>
      <w:r w:rsidR="00E31302" w:rsidRPr="00E31302">
        <w:rPr>
          <w:rFonts w:ascii="Arial" w:hAnsi="Arial" w:cs="Arial"/>
          <w:color w:val="auto"/>
          <w:sz w:val="20"/>
          <w:szCs w:val="20"/>
        </w:rPr>
        <w:t>edílnou součástí této smlouvy.</w:t>
      </w:r>
    </w:p>
    <w:p w:rsidR="00DB7C0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9354C9" w:rsidRPr="00A65318" w:rsidRDefault="009354C9" w:rsidP="009354C9">
      <w:pPr>
        <w:jc w:val="both"/>
        <w:rPr>
          <w:rFonts w:ascii="Arial" w:hAnsi="Arial" w:cs="Arial"/>
        </w:rPr>
      </w:pPr>
      <w:r w:rsidRPr="00A65318">
        <w:rPr>
          <w:rFonts w:ascii="Arial" w:hAnsi="Arial" w:cs="Arial"/>
        </w:rPr>
        <w:t>Prodávající se zavazuje dodávat zboží podle čl. 1 této smlouvy kupujícímu a převádět na něho v</w:t>
      </w:r>
      <w:r w:rsidR="000F7A22" w:rsidRPr="00A65318">
        <w:rPr>
          <w:rFonts w:ascii="Arial" w:hAnsi="Arial" w:cs="Arial"/>
        </w:rPr>
        <w:t>lastnické právo k tomuto zboží,</w:t>
      </w:r>
      <w:r w:rsidRPr="00A65318">
        <w:rPr>
          <w:rFonts w:ascii="Arial" w:hAnsi="Arial" w:cs="Arial"/>
        </w:rPr>
        <w:t xml:space="preserve"> a to ve specifikaci a rozsahu dle jednotlivých dílčích kupních smluv. Jednotlivá dílčí kupní smlouva se přitom považuje za uzavřenou na základě jednotlivé písemné</w:t>
      </w:r>
      <w:r w:rsidR="000F7A22" w:rsidRPr="00A65318">
        <w:rPr>
          <w:rFonts w:ascii="Arial" w:hAnsi="Arial" w:cs="Arial"/>
        </w:rPr>
        <w:t xml:space="preserve"> výzvy (objednávky)</w:t>
      </w:r>
      <w:r w:rsidRPr="00A65318">
        <w:rPr>
          <w:rFonts w:ascii="Arial" w:hAnsi="Arial" w:cs="Arial"/>
        </w:rPr>
        <w:t xml:space="preserve"> kupujícího a její akceptace ze strany prodávajícího, a to ve</w:t>
      </w:r>
      <w:r w:rsidR="000F7A22" w:rsidRPr="00A65318">
        <w:rPr>
          <w:rFonts w:ascii="Arial" w:hAnsi="Arial" w:cs="Arial"/>
        </w:rPr>
        <w:t xml:space="preserve"> znění, daném touto výzvou (objednávkou)</w:t>
      </w:r>
      <w:r w:rsidRPr="00A65318">
        <w:rPr>
          <w:rFonts w:ascii="Arial" w:hAnsi="Arial" w:cs="Arial"/>
        </w:rPr>
        <w:t xml:space="preserve"> a touto r</w:t>
      </w:r>
      <w:r w:rsidR="000F7A22" w:rsidRPr="00A65318">
        <w:rPr>
          <w:rFonts w:ascii="Arial" w:hAnsi="Arial" w:cs="Arial"/>
        </w:rPr>
        <w:t>ámcovou kupní smlouvou. Výzva (objednávka)</w:t>
      </w:r>
      <w:r w:rsidRPr="00A65318">
        <w:rPr>
          <w:rFonts w:ascii="Arial" w:hAnsi="Arial" w:cs="Arial"/>
        </w:rPr>
        <w:t xml:space="preserve"> kupujícího musí obsahovat vždy údaj o specifikaci a množství objednaného zboží, datum a podpis kupujícíh</w:t>
      </w:r>
      <w:r w:rsidR="000F7A22" w:rsidRPr="00A65318">
        <w:rPr>
          <w:rFonts w:ascii="Arial" w:hAnsi="Arial" w:cs="Arial"/>
        </w:rPr>
        <w:t>o. Výzvu (objednávku)</w:t>
      </w:r>
      <w:r w:rsidRPr="00A65318">
        <w:rPr>
          <w:rFonts w:ascii="Arial" w:hAnsi="Arial" w:cs="Arial"/>
        </w:rPr>
        <w:t xml:space="preserve"> kupujícího lze učinit i elektronickou</w:t>
      </w:r>
      <w:r w:rsidR="000F7A22" w:rsidRPr="00A65318">
        <w:rPr>
          <w:rFonts w:ascii="Arial" w:hAnsi="Arial" w:cs="Arial"/>
        </w:rPr>
        <w:t xml:space="preserve"> formou, akceptaci této výzvy (objednávky) </w:t>
      </w:r>
      <w:r w:rsidRPr="00A65318">
        <w:rPr>
          <w:rFonts w:ascii="Arial" w:hAnsi="Arial" w:cs="Arial"/>
        </w:rPr>
        <w:t xml:space="preserve">ze strany prodávajícího lze učinit i faktickým dodáním objednaného zboží.     </w:t>
      </w:r>
    </w:p>
    <w:p w:rsidR="009354C9" w:rsidRDefault="009354C9" w:rsidP="00DB7C0C">
      <w:pPr>
        <w:ind w:left="720"/>
        <w:jc w:val="both"/>
        <w:rPr>
          <w:rFonts w:ascii="Arial" w:hAnsi="Arial" w:cs="Arial"/>
        </w:rPr>
      </w:pPr>
    </w:p>
    <w:p w:rsidR="00DB7C0C" w:rsidRPr="008769B5" w:rsidRDefault="00DB7C0C" w:rsidP="00DB7C0C">
      <w:pPr>
        <w:jc w:val="both"/>
        <w:rPr>
          <w:sz w:val="26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BA2C7B" w:rsidRDefault="00DB7C0C" w:rsidP="00DB7C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Závazek k dodávce zboží dle čl. 1 této smlouvy bude splněn vždy nejpozději do 14 dní</w:t>
      </w:r>
      <w:r w:rsidRPr="0071313C">
        <w:rPr>
          <w:rFonts w:ascii="Arial" w:hAnsi="Arial" w:cs="Arial"/>
        </w:rPr>
        <w:t xml:space="preserve"> ode dne </w:t>
      </w:r>
      <w:r w:rsidR="008769B5" w:rsidRPr="000F7A22">
        <w:rPr>
          <w:rFonts w:ascii="Arial" w:hAnsi="Arial" w:cs="Arial"/>
        </w:rPr>
        <w:t>uzavření dílčí kupní smlouvy.</w:t>
      </w:r>
      <w:r w:rsidR="008769B5">
        <w:rPr>
          <w:rFonts w:ascii="Arial" w:hAnsi="Arial" w:cs="Arial"/>
          <w:color w:val="FF0000"/>
        </w:rPr>
        <w:t xml:space="preserve"> </w:t>
      </w:r>
      <w:r w:rsidRPr="0071313C">
        <w:rPr>
          <w:rFonts w:ascii="Arial" w:hAnsi="Arial" w:cs="Arial"/>
        </w:rPr>
        <w:t xml:space="preserve">Závazek prodávajícího k dodání </w:t>
      </w:r>
      <w:r>
        <w:rPr>
          <w:rFonts w:ascii="Arial" w:hAnsi="Arial" w:cs="Arial"/>
        </w:rPr>
        <w:t>zboží</w:t>
      </w:r>
      <w:r w:rsidRPr="0071313C">
        <w:rPr>
          <w:rFonts w:ascii="Arial" w:hAnsi="Arial" w:cs="Arial"/>
        </w:rPr>
        <w:t xml:space="preserve"> se přitom bude považovat za splněný po faktickém předání příslušného zbož</w:t>
      </w:r>
      <w:r>
        <w:rPr>
          <w:rFonts w:ascii="Arial" w:hAnsi="Arial" w:cs="Arial"/>
        </w:rPr>
        <w:t>í, prostého všech zjevných vad</w:t>
      </w:r>
      <w:r w:rsidRPr="0071313C">
        <w:rPr>
          <w:rFonts w:ascii="Arial" w:hAnsi="Arial" w:cs="Arial"/>
        </w:rPr>
        <w:t>, formou písemného předávacího protokolu, podepsaného oběma</w:t>
      </w:r>
      <w:r>
        <w:rPr>
          <w:rFonts w:ascii="Arial" w:hAnsi="Arial" w:cs="Arial"/>
        </w:rPr>
        <w:t xml:space="preserve"> smluvními stranami. Místem dodání je přitom sídlo kupujícího</w:t>
      </w:r>
      <w:r w:rsidRPr="007131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uvedené v úvodu této smlouvy</w:t>
      </w:r>
      <w:r w:rsidRPr="007131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lastRenderedPageBreak/>
        <w:t>Kupující se zavazuje převzít objednané zboží podle čl. 1</w:t>
      </w:r>
      <w:r>
        <w:rPr>
          <w:rFonts w:ascii="Arial" w:hAnsi="Arial" w:cs="Arial"/>
        </w:rPr>
        <w:t xml:space="preserve"> </w:t>
      </w:r>
      <w:r w:rsidRPr="0071313C">
        <w:rPr>
          <w:rFonts w:ascii="Arial" w:hAnsi="Arial" w:cs="Arial"/>
        </w:rPr>
        <w:t xml:space="preserve">této smlouvy, prosté všech zjevných vad, ve lhůtě a místě podle této smlouvy. Kupující je oprávněn odmítnout převzetí zboží, bude-li se na něm vyskytovat jakákoliv vada.    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Nebezpečí škody na převáděném zboží podle čl. 1 této smlouvy a vlastnické právo k tomuto zboží přechází z prodávajícího na kupujícího dnem faktického převzetí tohoto zboží. 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0F7A22" w:rsidRDefault="00DB7C0C" w:rsidP="00DB7C0C">
      <w:pPr>
        <w:jc w:val="both"/>
        <w:rPr>
          <w:rFonts w:ascii="Arial" w:hAnsi="Arial" w:cs="Arial"/>
        </w:rPr>
      </w:pPr>
      <w:r w:rsidRPr="000F7A22">
        <w:rPr>
          <w:rFonts w:ascii="Arial" w:hAnsi="Arial" w:cs="Arial"/>
        </w:rPr>
        <w:t xml:space="preserve">Kupující se zavazuje zaplatit prodávajícímu za dodávku zboží podle čl. 1 této smlouvy </w:t>
      </w:r>
      <w:r w:rsidR="008769B5" w:rsidRPr="000F7A22">
        <w:rPr>
          <w:rFonts w:ascii="Arial" w:hAnsi="Arial" w:cs="Arial"/>
        </w:rPr>
        <w:t xml:space="preserve">kupní </w:t>
      </w:r>
      <w:r w:rsidRPr="000F7A22">
        <w:rPr>
          <w:rFonts w:ascii="Arial" w:hAnsi="Arial" w:cs="Arial"/>
        </w:rPr>
        <w:t>cen</w:t>
      </w:r>
      <w:r w:rsidR="008769B5" w:rsidRPr="000F7A22">
        <w:rPr>
          <w:rFonts w:ascii="Arial" w:hAnsi="Arial" w:cs="Arial"/>
        </w:rPr>
        <w:t>u</w:t>
      </w:r>
      <w:r w:rsidRPr="000F7A22">
        <w:rPr>
          <w:rFonts w:ascii="Arial" w:hAnsi="Arial" w:cs="Arial"/>
        </w:rPr>
        <w:t xml:space="preserve"> </w:t>
      </w:r>
      <w:r w:rsidR="008769B5" w:rsidRPr="000F7A22">
        <w:rPr>
          <w:rFonts w:ascii="Arial" w:hAnsi="Arial" w:cs="Arial"/>
        </w:rPr>
        <w:t xml:space="preserve">podle </w:t>
      </w:r>
      <w:r w:rsidR="009E6782" w:rsidRPr="000F7A22">
        <w:rPr>
          <w:rFonts w:ascii="Arial" w:hAnsi="Arial" w:cs="Arial"/>
        </w:rPr>
        <w:t xml:space="preserve">tohoto článku </w:t>
      </w:r>
      <w:r w:rsidR="008769B5" w:rsidRPr="000F7A22">
        <w:rPr>
          <w:rFonts w:ascii="Arial" w:hAnsi="Arial" w:cs="Arial"/>
        </w:rPr>
        <w:t xml:space="preserve">této smlouvy. Kupní cena se přitom rovná součinu jednotkových cen podle přílohy č. </w:t>
      </w:r>
      <w:r w:rsidR="009E6782" w:rsidRPr="000F7A22">
        <w:rPr>
          <w:rFonts w:ascii="Arial" w:hAnsi="Arial" w:cs="Arial"/>
        </w:rPr>
        <w:t>1</w:t>
      </w:r>
      <w:r w:rsidR="008769B5" w:rsidRPr="000F7A22">
        <w:rPr>
          <w:rFonts w:ascii="Arial" w:hAnsi="Arial" w:cs="Arial"/>
        </w:rPr>
        <w:t xml:space="preserve"> k této smlouvy a počtu dodaných jednotek příslušného zboží. </w:t>
      </w:r>
      <w:r w:rsidRPr="000F7A22">
        <w:rPr>
          <w:rFonts w:ascii="Arial" w:hAnsi="Arial" w:cs="Arial"/>
        </w:rPr>
        <w:t xml:space="preserve">K cenám bude připočtena DPH ve výši dle platných právních předpisů. </w:t>
      </w:r>
    </w:p>
    <w:p w:rsidR="00DB7C0C" w:rsidRPr="00161E19" w:rsidRDefault="00DB7C0C" w:rsidP="00DB7C0C">
      <w:pPr>
        <w:jc w:val="both"/>
        <w:rPr>
          <w:rFonts w:ascii="Arial" w:hAnsi="Arial" w:cs="Arial"/>
        </w:rPr>
      </w:pPr>
    </w:p>
    <w:p w:rsidR="00DB7C0C" w:rsidRPr="00530B3E" w:rsidRDefault="00DB7C0C" w:rsidP="00DB7C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161E19">
        <w:rPr>
          <w:rFonts w:ascii="Arial" w:hAnsi="Arial" w:cs="Arial"/>
          <w:color w:val="auto"/>
          <w:sz w:val="20"/>
          <w:szCs w:val="20"/>
        </w:rPr>
        <w:t>Součástí cen</w:t>
      </w:r>
      <w:r w:rsidR="00806297">
        <w:rPr>
          <w:rFonts w:ascii="Arial" w:hAnsi="Arial" w:cs="Arial"/>
          <w:color w:val="auto"/>
          <w:sz w:val="20"/>
          <w:szCs w:val="20"/>
        </w:rPr>
        <w:t>y</w:t>
      </w:r>
      <w:r w:rsidRPr="00161E19">
        <w:rPr>
          <w:rFonts w:ascii="Arial" w:hAnsi="Arial" w:cs="Arial"/>
          <w:color w:val="auto"/>
          <w:sz w:val="20"/>
          <w:szCs w:val="20"/>
        </w:rPr>
        <w:t xml:space="preserve"> jsou veškeré náklady prodávajícího na splnění jeho závazku k dodání zboží podle této </w:t>
      </w:r>
      <w:r w:rsidRPr="00C74041">
        <w:rPr>
          <w:rFonts w:ascii="Arial" w:hAnsi="Arial" w:cs="Arial"/>
          <w:color w:val="auto"/>
          <w:sz w:val="20"/>
          <w:szCs w:val="20"/>
        </w:rPr>
        <w:t xml:space="preserve">smlouvy. </w:t>
      </w:r>
      <w:r w:rsidR="005F6D76" w:rsidRPr="00C74041">
        <w:rPr>
          <w:rFonts w:ascii="Arial" w:hAnsi="Arial" w:cs="Arial"/>
          <w:color w:val="auto"/>
          <w:sz w:val="20"/>
          <w:szCs w:val="20"/>
        </w:rPr>
        <w:t>V jednotkových cenách</w:t>
      </w:r>
      <w:r w:rsidRPr="00C74041">
        <w:rPr>
          <w:rFonts w:ascii="Arial" w:hAnsi="Arial" w:cs="Arial"/>
          <w:color w:val="auto"/>
          <w:sz w:val="20"/>
          <w:szCs w:val="20"/>
        </w:rPr>
        <w:t xml:space="preserve"> za test</w:t>
      </w:r>
      <w:r w:rsidR="005F6D76" w:rsidRPr="00C74041">
        <w:rPr>
          <w:rFonts w:ascii="Arial" w:hAnsi="Arial" w:cs="Arial"/>
          <w:color w:val="auto"/>
          <w:sz w:val="20"/>
          <w:szCs w:val="20"/>
        </w:rPr>
        <w:t>y daných výkonů</w:t>
      </w:r>
      <w:r w:rsidR="00806297">
        <w:rPr>
          <w:rFonts w:ascii="Arial" w:hAnsi="Arial" w:cs="Arial"/>
          <w:color w:val="auto"/>
          <w:sz w:val="20"/>
          <w:szCs w:val="20"/>
        </w:rPr>
        <w:t xml:space="preserve"> vykázaných</w:t>
      </w:r>
      <w:r w:rsidRPr="00C74041">
        <w:rPr>
          <w:rFonts w:ascii="Arial" w:hAnsi="Arial" w:cs="Arial"/>
          <w:color w:val="auto"/>
          <w:sz w:val="20"/>
          <w:szCs w:val="20"/>
        </w:rPr>
        <w:t xml:space="preserve"> </w:t>
      </w:r>
      <w:r w:rsidR="00371B4D" w:rsidRPr="00530B3E">
        <w:rPr>
          <w:rFonts w:ascii="Arial" w:hAnsi="Arial" w:cs="Arial"/>
          <w:color w:val="auto"/>
          <w:sz w:val="20"/>
          <w:szCs w:val="20"/>
        </w:rPr>
        <w:t>v laboratorním informačním systému objednatele (dále jen „LIS“)</w:t>
      </w:r>
      <w:r w:rsidRPr="00530B3E">
        <w:rPr>
          <w:rFonts w:ascii="Arial" w:hAnsi="Arial" w:cs="Arial"/>
          <w:color w:val="auto"/>
          <w:sz w:val="20"/>
          <w:szCs w:val="20"/>
        </w:rPr>
        <w:t xml:space="preserve"> jsou zahrnuty náklady spojené s provedením daného testu, včetně nákladů na spotřební materiál, který je výrobcem doporučen pro řádné provozování přístroje a spotřebního materiálu nutného pro přípravu či úpravu vzorku před vlastní analýzou. Dále jsou v ceně zahrnuty veškeré reagencie, </w:t>
      </w:r>
      <w:proofErr w:type="spellStart"/>
      <w:r w:rsidRPr="00530B3E">
        <w:rPr>
          <w:rFonts w:ascii="Arial" w:hAnsi="Arial" w:cs="Arial"/>
          <w:color w:val="auto"/>
          <w:sz w:val="20"/>
          <w:szCs w:val="20"/>
        </w:rPr>
        <w:t>kalibrátory</w:t>
      </w:r>
      <w:proofErr w:type="spellEnd"/>
      <w:r w:rsidRPr="00530B3E">
        <w:rPr>
          <w:rFonts w:ascii="Arial" w:hAnsi="Arial" w:cs="Arial"/>
          <w:color w:val="auto"/>
          <w:sz w:val="20"/>
          <w:szCs w:val="20"/>
        </w:rPr>
        <w:t>, kontrolní vzorky, provozní roztoky, upgrade a update, plný servis</w:t>
      </w:r>
      <w:r w:rsidR="00E62BAB" w:rsidRPr="00530B3E">
        <w:rPr>
          <w:rFonts w:ascii="Arial" w:hAnsi="Arial" w:cs="Arial"/>
          <w:color w:val="auto"/>
          <w:sz w:val="20"/>
          <w:szCs w:val="20"/>
        </w:rPr>
        <w:t xml:space="preserve"> analyzátorů včetně nákladů na náhradní díly</w:t>
      </w:r>
      <w:r w:rsidRPr="00530B3E">
        <w:rPr>
          <w:rFonts w:ascii="Arial" w:hAnsi="Arial" w:cs="Arial"/>
          <w:color w:val="auto"/>
          <w:sz w:val="20"/>
          <w:szCs w:val="20"/>
        </w:rPr>
        <w:t xml:space="preserve">. </w:t>
      </w:r>
      <w:r w:rsidR="00E37FBE" w:rsidRPr="00530B3E">
        <w:rPr>
          <w:rFonts w:ascii="Arial" w:hAnsi="Arial" w:cs="Arial"/>
          <w:color w:val="auto"/>
          <w:sz w:val="20"/>
          <w:szCs w:val="20"/>
        </w:rPr>
        <w:t xml:space="preserve">V ceně je zahrnuto také dodání materiálu pro verifikace všech metod. </w:t>
      </w:r>
      <w:r w:rsidRPr="00530B3E">
        <w:rPr>
          <w:rFonts w:ascii="Arial" w:hAnsi="Arial" w:cs="Arial"/>
          <w:color w:val="auto"/>
          <w:sz w:val="20"/>
          <w:szCs w:val="20"/>
        </w:rPr>
        <w:t>V ceně bude zahrn</w:t>
      </w:r>
      <w:r w:rsidR="00C74041" w:rsidRPr="00530B3E">
        <w:rPr>
          <w:rFonts w:ascii="Arial" w:hAnsi="Arial" w:cs="Arial"/>
          <w:color w:val="auto"/>
          <w:sz w:val="20"/>
          <w:szCs w:val="20"/>
        </w:rPr>
        <w:t>uta zápůjčka přístrojů dle čl. 15</w:t>
      </w:r>
      <w:r w:rsidRPr="00530B3E">
        <w:rPr>
          <w:rFonts w:ascii="Arial" w:hAnsi="Arial" w:cs="Arial"/>
          <w:color w:val="auto"/>
          <w:sz w:val="20"/>
          <w:szCs w:val="20"/>
        </w:rPr>
        <w:t xml:space="preserve"> této smlouvy, provádění veškerých bezpečnostně technických kontrol, revizí a validací, včetně dodání a servisu záložních zdrojů napětí pro zapůjčené analyzátory o výkonu potřebném pro dokončení zahájených vyšetření. V ceně je zahrnuta doprava, pojištění, clo, expirační využitelnost balení (vzhledem k periodicitě prováděných vyšetření, kdy u některých je nižší periodicita anebo po otevření je exspirace kratší), náklady na specifický a nespecifický doplňkový materiál (zkumavky v rámci systému, reakční kyvety, materiál na promývání systému atd.)</w:t>
      </w:r>
      <w:r w:rsidR="00C74041" w:rsidRPr="00530B3E">
        <w:rPr>
          <w:rFonts w:ascii="Arial" w:hAnsi="Arial" w:cs="Arial"/>
          <w:color w:val="auto"/>
          <w:sz w:val="20"/>
          <w:szCs w:val="20"/>
        </w:rPr>
        <w:t xml:space="preserve"> a další náklady spojené s plněním závazku prodávajícího</w:t>
      </w:r>
      <w:r w:rsidRPr="00530B3E">
        <w:rPr>
          <w:rFonts w:ascii="Arial" w:hAnsi="Arial" w:cs="Arial"/>
          <w:color w:val="auto"/>
          <w:sz w:val="20"/>
          <w:szCs w:val="20"/>
        </w:rPr>
        <w:t xml:space="preserve">. Cena bude fakturována dle počtu </w:t>
      </w:r>
      <w:r w:rsidR="005E2365" w:rsidRPr="00530B3E">
        <w:rPr>
          <w:rFonts w:ascii="Arial" w:hAnsi="Arial" w:cs="Arial"/>
          <w:color w:val="auto"/>
          <w:sz w:val="20"/>
          <w:szCs w:val="20"/>
        </w:rPr>
        <w:t xml:space="preserve">testů </w:t>
      </w:r>
      <w:r w:rsidRPr="00530B3E">
        <w:rPr>
          <w:rFonts w:ascii="Arial" w:hAnsi="Arial" w:cs="Arial"/>
          <w:color w:val="auto"/>
          <w:sz w:val="20"/>
          <w:szCs w:val="20"/>
        </w:rPr>
        <w:t>vykázaných</w:t>
      </w:r>
      <w:r w:rsidR="005E2365" w:rsidRPr="00530B3E">
        <w:rPr>
          <w:rFonts w:ascii="Arial" w:hAnsi="Arial" w:cs="Arial"/>
          <w:color w:val="auto"/>
          <w:sz w:val="20"/>
          <w:szCs w:val="20"/>
        </w:rPr>
        <w:t xml:space="preserve"> v LIS</w:t>
      </w:r>
      <w:r w:rsidRPr="00530B3E">
        <w:rPr>
          <w:rFonts w:ascii="Arial" w:hAnsi="Arial" w:cs="Arial"/>
          <w:color w:val="auto"/>
          <w:sz w:val="20"/>
          <w:szCs w:val="20"/>
        </w:rPr>
        <w:t>.</w:t>
      </w:r>
    </w:p>
    <w:p w:rsidR="00DB7C0C" w:rsidRPr="00530B3E" w:rsidRDefault="00DB7C0C" w:rsidP="00DB7C0C">
      <w:pPr>
        <w:jc w:val="both"/>
        <w:rPr>
          <w:rFonts w:ascii="Arial" w:hAnsi="Arial" w:cs="Arial"/>
        </w:rPr>
      </w:pPr>
    </w:p>
    <w:p w:rsidR="00DB7C0C" w:rsidRPr="00530B3E" w:rsidRDefault="00DB7C0C" w:rsidP="00DB7C0C">
      <w:pPr>
        <w:jc w:val="both"/>
        <w:rPr>
          <w:rFonts w:ascii="Arial" w:hAnsi="Arial" w:cs="Arial"/>
        </w:rPr>
      </w:pPr>
    </w:p>
    <w:p w:rsidR="00DB7C0C" w:rsidRPr="00530B3E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Default="00543845" w:rsidP="00DB7C0C">
      <w:pPr>
        <w:jc w:val="both"/>
        <w:rPr>
          <w:rFonts w:ascii="Arial" w:hAnsi="Arial" w:cs="Arial"/>
        </w:rPr>
      </w:pPr>
      <w:r w:rsidRPr="00530B3E">
        <w:rPr>
          <w:rFonts w:ascii="Arial" w:hAnsi="Arial" w:cs="Arial"/>
        </w:rPr>
        <w:t xml:space="preserve">Kupující poskytne prodávajícímu seznam testů vykázaných </w:t>
      </w:r>
      <w:r w:rsidR="005E2365" w:rsidRPr="00530B3E">
        <w:rPr>
          <w:rFonts w:ascii="Arial" w:hAnsi="Arial" w:cs="Arial"/>
        </w:rPr>
        <w:t>v LIS</w:t>
      </w:r>
      <w:r w:rsidRPr="00530B3E">
        <w:rPr>
          <w:rFonts w:ascii="Arial" w:hAnsi="Arial" w:cs="Arial"/>
        </w:rPr>
        <w:t xml:space="preserve"> do</w:t>
      </w:r>
      <w:r w:rsidRPr="00543845">
        <w:rPr>
          <w:rFonts w:ascii="Arial" w:hAnsi="Arial" w:cs="Arial"/>
        </w:rPr>
        <w:t xml:space="preserve"> 15. dne následujícího kalendářního měsíce. Fakturace bude probíhat měsíčně.</w:t>
      </w:r>
      <w:r>
        <w:rPr>
          <w:rFonts w:ascii="Arial" w:hAnsi="Arial" w:cs="Arial"/>
        </w:rPr>
        <w:t xml:space="preserve"> </w:t>
      </w:r>
      <w:r w:rsidR="00DB7C0C" w:rsidRPr="0071313C">
        <w:rPr>
          <w:rFonts w:ascii="Arial" w:hAnsi="Arial" w:cs="Arial"/>
        </w:rPr>
        <w:t xml:space="preserve">Kupní cena podle čl. 6 této smlouvy je splatná na účet prodávajícího po splnění závazku prodávajícího k dodání zboží podle čl. 1 této smlouvy způsobem podle čl. </w:t>
      </w:r>
      <w:r w:rsidR="00DB7C0C">
        <w:rPr>
          <w:rFonts w:ascii="Arial" w:hAnsi="Arial" w:cs="Arial"/>
        </w:rPr>
        <w:t>3 této smlouvy ve lhůtě do 30</w:t>
      </w:r>
      <w:r w:rsidR="00DB7C0C" w:rsidRPr="0071313C">
        <w:rPr>
          <w:rFonts w:ascii="Arial" w:hAnsi="Arial" w:cs="Arial"/>
        </w:rPr>
        <w:t xml:space="preserve"> dnů ode dne doruče</w:t>
      </w:r>
      <w:r w:rsidR="00DB7C0C">
        <w:rPr>
          <w:rFonts w:ascii="Arial" w:hAnsi="Arial" w:cs="Arial"/>
        </w:rPr>
        <w:t>ní jejího písemného vyúčtování (faktury)</w:t>
      </w:r>
      <w:r w:rsidR="00655957">
        <w:rPr>
          <w:rFonts w:ascii="Arial" w:hAnsi="Arial" w:cs="Arial"/>
        </w:rPr>
        <w:t xml:space="preserve">. </w:t>
      </w:r>
    </w:p>
    <w:p w:rsidR="002714B6" w:rsidRPr="0071313C" w:rsidRDefault="002714B6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F5654E" w:rsidRDefault="00DB7C0C" w:rsidP="00DB7C0C">
      <w:pPr>
        <w:jc w:val="both"/>
        <w:rPr>
          <w:rFonts w:ascii="Arial" w:hAnsi="Arial" w:cs="Arial"/>
          <w:color w:val="FF0000"/>
        </w:rPr>
      </w:pPr>
      <w:r w:rsidRPr="0071313C">
        <w:rPr>
          <w:rFonts w:ascii="Arial" w:hAnsi="Arial" w:cs="Arial"/>
        </w:rPr>
        <w:t xml:space="preserve">Není-li dále ujednáno jinak, je s převodem zboží podle čl. 1 této smlouvy spojena záruka za jeho </w:t>
      </w:r>
      <w:r w:rsidRPr="000F7A22">
        <w:rPr>
          <w:rFonts w:ascii="Arial" w:hAnsi="Arial" w:cs="Arial"/>
        </w:rPr>
        <w:t xml:space="preserve">jakost v trvání </w:t>
      </w:r>
      <w:r w:rsidR="008769B5" w:rsidRPr="000F7A22">
        <w:rPr>
          <w:rFonts w:ascii="Arial" w:hAnsi="Arial" w:cs="Arial"/>
        </w:rPr>
        <w:t xml:space="preserve">doby </w:t>
      </w:r>
      <w:r w:rsidRPr="000F7A22">
        <w:rPr>
          <w:rFonts w:ascii="Arial" w:hAnsi="Arial" w:cs="Arial"/>
        </w:rPr>
        <w:t xml:space="preserve">použitelnosti vyznačené na </w:t>
      </w:r>
      <w:r w:rsidRPr="00A401BB">
        <w:rPr>
          <w:rFonts w:ascii="Arial" w:hAnsi="Arial" w:cs="Arial"/>
        </w:rPr>
        <w:t>zboží</w:t>
      </w:r>
      <w:r w:rsidR="008769B5" w:rsidRPr="00A401BB">
        <w:rPr>
          <w:rFonts w:ascii="Arial" w:hAnsi="Arial" w:cs="Arial"/>
        </w:rPr>
        <w:t>, ne</w:t>
      </w:r>
      <w:r w:rsidR="000F7A22" w:rsidRPr="00A401BB">
        <w:rPr>
          <w:rFonts w:ascii="Arial" w:hAnsi="Arial" w:cs="Arial"/>
        </w:rPr>
        <w:t xml:space="preserve">jméně však v trvání </w:t>
      </w:r>
      <w:r w:rsidR="00A401BB" w:rsidRPr="00A401BB">
        <w:rPr>
          <w:rFonts w:ascii="Arial" w:hAnsi="Arial" w:cs="Arial"/>
        </w:rPr>
        <w:t xml:space="preserve">minimálně </w:t>
      </w:r>
      <w:r w:rsidR="000F7A22" w:rsidRPr="00A401BB">
        <w:rPr>
          <w:rFonts w:ascii="Arial" w:hAnsi="Arial" w:cs="Arial"/>
        </w:rPr>
        <w:t>dvou měsíců</w:t>
      </w:r>
      <w:r w:rsidRPr="00A401BB">
        <w:rPr>
          <w:rFonts w:ascii="Arial" w:hAnsi="Arial" w:cs="Arial"/>
        </w:rPr>
        <w:t xml:space="preserve"> </w:t>
      </w:r>
      <w:r w:rsidR="008769B5" w:rsidRPr="00A401BB">
        <w:rPr>
          <w:rFonts w:ascii="Arial" w:hAnsi="Arial" w:cs="Arial"/>
        </w:rPr>
        <w:t>ode dne dodání</w:t>
      </w:r>
      <w:r w:rsidR="00A401BB" w:rsidRPr="00A401BB">
        <w:rPr>
          <w:rFonts w:ascii="Arial" w:hAnsi="Arial" w:cs="Arial"/>
        </w:rPr>
        <w:t xml:space="preserve"> u reagencií a provozních roztoků, nejméně tři měsíce u </w:t>
      </w:r>
      <w:proofErr w:type="spellStart"/>
      <w:r w:rsidR="00A401BB" w:rsidRPr="00A401BB">
        <w:rPr>
          <w:rFonts w:ascii="Arial" w:hAnsi="Arial" w:cs="Arial"/>
        </w:rPr>
        <w:t>kalibrátorů</w:t>
      </w:r>
      <w:proofErr w:type="spellEnd"/>
      <w:r w:rsidR="00A401BB">
        <w:rPr>
          <w:rFonts w:ascii="Arial" w:hAnsi="Arial" w:cs="Arial"/>
        </w:rPr>
        <w:t xml:space="preserve"> a nejméně 6 měsíců u kontrolních vzorků (interní kontrola kvality)</w:t>
      </w:r>
      <w:r w:rsidR="008769B5" w:rsidRPr="000F7A22">
        <w:rPr>
          <w:rFonts w:ascii="Arial" w:hAnsi="Arial" w:cs="Arial"/>
        </w:rPr>
        <w:t xml:space="preserve">. </w:t>
      </w:r>
      <w:r w:rsidRPr="000F7A22">
        <w:rPr>
          <w:rFonts w:ascii="Arial" w:hAnsi="Arial" w:cs="Arial"/>
        </w:rPr>
        <w:t>V rámci</w:t>
      </w:r>
      <w:r w:rsidRPr="0071313C">
        <w:rPr>
          <w:rFonts w:ascii="Arial" w:hAnsi="Arial" w:cs="Arial"/>
        </w:rPr>
        <w:t xml:space="preserve"> této záruky se prodávající zavazuje, že zboží podle čl. 1 této smlouvy bude mít po dobu záruční lhůty vlastnosti, které jsou stanoveny pr</w:t>
      </w:r>
      <w:r>
        <w:rPr>
          <w:rFonts w:ascii="Arial" w:hAnsi="Arial" w:cs="Arial"/>
        </w:rPr>
        <w:t>ávními předpisy nebo jinými</w:t>
      </w:r>
      <w:r w:rsidRPr="0071313C">
        <w:rPr>
          <w:rFonts w:ascii="Arial" w:hAnsi="Arial" w:cs="Arial"/>
        </w:rPr>
        <w:t xml:space="preserve"> normami nebo js</w:t>
      </w:r>
      <w:r>
        <w:rPr>
          <w:rFonts w:ascii="Arial" w:hAnsi="Arial" w:cs="Arial"/>
        </w:rPr>
        <w:t xml:space="preserve">ou u zboží </w:t>
      </w:r>
      <w:r w:rsidRPr="000F7A22">
        <w:rPr>
          <w:rFonts w:ascii="Arial" w:hAnsi="Arial" w:cs="Arial"/>
        </w:rPr>
        <w:t xml:space="preserve">tohoto druhu obvyklé. </w:t>
      </w:r>
      <w:r w:rsidR="00F5654E" w:rsidRPr="000F7A22">
        <w:rPr>
          <w:rFonts w:ascii="Arial" w:hAnsi="Arial" w:cs="Arial"/>
        </w:rPr>
        <w:t>Vzhledem k povaze příslušného zboží lze provést odstranění reklamované vady jen výměnou vadného zboží za nové bezvadné.</w:t>
      </w:r>
      <w:r w:rsidR="00F5654E">
        <w:rPr>
          <w:rFonts w:ascii="Arial" w:hAnsi="Arial" w:cs="Arial"/>
          <w:color w:val="FF0000"/>
        </w:rPr>
        <w:t xml:space="preserve">  </w:t>
      </w:r>
    </w:p>
    <w:p w:rsidR="00DB7C0C" w:rsidRDefault="00DB7C0C" w:rsidP="00DB7C0C">
      <w:pPr>
        <w:jc w:val="both"/>
        <w:rPr>
          <w:rFonts w:ascii="Arial" w:hAnsi="Arial" w:cs="Arial"/>
        </w:rPr>
      </w:pPr>
    </w:p>
    <w:p w:rsidR="00DB7C0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866C2B" w:rsidRDefault="00DB7C0C" w:rsidP="00DB7C0C">
      <w:pPr>
        <w:jc w:val="both"/>
        <w:rPr>
          <w:rFonts w:ascii="Arial" w:hAnsi="Arial" w:cs="Arial"/>
        </w:rPr>
      </w:pPr>
      <w:r w:rsidRPr="00866C2B">
        <w:rPr>
          <w:rFonts w:ascii="Arial" w:hAnsi="Arial" w:cs="Arial"/>
        </w:rPr>
        <w:t>V případě vady analyzátoru, který bude v pr</w:t>
      </w:r>
      <w:r w:rsidR="007F60A9">
        <w:rPr>
          <w:rFonts w:ascii="Arial" w:hAnsi="Arial" w:cs="Arial"/>
        </w:rPr>
        <w:t>onájmu u kupujícího, je prodávající</w:t>
      </w:r>
      <w:r w:rsidRPr="00866C2B">
        <w:rPr>
          <w:rFonts w:ascii="Arial" w:hAnsi="Arial" w:cs="Arial"/>
        </w:rPr>
        <w:t xml:space="preserve"> povinen</w:t>
      </w:r>
      <w:r w:rsidR="007F60A9">
        <w:rPr>
          <w:rFonts w:ascii="Arial" w:hAnsi="Arial" w:cs="Arial"/>
        </w:rPr>
        <w:t xml:space="preserve"> nastoupit k provedení opravy do 6 hodin ode dne nahlášení poruchy analyzátoru a</w:t>
      </w:r>
      <w:r w:rsidRPr="00866C2B">
        <w:rPr>
          <w:rFonts w:ascii="Arial" w:hAnsi="Arial" w:cs="Arial"/>
        </w:rPr>
        <w:t xml:space="preserve"> odstranit vadu neprodleně, nejpozději však do 1 pracovního dne ode dne nahlášení poruchy analyzátoru. Za odstranění vady v uvedené lhůtě se považuje i zapůjčení náhradní srovnatelné věci v této lhůtě, a to na dobu nezbytnou k odstranění reklamované vady. 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případ prodlení se splněním</w:t>
      </w:r>
      <w:r w:rsidRPr="0071313C">
        <w:rPr>
          <w:rFonts w:ascii="Arial" w:hAnsi="Arial" w:cs="Arial"/>
        </w:rPr>
        <w:t xml:space="preserve"> závazku</w:t>
      </w:r>
      <w:r>
        <w:rPr>
          <w:rFonts w:ascii="Arial" w:hAnsi="Arial" w:cs="Arial"/>
        </w:rPr>
        <w:t xml:space="preserve"> prodávajícího</w:t>
      </w:r>
      <w:r w:rsidRPr="0071313C">
        <w:rPr>
          <w:rFonts w:ascii="Arial" w:hAnsi="Arial" w:cs="Arial"/>
        </w:rPr>
        <w:t xml:space="preserve"> k dodání zboží ve lhůtě podle čl. 3 této </w:t>
      </w:r>
      <w:r w:rsidRPr="00A65318">
        <w:rPr>
          <w:rFonts w:ascii="Arial" w:hAnsi="Arial" w:cs="Arial"/>
        </w:rPr>
        <w:t xml:space="preserve">smlouvy se prodávající zavazuje zaplatit kupujícímu smluvní pokutu ve výši 0,1 % z kupní ceny </w:t>
      </w:r>
      <w:r w:rsidR="00F5654E" w:rsidRPr="00A65318">
        <w:rPr>
          <w:rFonts w:ascii="Arial" w:hAnsi="Arial" w:cs="Arial"/>
        </w:rPr>
        <w:t xml:space="preserve">nedodaného zboží </w:t>
      </w:r>
      <w:r w:rsidRPr="00A65318">
        <w:rPr>
          <w:rFonts w:ascii="Arial" w:hAnsi="Arial" w:cs="Arial"/>
        </w:rPr>
        <w:t>za každý započatý den tohoto prodlení. Obě strany se dohodly, že zaplacením smluvní pokuty podle této</w:t>
      </w:r>
      <w:r w:rsidRPr="0071313C">
        <w:rPr>
          <w:rFonts w:ascii="Arial" w:hAnsi="Arial" w:cs="Arial"/>
        </w:rPr>
        <w:t xml:space="preserve"> smlouvy není nijak dotčeno právo kupujícího na náhradu škody v plné výši. </w:t>
      </w:r>
      <w:r w:rsidRPr="0071313C">
        <w:rPr>
          <w:rFonts w:ascii="Arial" w:hAnsi="Arial" w:cs="Arial"/>
        </w:rPr>
        <w:lastRenderedPageBreak/>
        <w:t>Tímto ujednáním se při</w:t>
      </w:r>
      <w:r>
        <w:rPr>
          <w:rFonts w:ascii="Arial" w:hAnsi="Arial" w:cs="Arial"/>
        </w:rPr>
        <w:t xml:space="preserve">tom vylučuje aplikace § </w:t>
      </w:r>
      <w:r w:rsidRPr="0071313C">
        <w:rPr>
          <w:rFonts w:ascii="Arial" w:hAnsi="Arial" w:cs="Arial"/>
        </w:rPr>
        <w:t xml:space="preserve">2050 na vztah mezi oběma stranami podle této smlouvy. 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Default="00DB7C0C" w:rsidP="00DB7C0C">
      <w:pPr>
        <w:jc w:val="both"/>
        <w:rPr>
          <w:rFonts w:ascii="Arial" w:hAnsi="Arial" w:cs="Arial"/>
        </w:rPr>
      </w:pPr>
    </w:p>
    <w:p w:rsidR="001332AC" w:rsidRPr="00DF5F8C" w:rsidRDefault="001332AC" w:rsidP="00DB7C0C">
      <w:pPr>
        <w:jc w:val="both"/>
        <w:rPr>
          <w:rFonts w:ascii="Arial" w:hAnsi="Arial" w:cs="Arial"/>
        </w:rPr>
      </w:pPr>
    </w:p>
    <w:p w:rsidR="00DB7C0C" w:rsidRPr="004F5F8E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  <w:b/>
        </w:rPr>
      </w:pPr>
    </w:p>
    <w:p w:rsidR="00DB7C0C" w:rsidRPr="004F5F8E" w:rsidRDefault="00DB7C0C" w:rsidP="00DB7C0C">
      <w:pPr>
        <w:jc w:val="both"/>
        <w:rPr>
          <w:rFonts w:ascii="Arial" w:hAnsi="Arial" w:cs="Arial"/>
        </w:rPr>
      </w:pPr>
      <w:r w:rsidRPr="004F5F8E">
        <w:rPr>
          <w:rFonts w:ascii="Arial" w:hAnsi="Arial" w:cs="Arial"/>
        </w:rPr>
        <w:t>Pro případ sporu o oprávněnost reklamace se prodávajícímu vyhrazuje právo nechat vyhotovit k prověření jakosti zboží soudně znalecký posudek, jehož výroku se obě strany zavazují podřizovat s tím, že náklady na vyhotovení tohoto posudku se zavazuje nést ten účastník tohoto sporu, kterému tento posudek nedal zapravdu.</w:t>
      </w:r>
    </w:p>
    <w:p w:rsidR="00DB7C0C" w:rsidRPr="004F5F8E" w:rsidRDefault="00DB7C0C" w:rsidP="00DB7C0C">
      <w:pPr>
        <w:jc w:val="both"/>
        <w:rPr>
          <w:rFonts w:ascii="Arial" w:hAnsi="Arial" w:cs="Arial"/>
        </w:rPr>
      </w:pPr>
    </w:p>
    <w:p w:rsidR="00DB7C0C" w:rsidRDefault="00DB7C0C" w:rsidP="00DB7C0C">
      <w:p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případ prodlení se splněním</w:t>
      </w:r>
      <w:r w:rsidRPr="0071313C">
        <w:rPr>
          <w:rFonts w:ascii="Arial" w:hAnsi="Arial" w:cs="Arial"/>
        </w:rPr>
        <w:t xml:space="preserve"> závazku</w:t>
      </w:r>
      <w:r>
        <w:rPr>
          <w:rFonts w:ascii="Arial" w:hAnsi="Arial" w:cs="Arial"/>
        </w:rPr>
        <w:t xml:space="preserve"> prodávajícího</w:t>
      </w:r>
      <w:r w:rsidRPr="0071313C">
        <w:rPr>
          <w:rFonts w:ascii="Arial" w:hAnsi="Arial" w:cs="Arial"/>
        </w:rPr>
        <w:t xml:space="preserve"> k dodání zboží ve lhůtě podle čl. 3 této smlouvy o více, než 2 týdny nebo </w:t>
      </w:r>
      <w:r w:rsidRPr="00A65318">
        <w:rPr>
          <w:rFonts w:ascii="Arial" w:hAnsi="Arial" w:cs="Arial"/>
        </w:rPr>
        <w:t xml:space="preserve">pro případ výskytu tří a více vad, a to i postupně, je kupující oprávněn odstoupit od </w:t>
      </w:r>
      <w:r w:rsidR="00F5654E" w:rsidRPr="00A65318">
        <w:rPr>
          <w:rFonts w:ascii="Arial" w:hAnsi="Arial" w:cs="Arial"/>
        </w:rPr>
        <w:t xml:space="preserve">jednotlivé dílčí smlouvy i od </w:t>
      </w:r>
      <w:r w:rsidRPr="00A65318">
        <w:rPr>
          <w:rFonts w:ascii="Arial" w:hAnsi="Arial" w:cs="Arial"/>
        </w:rPr>
        <w:t xml:space="preserve">této </w:t>
      </w:r>
      <w:r w:rsidR="00F5654E" w:rsidRPr="00A65318">
        <w:rPr>
          <w:rFonts w:ascii="Arial" w:hAnsi="Arial" w:cs="Arial"/>
        </w:rPr>
        <w:t xml:space="preserve">rámcové kupní </w:t>
      </w:r>
      <w:r w:rsidRPr="00A65318">
        <w:rPr>
          <w:rFonts w:ascii="Arial" w:hAnsi="Arial" w:cs="Arial"/>
        </w:rPr>
        <w:t>smlouvy.</w:t>
      </w:r>
    </w:p>
    <w:p w:rsidR="00DB7C0C" w:rsidRDefault="00DB7C0C" w:rsidP="00DB7C0C">
      <w:pPr>
        <w:jc w:val="both"/>
        <w:rPr>
          <w:rFonts w:ascii="Arial" w:hAnsi="Arial" w:cs="Arial"/>
        </w:rPr>
      </w:pPr>
    </w:p>
    <w:p w:rsidR="001332AC" w:rsidRPr="0071313C" w:rsidRDefault="001332AC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>Pro případ prodlení kupujícího se zaplacením kupní ceny nebo její části ve lhůtě podle čl. 6 této smlouvy</w:t>
      </w:r>
      <w:r>
        <w:rPr>
          <w:rFonts w:ascii="Arial" w:hAnsi="Arial" w:cs="Arial"/>
        </w:rPr>
        <w:t xml:space="preserve"> je prodávající oprávněn požadovat úrok z prodlení v souladu s nařízením vlády č. 351/2013 Sb. </w:t>
      </w:r>
      <w:r w:rsidRPr="0071313C">
        <w:rPr>
          <w:rFonts w:ascii="Arial" w:hAnsi="Arial" w:cs="Arial"/>
        </w:rPr>
        <w:t>Pro případ prodlení kupujícího se zaplacením kupní ceny nebo její části ve lhůtě podle čl. 6 této smlouvy, je prodávající opr</w:t>
      </w:r>
      <w:r>
        <w:rPr>
          <w:rFonts w:ascii="Arial" w:hAnsi="Arial" w:cs="Arial"/>
        </w:rPr>
        <w:t>ávněn od této smlouvy odstoupit.</w:t>
      </w:r>
    </w:p>
    <w:p w:rsidR="00DB7C0C" w:rsidRDefault="00DB7C0C" w:rsidP="00DB7C0C">
      <w:pPr>
        <w:jc w:val="both"/>
        <w:rPr>
          <w:rFonts w:ascii="Arial" w:hAnsi="Arial" w:cs="Arial"/>
        </w:rPr>
      </w:pPr>
    </w:p>
    <w:p w:rsidR="00F5654E" w:rsidRDefault="00F5654E" w:rsidP="00DB7C0C">
      <w:pPr>
        <w:jc w:val="both"/>
        <w:rPr>
          <w:rFonts w:ascii="Arial" w:hAnsi="Arial" w:cs="Arial"/>
        </w:rPr>
      </w:pPr>
    </w:p>
    <w:p w:rsidR="00F5654E" w:rsidRPr="0071313C" w:rsidRDefault="00F5654E" w:rsidP="00DB7C0C">
      <w:pPr>
        <w:jc w:val="both"/>
        <w:rPr>
          <w:rFonts w:ascii="Arial" w:hAnsi="Arial" w:cs="Arial"/>
        </w:rPr>
      </w:pPr>
    </w:p>
    <w:p w:rsidR="00DB7C0C" w:rsidRPr="0071313C" w:rsidRDefault="00DB7C0C" w:rsidP="00DB7C0C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F5654E" w:rsidRPr="00B055F6" w:rsidRDefault="00F5654E" w:rsidP="00DB7C0C">
      <w:pPr>
        <w:jc w:val="both"/>
        <w:rPr>
          <w:rFonts w:ascii="Arial" w:hAnsi="Arial" w:cs="Arial"/>
        </w:rPr>
      </w:pPr>
      <w:r w:rsidRPr="00B055F6">
        <w:rPr>
          <w:rFonts w:ascii="Arial" w:hAnsi="Arial" w:cs="Arial"/>
        </w:rPr>
        <w:t>Prodávající se zároveň zavazuje přenechat kupujícímu do užívání 2 kusy nových, plnohodnotných a plně automatizovaných integrovaných analyzátorů, a to formou výpůjčky. Bližší specifikace těchto analyzátorů</w:t>
      </w:r>
      <w:r w:rsidR="00DB7685" w:rsidRPr="00B055F6">
        <w:rPr>
          <w:rFonts w:ascii="Arial" w:hAnsi="Arial" w:cs="Arial"/>
        </w:rPr>
        <w:t>, včetně specifikace jeji</w:t>
      </w:r>
      <w:r w:rsidR="00A65318" w:rsidRPr="00B055F6">
        <w:rPr>
          <w:rFonts w:ascii="Arial" w:hAnsi="Arial" w:cs="Arial"/>
        </w:rPr>
        <w:t>ch příslušenství a SW,</w:t>
      </w:r>
      <w:r w:rsidRPr="00B055F6">
        <w:rPr>
          <w:rFonts w:ascii="Arial" w:hAnsi="Arial" w:cs="Arial"/>
        </w:rPr>
        <w:t xml:space="preserve"> je přitom uvedena v příloze č. </w:t>
      </w:r>
      <w:r w:rsidR="009E6782" w:rsidRPr="00B055F6">
        <w:rPr>
          <w:rFonts w:ascii="Arial" w:hAnsi="Arial" w:cs="Arial"/>
        </w:rPr>
        <w:t>3</w:t>
      </w:r>
      <w:r w:rsidRPr="00B055F6">
        <w:rPr>
          <w:rFonts w:ascii="Arial" w:hAnsi="Arial" w:cs="Arial"/>
        </w:rPr>
        <w:t xml:space="preserve">, která je nedílnou součástí této smlouvy. Součástí </w:t>
      </w:r>
      <w:r w:rsidR="00B055F6" w:rsidRPr="00B055F6">
        <w:rPr>
          <w:rFonts w:ascii="Arial" w:hAnsi="Arial" w:cs="Arial"/>
        </w:rPr>
        <w:t>tohoto závazku prodávajícího je:</w:t>
      </w:r>
    </w:p>
    <w:p w:rsidR="00DB7685" w:rsidRPr="00B055F6" w:rsidRDefault="00F5654E" w:rsidP="00A65318">
      <w:pPr>
        <w:pStyle w:val="Default"/>
        <w:numPr>
          <w:ilvl w:val="0"/>
          <w:numId w:val="15"/>
        </w:numPr>
        <w:ind w:left="426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B055F6">
        <w:rPr>
          <w:rFonts w:ascii="Arial" w:hAnsi="Arial" w:cs="Arial"/>
          <w:color w:val="auto"/>
          <w:sz w:val="20"/>
          <w:szCs w:val="20"/>
        </w:rPr>
        <w:t xml:space="preserve">instalace analyzátorů v místě </w:t>
      </w:r>
      <w:r w:rsidR="00DB7685" w:rsidRPr="00B055F6">
        <w:rPr>
          <w:rFonts w:ascii="Arial" w:hAnsi="Arial" w:cs="Arial"/>
          <w:color w:val="auto"/>
          <w:sz w:val="20"/>
          <w:szCs w:val="20"/>
        </w:rPr>
        <w:t xml:space="preserve">plnění podle čl. 3 této smlouvy a </w:t>
      </w:r>
      <w:r w:rsidRPr="00B055F6">
        <w:rPr>
          <w:rFonts w:ascii="Arial" w:hAnsi="Arial" w:cs="Arial"/>
          <w:color w:val="auto"/>
          <w:sz w:val="20"/>
          <w:szCs w:val="20"/>
        </w:rPr>
        <w:t xml:space="preserve">jejich uvedení do provozu, </w:t>
      </w:r>
    </w:p>
    <w:p w:rsidR="00F5654E" w:rsidRPr="00EF30AB" w:rsidRDefault="00F5654E" w:rsidP="00A65318">
      <w:pPr>
        <w:pStyle w:val="Default"/>
        <w:numPr>
          <w:ilvl w:val="0"/>
          <w:numId w:val="15"/>
        </w:numPr>
        <w:ind w:left="426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F30AB">
        <w:rPr>
          <w:rFonts w:ascii="Arial" w:hAnsi="Arial" w:cs="Arial"/>
          <w:color w:val="auto"/>
          <w:sz w:val="20"/>
          <w:szCs w:val="20"/>
        </w:rPr>
        <w:t xml:space="preserve">případná montáž </w:t>
      </w:r>
      <w:r w:rsidR="002E71DD">
        <w:rPr>
          <w:rFonts w:ascii="Arial" w:hAnsi="Arial" w:cs="Arial"/>
          <w:color w:val="auto"/>
          <w:sz w:val="20"/>
          <w:szCs w:val="20"/>
        </w:rPr>
        <w:t>klimatizace</w:t>
      </w:r>
      <w:r w:rsidRPr="00EF30AB">
        <w:rPr>
          <w:rFonts w:ascii="Arial" w:hAnsi="Arial" w:cs="Arial"/>
          <w:color w:val="auto"/>
          <w:sz w:val="20"/>
          <w:szCs w:val="20"/>
        </w:rPr>
        <w:t>, pokud to bude vyžadovat provoz analyzátorů,</w:t>
      </w:r>
    </w:p>
    <w:p w:rsidR="00F5654E" w:rsidRPr="00EF30AB" w:rsidRDefault="00F5654E" w:rsidP="00A65318">
      <w:pPr>
        <w:pStyle w:val="Default"/>
        <w:numPr>
          <w:ilvl w:val="0"/>
          <w:numId w:val="15"/>
        </w:numPr>
        <w:ind w:left="426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F30AB">
        <w:rPr>
          <w:rFonts w:ascii="Arial" w:hAnsi="Arial" w:cs="Arial"/>
          <w:color w:val="auto"/>
          <w:sz w:val="20"/>
          <w:szCs w:val="20"/>
        </w:rPr>
        <w:t xml:space="preserve">napojení </w:t>
      </w:r>
      <w:r w:rsidR="00DB7685" w:rsidRPr="00EF30AB">
        <w:rPr>
          <w:rFonts w:ascii="Arial" w:hAnsi="Arial" w:cs="Arial"/>
          <w:color w:val="auto"/>
          <w:sz w:val="20"/>
          <w:szCs w:val="20"/>
        </w:rPr>
        <w:t xml:space="preserve">analyzátorů </w:t>
      </w:r>
      <w:r w:rsidRPr="00EF30AB">
        <w:rPr>
          <w:rFonts w:ascii="Arial" w:hAnsi="Arial" w:cs="Arial"/>
          <w:color w:val="auto"/>
          <w:sz w:val="20"/>
          <w:szCs w:val="20"/>
        </w:rPr>
        <w:t xml:space="preserve">na stávající úpravnu vody, </w:t>
      </w:r>
      <w:r w:rsidR="00213259">
        <w:rPr>
          <w:rFonts w:ascii="Arial" w:hAnsi="Arial" w:cs="Arial"/>
          <w:color w:val="auto"/>
          <w:sz w:val="20"/>
          <w:szCs w:val="20"/>
        </w:rPr>
        <w:t xml:space="preserve">případně její přemístění z prostorových důvodů, </w:t>
      </w:r>
      <w:r w:rsidRPr="00EF30AB">
        <w:rPr>
          <w:rFonts w:ascii="Arial" w:hAnsi="Arial" w:cs="Arial"/>
          <w:color w:val="auto"/>
          <w:sz w:val="20"/>
          <w:szCs w:val="20"/>
        </w:rPr>
        <w:t>nebo pokud by stávající úpravna vody nebyla dostačující, bude součástí dodávky i nová úpravna vody;</w:t>
      </w:r>
    </w:p>
    <w:p w:rsidR="00F5654E" w:rsidRPr="00EF30AB" w:rsidRDefault="00DB7685" w:rsidP="00A65318">
      <w:pPr>
        <w:pStyle w:val="Default"/>
        <w:numPr>
          <w:ilvl w:val="0"/>
          <w:numId w:val="15"/>
        </w:numPr>
        <w:ind w:left="426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F30AB">
        <w:rPr>
          <w:rFonts w:ascii="Arial" w:hAnsi="Arial" w:cs="Arial"/>
          <w:color w:val="auto"/>
          <w:sz w:val="20"/>
          <w:szCs w:val="20"/>
        </w:rPr>
        <w:t xml:space="preserve">dodání </w:t>
      </w:r>
      <w:r w:rsidR="00F5654E" w:rsidRPr="00EF30AB">
        <w:rPr>
          <w:rFonts w:ascii="Arial" w:hAnsi="Arial" w:cs="Arial"/>
          <w:color w:val="auto"/>
          <w:sz w:val="20"/>
          <w:szCs w:val="20"/>
        </w:rPr>
        <w:t>veškerých písemných dokladů, které jsou potřebné k používání zboží, zejména návod k použití v českém jazyce minimálně 1x v písemné podobě a minimálně 1x na CD, záruční list, příslušné prohlášení o shodě a další doklady osvědčující, že zboží je vyrobeno v souladu s příslušnými právními předpisy a technickými a bezpečnostními normami,</w:t>
      </w:r>
    </w:p>
    <w:p w:rsidR="00F5654E" w:rsidRPr="00EF30AB" w:rsidRDefault="00F5654E" w:rsidP="00A65318">
      <w:pPr>
        <w:pStyle w:val="Default"/>
        <w:numPr>
          <w:ilvl w:val="0"/>
          <w:numId w:val="15"/>
        </w:numPr>
        <w:ind w:left="426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F30AB">
        <w:rPr>
          <w:rFonts w:ascii="Arial" w:hAnsi="Arial" w:cs="Arial"/>
          <w:color w:val="auto"/>
          <w:sz w:val="20"/>
          <w:szCs w:val="20"/>
        </w:rPr>
        <w:t>provedení předávacích zkoušek, zaškolení obsluhy a zprovoznění obousměrné komunikace on-line s LIS;</w:t>
      </w:r>
    </w:p>
    <w:p w:rsidR="00F5654E" w:rsidRPr="00EF30AB" w:rsidRDefault="00F5654E" w:rsidP="00A65318">
      <w:pPr>
        <w:pStyle w:val="Default"/>
        <w:numPr>
          <w:ilvl w:val="0"/>
          <w:numId w:val="15"/>
        </w:numPr>
        <w:ind w:left="426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F30AB">
        <w:rPr>
          <w:rFonts w:ascii="Arial" w:hAnsi="Arial" w:cs="Arial"/>
          <w:color w:val="auto"/>
          <w:sz w:val="20"/>
          <w:szCs w:val="20"/>
        </w:rPr>
        <w:t>provádění bezpečnostně-technických kontrol po celou dobu platnosti této smlouvy v intervalu dle platných právních předpisů</w:t>
      </w:r>
      <w:r w:rsidR="00DB7685" w:rsidRPr="00EF30AB">
        <w:rPr>
          <w:rFonts w:ascii="Arial" w:hAnsi="Arial" w:cs="Arial"/>
          <w:color w:val="auto"/>
          <w:sz w:val="20"/>
          <w:szCs w:val="20"/>
        </w:rPr>
        <w:t>.</w:t>
      </w:r>
    </w:p>
    <w:p w:rsidR="00DB7685" w:rsidRPr="00DB7685" w:rsidRDefault="00DB7685" w:rsidP="00DB7685">
      <w:pPr>
        <w:jc w:val="both"/>
        <w:rPr>
          <w:rFonts w:ascii="Arial" w:hAnsi="Arial" w:cs="Arial"/>
          <w:color w:val="FF0000"/>
        </w:rPr>
      </w:pPr>
    </w:p>
    <w:p w:rsidR="00DB7685" w:rsidRDefault="00DB7685" w:rsidP="00DB7685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DB7685" w:rsidRDefault="00DB7685" w:rsidP="00DB7685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DB7685" w:rsidRPr="00027342" w:rsidRDefault="00DB7685" w:rsidP="00EF30AB">
      <w:pPr>
        <w:numPr>
          <w:ilvl w:val="0"/>
          <w:numId w:val="10"/>
        </w:numPr>
        <w:jc w:val="center"/>
        <w:rPr>
          <w:rFonts w:ascii="Arial" w:hAnsi="Arial" w:cs="Arial"/>
        </w:rPr>
      </w:pPr>
      <w:r w:rsidRPr="00027342">
        <w:rPr>
          <w:rFonts w:ascii="Arial" w:hAnsi="Arial" w:cs="Arial"/>
        </w:rPr>
        <w:t xml:space="preserve">                                                   </w:t>
      </w:r>
      <w:r w:rsidR="00EF30AB" w:rsidRPr="00027342">
        <w:rPr>
          <w:rFonts w:ascii="Arial" w:hAnsi="Arial" w:cs="Arial"/>
        </w:rPr>
        <w:t xml:space="preserve">                             </w:t>
      </w:r>
    </w:p>
    <w:p w:rsidR="009E6782" w:rsidRPr="00027342" w:rsidRDefault="00DB7685" w:rsidP="00DB768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27342">
        <w:rPr>
          <w:rFonts w:ascii="Arial" w:hAnsi="Arial" w:cs="Arial"/>
          <w:color w:val="auto"/>
          <w:sz w:val="20"/>
          <w:szCs w:val="20"/>
        </w:rPr>
        <w:t xml:space="preserve">Prodávající se zavazuje umožnit kupujícímu užívání analyzátorů nejpozději do 1 měsíce </w:t>
      </w:r>
      <w:r w:rsidR="001332AC">
        <w:rPr>
          <w:rFonts w:ascii="Arial" w:hAnsi="Arial" w:cs="Arial"/>
          <w:color w:val="auto"/>
          <w:sz w:val="20"/>
          <w:szCs w:val="20"/>
        </w:rPr>
        <w:t>ode dne účinnosti této smlouvy.</w:t>
      </w:r>
      <w:r w:rsidRPr="00027342">
        <w:rPr>
          <w:rFonts w:ascii="Arial" w:hAnsi="Arial" w:cs="Arial"/>
          <w:color w:val="auto"/>
          <w:sz w:val="20"/>
          <w:szCs w:val="20"/>
        </w:rPr>
        <w:t xml:space="preserve"> Pro případ prodlení prodávajícího se splněním tohoto jeho závazku nebo jeho závazku s odstraněním vady a</w:t>
      </w:r>
      <w:r w:rsidR="00652E12">
        <w:rPr>
          <w:rFonts w:ascii="Arial" w:hAnsi="Arial" w:cs="Arial"/>
          <w:color w:val="auto"/>
          <w:sz w:val="20"/>
          <w:szCs w:val="20"/>
        </w:rPr>
        <w:t>nalyzátoru ve lhůtě podle čl. 14</w:t>
      </w:r>
      <w:r w:rsidRPr="00027342">
        <w:rPr>
          <w:rFonts w:ascii="Arial" w:hAnsi="Arial" w:cs="Arial"/>
          <w:color w:val="auto"/>
          <w:sz w:val="20"/>
          <w:szCs w:val="20"/>
        </w:rPr>
        <w:t xml:space="preserve"> </w:t>
      </w:r>
      <w:r w:rsidR="00866C2B" w:rsidRPr="00027342">
        <w:rPr>
          <w:rFonts w:ascii="Arial" w:hAnsi="Arial" w:cs="Arial"/>
          <w:color w:val="auto"/>
          <w:sz w:val="20"/>
          <w:szCs w:val="20"/>
        </w:rPr>
        <w:t>písm. g)</w:t>
      </w:r>
      <w:r w:rsidR="009E6782" w:rsidRPr="00027342">
        <w:rPr>
          <w:rFonts w:ascii="Arial" w:hAnsi="Arial" w:cs="Arial"/>
          <w:color w:val="auto"/>
          <w:sz w:val="20"/>
          <w:szCs w:val="20"/>
        </w:rPr>
        <w:t xml:space="preserve"> </w:t>
      </w:r>
      <w:r w:rsidRPr="00027342">
        <w:rPr>
          <w:rFonts w:ascii="Arial" w:hAnsi="Arial" w:cs="Arial"/>
          <w:color w:val="auto"/>
          <w:sz w:val="20"/>
          <w:szCs w:val="20"/>
        </w:rPr>
        <w:t>této smlouvy se prodávající zavazuje platit kup</w:t>
      </w:r>
      <w:r w:rsidR="00785C2E">
        <w:rPr>
          <w:rFonts w:ascii="Arial" w:hAnsi="Arial" w:cs="Arial"/>
          <w:color w:val="auto"/>
          <w:sz w:val="20"/>
          <w:szCs w:val="20"/>
        </w:rPr>
        <w:t>ujícímu smluvní pokutu ve výši 5</w:t>
      </w:r>
      <w:r w:rsidRPr="00027342">
        <w:rPr>
          <w:rFonts w:ascii="Arial" w:hAnsi="Arial" w:cs="Arial"/>
          <w:color w:val="auto"/>
          <w:sz w:val="20"/>
          <w:szCs w:val="20"/>
        </w:rPr>
        <w:t> 000,- Kč za každý započatý den tohoto prodlení. Obě strany se dohodly, že zaplacením smluvní pokuty podle této smlouvy není nijak dotčeno právo kupujícího na náhradu škody v plné výši. Tímto ujednáním se přitom vylučuje aplikace § 2050 na vztah mezi oběma stranami podle této smlouvy.</w:t>
      </w:r>
    </w:p>
    <w:p w:rsidR="009E6782" w:rsidRDefault="009E6782" w:rsidP="00DB7685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9E6782" w:rsidRDefault="009E6782" w:rsidP="00DB7685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DB7685" w:rsidRPr="00EF30AB" w:rsidRDefault="009E6782" w:rsidP="00EF30AB">
      <w:pPr>
        <w:numPr>
          <w:ilvl w:val="0"/>
          <w:numId w:val="10"/>
        </w:numPr>
        <w:jc w:val="center"/>
        <w:rPr>
          <w:rFonts w:ascii="Arial" w:hAnsi="Arial" w:cs="Arial"/>
        </w:rPr>
      </w:pPr>
      <w:r w:rsidRPr="00EF30AB">
        <w:rPr>
          <w:rFonts w:ascii="Arial" w:hAnsi="Arial" w:cs="Arial"/>
        </w:rPr>
        <w:t xml:space="preserve">                                                                                 </w:t>
      </w:r>
    </w:p>
    <w:p w:rsidR="00DB7C0C" w:rsidRPr="00EF30AB" w:rsidRDefault="00DB7C0C" w:rsidP="00DB7C0C">
      <w:pPr>
        <w:jc w:val="both"/>
        <w:rPr>
          <w:rFonts w:ascii="Arial" w:hAnsi="Arial" w:cs="Arial"/>
        </w:rPr>
      </w:pPr>
      <w:r w:rsidRPr="00EF30AB">
        <w:rPr>
          <w:rFonts w:ascii="Arial" w:hAnsi="Arial" w:cs="Arial"/>
        </w:rPr>
        <w:t>Není-li touto smlouvou ujednáno jinak, řídí se vzájemný právní vztah mezi kupujícím a prodávajícím při realizaci této smlouvy § 2079 až 2131 násl. občanského zákoníku</w:t>
      </w:r>
      <w:r w:rsidR="009E6782" w:rsidRPr="00EF30AB">
        <w:rPr>
          <w:rFonts w:ascii="Arial" w:hAnsi="Arial" w:cs="Arial"/>
        </w:rPr>
        <w:t xml:space="preserve"> o koupi a </w:t>
      </w:r>
      <w:r w:rsidR="00EF30AB" w:rsidRPr="00EF30AB">
        <w:rPr>
          <w:rFonts w:ascii="Arial" w:hAnsi="Arial" w:cs="Arial"/>
        </w:rPr>
        <w:t>§</w:t>
      </w:r>
      <w:r w:rsidR="009E6782" w:rsidRPr="00EF30AB">
        <w:rPr>
          <w:rFonts w:ascii="Arial" w:hAnsi="Arial" w:cs="Arial"/>
        </w:rPr>
        <w:t xml:space="preserve"> 2193 až 2200 o </w:t>
      </w:r>
      <w:r w:rsidR="009E6782" w:rsidRPr="00EF30AB">
        <w:rPr>
          <w:rFonts w:ascii="Arial" w:hAnsi="Arial" w:cs="Arial"/>
        </w:rPr>
        <w:lastRenderedPageBreak/>
        <w:t xml:space="preserve">výpůjčce, </w:t>
      </w:r>
      <w:r w:rsidRPr="00EF30AB">
        <w:rPr>
          <w:rFonts w:ascii="Arial" w:hAnsi="Arial" w:cs="Arial"/>
        </w:rPr>
        <w:t xml:space="preserve">přičemž tato právní úprava má přednost před nepsanými obchodními zvyklostmi. Tímto ujednáním se přitom vylučuje aplikace § 558 občanského zákoníku na vztah mezi oběma stranami podle této smlouvy. 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EF30AB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Tato smlouva se uzavírá na základě návrhu na její uzavření ze strany kupujícího. Předpokladem uzavření této smlouvy je její písemná forma a dohoda o celém jejím obsahu, jak je obsažen v jejích </w:t>
      </w:r>
      <w:r w:rsidRPr="00B055F6">
        <w:rPr>
          <w:rFonts w:ascii="Arial" w:hAnsi="Arial" w:cs="Arial"/>
        </w:rPr>
        <w:t xml:space="preserve">článcích 1 až </w:t>
      </w:r>
      <w:r w:rsidR="009E6782" w:rsidRPr="00B055F6">
        <w:rPr>
          <w:rFonts w:ascii="Arial" w:hAnsi="Arial" w:cs="Arial"/>
        </w:rPr>
        <w:t>22</w:t>
      </w:r>
      <w:r w:rsidRPr="00B055F6">
        <w:rPr>
          <w:rFonts w:ascii="Arial" w:hAnsi="Arial" w:cs="Arial"/>
        </w:rPr>
        <w:t>. Kupující</w:t>
      </w:r>
      <w:r w:rsidRPr="0071313C">
        <w:rPr>
          <w:rFonts w:ascii="Arial" w:hAnsi="Arial" w:cs="Arial"/>
        </w:rPr>
        <w:t xml:space="preserve"> přitom předem vylučuje přijet</w:t>
      </w:r>
      <w:r>
        <w:rPr>
          <w:rFonts w:ascii="Arial" w:hAnsi="Arial" w:cs="Arial"/>
        </w:rPr>
        <w:t>í tohoto návrhu s dodatkem nebo</w:t>
      </w:r>
      <w:r w:rsidRPr="0071313C">
        <w:rPr>
          <w:rFonts w:ascii="Arial" w:hAnsi="Arial" w:cs="Arial"/>
        </w:rPr>
        <w:t xml:space="preserve"> odchylkou ve smyslu </w:t>
      </w:r>
      <w:r>
        <w:rPr>
          <w:rFonts w:ascii="Arial" w:hAnsi="Arial" w:cs="Arial"/>
        </w:rPr>
        <w:t>§</w:t>
      </w:r>
      <w:r w:rsidRPr="0071313C">
        <w:rPr>
          <w:rFonts w:ascii="Arial" w:hAnsi="Arial" w:cs="Arial"/>
        </w:rPr>
        <w:t xml:space="preserve"> 1740 odst. 3 občanského zákoníku. 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                                                           </w:t>
      </w:r>
    </w:p>
    <w:p w:rsidR="009E6782" w:rsidRDefault="009E6782" w:rsidP="00EF30AB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Default="00DB7C0C" w:rsidP="009E6782">
      <w:pPr>
        <w:rPr>
          <w:rFonts w:ascii="Arial" w:hAnsi="Arial" w:cs="Arial"/>
        </w:rPr>
      </w:pPr>
      <w:r w:rsidRPr="0071313C">
        <w:rPr>
          <w:rFonts w:ascii="Arial" w:hAnsi="Arial" w:cs="Arial"/>
        </w:rPr>
        <w:t>Tuto smlouvu lze změnit nebo zrušit pouze jinou písemnou dohodou obou smluvních stran.</w:t>
      </w:r>
    </w:p>
    <w:p w:rsidR="00DB7C0C" w:rsidRDefault="00DB7C0C" w:rsidP="00DB7C0C">
      <w:pPr>
        <w:jc w:val="both"/>
        <w:rPr>
          <w:rFonts w:ascii="Arial" w:hAnsi="Arial" w:cs="Arial"/>
        </w:rPr>
      </w:pPr>
    </w:p>
    <w:p w:rsidR="00DB7C0C" w:rsidRDefault="00DB7C0C" w:rsidP="00EF30AB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Smlouvu je oprávněn vypovědět jak kupující, tak prodávající, a to i bez uvedení důvodu. Výpovědní doba je stanovena v délce 5 měsíců a začíná plynout dnem následujícím po doručení výpovědi druhé smluvní straně.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DB7C0C" w:rsidRPr="0071313C" w:rsidRDefault="00DB7C0C" w:rsidP="00EF30AB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Tato smlouva nabývá účinnosti dnem jejího uzavření. </w:t>
      </w:r>
      <w:r>
        <w:rPr>
          <w:rFonts w:ascii="Arial" w:hAnsi="Arial" w:cs="Arial"/>
        </w:rPr>
        <w:t>Tato smlouva se uzavírá na dobu 4 let ode dne nabytí její účinnosti.</w:t>
      </w:r>
    </w:p>
    <w:p w:rsidR="00DB7C0C" w:rsidRPr="0071313C" w:rsidRDefault="00DB7C0C" w:rsidP="00DB7C0C">
      <w:pPr>
        <w:jc w:val="both"/>
        <w:rPr>
          <w:rFonts w:ascii="Arial" w:hAnsi="Arial" w:cs="Arial"/>
        </w:rPr>
      </w:pPr>
    </w:p>
    <w:p w:rsidR="009E6782" w:rsidRDefault="009E6782" w:rsidP="009E6782">
      <w:pPr>
        <w:ind w:left="360"/>
        <w:jc w:val="center"/>
        <w:rPr>
          <w:rFonts w:ascii="Arial" w:hAnsi="Arial" w:cs="Arial"/>
        </w:rPr>
      </w:pPr>
    </w:p>
    <w:p w:rsidR="009E6782" w:rsidRDefault="009E6782" w:rsidP="009E6782">
      <w:pPr>
        <w:ind w:left="360"/>
        <w:jc w:val="center"/>
        <w:rPr>
          <w:rFonts w:ascii="Arial" w:hAnsi="Arial" w:cs="Arial"/>
        </w:rPr>
      </w:pPr>
    </w:p>
    <w:p w:rsidR="00DB7C0C" w:rsidRPr="0071313C" w:rsidRDefault="00DB7C0C" w:rsidP="00EF30AB">
      <w:pPr>
        <w:numPr>
          <w:ilvl w:val="0"/>
          <w:numId w:val="10"/>
        </w:numPr>
        <w:jc w:val="center"/>
        <w:rPr>
          <w:rFonts w:ascii="Arial" w:hAnsi="Arial" w:cs="Arial"/>
        </w:rPr>
      </w:pPr>
    </w:p>
    <w:p w:rsidR="00DB7C0C" w:rsidRPr="0071313C" w:rsidRDefault="00DB7C0C" w:rsidP="00DB7C0C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Dáno ve dvou originálních písemných vyhotoveních, z nichž každá ze smluvních stran obdrží po jednom. </w:t>
      </w:r>
    </w:p>
    <w:p w:rsidR="00DB7C0C" w:rsidRDefault="00DB7C0C" w:rsidP="00DB7C0C">
      <w:pPr>
        <w:jc w:val="both"/>
        <w:rPr>
          <w:rFonts w:ascii="Arial" w:hAnsi="Arial" w:cs="Arial"/>
        </w:rPr>
      </w:pPr>
    </w:p>
    <w:p w:rsidR="00DB7C0C" w:rsidRDefault="00DB7C0C" w:rsidP="00DB7C0C">
      <w:pPr>
        <w:jc w:val="both"/>
        <w:rPr>
          <w:rFonts w:ascii="Arial" w:hAnsi="Arial" w:cs="Arial"/>
        </w:rPr>
      </w:pPr>
    </w:p>
    <w:p w:rsidR="00DB7C0C" w:rsidRDefault="00DB7C0C" w:rsidP="00DB7C0C">
      <w:pPr>
        <w:jc w:val="both"/>
        <w:rPr>
          <w:rFonts w:ascii="Arial" w:hAnsi="Arial" w:cs="Arial"/>
        </w:rPr>
      </w:pPr>
    </w:p>
    <w:p w:rsidR="00DB7C0C" w:rsidRDefault="00DB7C0C" w:rsidP="00DB7C0C">
      <w:pPr>
        <w:jc w:val="both"/>
        <w:rPr>
          <w:rFonts w:ascii="Arial" w:hAnsi="Arial" w:cs="Arial"/>
        </w:rPr>
      </w:pPr>
    </w:p>
    <w:p w:rsidR="00EB04EF" w:rsidRDefault="00EB04EF" w:rsidP="00DB7C0C">
      <w:pPr>
        <w:jc w:val="both"/>
        <w:rPr>
          <w:rFonts w:ascii="Arial" w:hAnsi="Arial" w:cs="Arial"/>
        </w:rPr>
      </w:pPr>
    </w:p>
    <w:p w:rsidR="00EB04EF" w:rsidRDefault="00EB04EF" w:rsidP="00DB7C0C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B04EF" w:rsidTr="007636C2">
        <w:tc>
          <w:tcPr>
            <w:tcW w:w="4606" w:type="dxa"/>
          </w:tcPr>
          <w:p w:rsidR="00EB04EF" w:rsidRDefault="00EB04EF" w:rsidP="00B01C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proofErr w:type="gramStart"/>
            <w:r w:rsidR="00530B3E">
              <w:rPr>
                <w:rFonts w:ascii="Arial" w:hAnsi="Arial" w:cs="Arial"/>
              </w:rPr>
              <w:t>3</w:t>
            </w:r>
            <w:r w:rsidR="00D966C4">
              <w:rPr>
                <w:rFonts w:ascii="Arial" w:hAnsi="Arial" w:cs="Arial"/>
              </w:rPr>
              <w:t>0.6</w:t>
            </w:r>
            <w:r>
              <w:rPr>
                <w:rFonts w:ascii="Arial" w:hAnsi="Arial" w:cs="Arial"/>
              </w:rPr>
              <w:t>.2016</w:t>
            </w:r>
            <w:proofErr w:type="gramEnd"/>
          </w:p>
        </w:tc>
        <w:tc>
          <w:tcPr>
            <w:tcW w:w="4606" w:type="dxa"/>
          </w:tcPr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Brně dne</w:t>
            </w:r>
            <w:r w:rsidR="00D966C4">
              <w:rPr>
                <w:rFonts w:ascii="Arial" w:hAnsi="Arial" w:cs="Arial"/>
              </w:rPr>
              <w:t xml:space="preserve"> 4. 7. 2016</w:t>
            </w:r>
          </w:p>
        </w:tc>
      </w:tr>
      <w:tr w:rsidR="00EB04EF" w:rsidTr="007636C2">
        <w:tc>
          <w:tcPr>
            <w:tcW w:w="4606" w:type="dxa"/>
          </w:tcPr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</w:p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prodávajícího:</w:t>
            </w:r>
          </w:p>
        </w:tc>
        <w:tc>
          <w:tcPr>
            <w:tcW w:w="4606" w:type="dxa"/>
          </w:tcPr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</w:p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kupujícího:</w:t>
            </w:r>
          </w:p>
        </w:tc>
      </w:tr>
      <w:tr w:rsidR="00EB04EF" w:rsidTr="007636C2">
        <w:tc>
          <w:tcPr>
            <w:tcW w:w="4606" w:type="dxa"/>
          </w:tcPr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</w:p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</w:p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………………………………………………………...</w:t>
            </w:r>
          </w:p>
        </w:tc>
        <w:tc>
          <w:tcPr>
            <w:tcW w:w="4606" w:type="dxa"/>
          </w:tcPr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</w:p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</w:p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</w:p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………………………………………………………...</w:t>
            </w:r>
          </w:p>
        </w:tc>
      </w:tr>
      <w:tr w:rsidR="00EB04EF" w:rsidTr="007636C2">
        <w:tc>
          <w:tcPr>
            <w:tcW w:w="4606" w:type="dxa"/>
          </w:tcPr>
          <w:p w:rsidR="00EB04EF" w:rsidRPr="00B96B3C" w:rsidRDefault="00EB04EF" w:rsidP="007636C2">
            <w:pPr>
              <w:jc w:val="center"/>
              <w:rPr>
                <w:rFonts w:ascii="Arial" w:hAnsi="Arial" w:cs="Arial"/>
                <w:b/>
              </w:rPr>
            </w:pPr>
            <w:r w:rsidRPr="00B96B3C">
              <w:rPr>
                <w:rFonts w:ascii="Arial" w:hAnsi="Arial" w:cs="Arial"/>
                <w:b/>
              </w:rPr>
              <w:t xml:space="preserve">Ing. Jitka </w:t>
            </w:r>
            <w:proofErr w:type="spellStart"/>
            <w:r w:rsidRPr="00B96B3C">
              <w:rPr>
                <w:rFonts w:ascii="Arial" w:hAnsi="Arial" w:cs="Arial"/>
                <w:b/>
              </w:rPr>
              <w:t>Drmlová</w:t>
            </w:r>
            <w:proofErr w:type="spellEnd"/>
          </w:p>
          <w:p w:rsidR="00EB04EF" w:rsidRDefault="00EB04EF" w:rsidP="00763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Finance </w:t>
            </w:r>
            <w:proofErr w:type="spellStart"/>
            <w:r>
              <w:rPr>
                <w:rFonts w:ascii="Arial" w:hAnsi="Arial" w:cs="Arial"/>
              </w:rPr>
              <w:t>Manager</w:t>
            </w:r>
            <w:proofErr w:type="spellEnd"/>
            <w:r>
              <w:rPr>
                <w:rFonts w:ascii="Arial" w:hAnsi="Arial" w:cs="Arial"/>
              </w:rPr>
              <w:t xml:space="preserve"> CR&amp;SR&amp;PL</w:t>
            </w:r>
          </w:p>
        </w:tc>
        <w:tc>
          <w:tcPr>
            <w:tcW w:w="4606" w:type="dxa"/>
          </w:tcPr>
          <w:p w:rsidR="00EB04EF" w:rsidRDefault="00EB04EF" w:rsidP="00763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MUDr. Josef Drbal</w:t>
            </w:r>
          </w:p>
          <w:p w:rsidR="00EB04EF" w:rsidRDefault="00EB04EF" w:rsidP="00763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nemocnice</w:t>
            </w:r>
          </w:p>
        </w:tc>
      </w:tr>
      <w:tr w:rsidR="00EB04EF" w:rsidTr="007636C2">
        <w:tc>
          <w:tcPr>
            <w:tcW w:w="4606" w:type="dxa"/>
          </w:tcPr>
          <w:p w:rsidR="00EB04EF" w:rsidRDefault="00EB04EF" w:rsidP="00763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plné moci </w:t>
            </w:r>
            <w:proofErr w:type="spellStart"/>
            <w:r>
              <w:rPr>
                <w:rFonts w:ascii="Arial" w:hAnsi="Arial" w:cs="Arial"/>
              </w:rPr>
              <w:t>Abbott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Laboratories</w:t>
            </w:r>
            <w:proofErr w:type="spellEnd"/>
            <w:r>
              <w:rPr>
                <w:rFonts w:ascii="Arial" w:hAnsi="Arial" w:cs="Arial"/>
              </w:rPr>
              <w:t>, s.r.o.</w:t>
            </w:r>
          </w:p>
        </w:tc>
        <w:tc>
          <w:tcPr>
            <w:tcW w:w="4606" w:type="dxa"/>
          </w:tcPr>
          <w:p w:rsidR="00EB04EF" w:rsidRDefault="00EB04EF" w:rsidP="007636C2">
            <w:pPr>
              <w:jc w:val="both"/>
              <w:rPr>
                <w:rFonts w:ascii="Arial" w:hAnsi="Arial" w:cs="Arial"/>
              </w:rPr>
            </w:pPr>
          </w:p>
        </w:tc>
      </w:tr>
    </w:tbl>
    <w:p w:rsidR="00DB7C0C" w:rsidRDefault="00DB7C0C" w:rsidP="00DB7C0C">
      <w:pPr>
        <w:ind w:firstLine="708"/>
        <w:jc w:val="both"/>
        <w:rPr>
          <w:rFonts w:ascii="Arial" w:hAnsi="Arial" w:cs="Arial"/>
        </w:rPr>
      </w:pPr>
    </w:p>
    <w:p w:rsidR="00DB7C0C" w:rsidRDefault="00DB7C0C" w:rsidP="00DB7C0C">
      <w:pPr>
        <w:ind w:firstLine="708"/>
        <w:jc w:val="both"/>
        <w:rPr>
          <w:rFonts w:ascii="Arial" w:hAnsi="Arial" w:cs="Arial"/>
        </w:rPr>
      </w:pPr>
    </w:p>
    <w:p w:rsidR="00DB7C0C" w:rsidRDefault="00DB7C0C" w:rsidP="00DB7C0C">
      <w:pPr>
        <w:jc w:val="both"/>
        <w:rPr>
          <w:rFonts w:ascii="Arial" w:hAnsi="Arial" w:cs="Arial"/>
        </w:rPr>
      </w:pPr>
    </w:p>
    <w:p w:rsidR="00DB7C0C" w:rsidRPr="00E37859" w:rsidRDefault="00DB7C0C" w:rsidP="00DB7C0C">
      <w:pPr>
        <w:jc w:val="both"/>
        <w:rPr>
          <w:rFonts w:ascii="Arial" w:hAnsi="Arial" w:cs="Arial"/>
          <w:bCs/>
        </w:rPr>
      </w:pPr>
      <w:r w:rsidRPr="00E37859">
        <w:rPr>
          <w:rFonts w:ascii="Arial" w:hAnsi="Arial" w:cs="Arial"/>
        </w:rPr>
        <w:t xml:space="preserve">Příloha č. 1 </w:t>
      </w:r>
      <w:r>
        <w:rPr>
          <w:rFonts w:ascii="Arial" w:hAnsi="Arial" w:cs="Arial"/>
        </w:rPr>
        <w:tab/>
        <w:t>Rozsah metod s ceníkem</w:t>
      </w:r>
    </w:p>
    <w:p w:rsidR="009E6782" w:rsidRPr="005F6D76" w:rsidRDefault="00DB7C0C" w:rsidP="005F6D76">
      <w:pPr>
        <w:ind w:left="1410" w:hanging="1410"/>
        <w:jc w:val="both"/>
        <w:rPr>
          <w:rFonts w:ascii="Arial" w:hAnsi="Arial" w:cs="Arial"/>
          <w:bCs/>
        </w:rPr>
      </w:pPr>
      <w:r w:rsidRPr="005F6D76">
        <w:rPr>
          <w:rFonts w:ascii="Arial" w:hAnsi="Arial" w:cs="Arial"/>
          <w:bCs/>
        </w:rPr>
        <w:t xml:space="preserve">Příloha č. 2 </w:t>
      </w:r>
      <w:r w:rsidRPr="005F6D76">
        <w:rPr>
          <w:rFonts w:ascii="Arial" w:hAnsi="Arial" w:cs="Arial"/>
          <w:bCs/>
        </w:rPr>
        <w:tab/>
      </w:r>
      <w:r w:rsidR="009E6782" w:rsidRPr="005F6D76">
        <w:rPr>
          <w:rFonts w:ascii="Arial" w:hAnsi="Arial" w:cs="Arial"/>
          <w:bCs/>
        </w:rPr>
        <w:t>Pověření výrobce</w:t>
      </w:r>
      <w:r w:rsidR="005F6D76" w:rsidRPr="005F6D76">
        <w:rPr>
          <w:rFonts w:ascii="Arial" w:hAnsi="Arial" w:cs="Arial"/>
          <w:bCs/>
        </w:rPr>
        <w:t xml:space="preserve"> (dokládá se pouze v případe, že prodávající není výrobcem analyzátorů)</w:t>
      </w:r>
    </w:p>
    <w:p w:rsidR="00DB7C0C" w:rsidRPr="005F6D76" w:rsidRDefault="005F6D76" w:rsidP="00DB7C0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3</w:t>
      </w:r>
      <w:r>
        <w:rPr>
          <w:rFonts w:ascii="Arial" w:hAnsi="Arial" w:cs="Arial"/>
          <w:bCs/>
        </w:rPr>
        <w:tab/>
      </w:r>
      <w:r w:rsidR="00DB7C0C" w:rsidRPr="005F6D76">
        <w:rPr>
          <w:rFonts w:ascii="Arial" w:hAnsi="Arial" w:cs="Arial"/>
          <w:bCs/>
        </w:rPr>
        <w:t>Požadavky na integrované analyzátory a reagencie</w:t>
      </w:r>
    </w:p>
    <w:p w:rsidR="00DB7C0C" w:rsidRDefault="00DB7C0C" w:rsidP="00DB7C0C">
      <w:pPr>
        <w:jc w:val="both"/>
        <w:rPr>
          <w:rFonts w:ascii="Arial" w:hAnsi="Arial" w:cs="Arial"/>
          <w:bCs/>
        </w:rPr>
      </w:pPr>
    </w:p>
    <w:p w:rsidR="00DB7C0C" w:rsidRDefault="00DB7C0C" w:rsidP="00DB7C0C">
      <w:pPr>
        <w:spacing w:after="160" w:line="259" w:lineRule="auto"/>
      </w:pPr>
      <w:r>
        <w:br w:type="page"/>
      </w:r>
    </w:p>
    <w:p w:rsidR="00A27D04" w:rsidRPr="00A27D04" w:rsidRDefault="00A27D04" w:rsidP="00A27D0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27D04">
        <w:rPr>
          <w:rFonts w:ascii="Arial" w:hAnsi="Arial" w:cs="Arial"/>
          <w:b/>
          <w:bCs/>
          <w:sz w:val="24"/>
          <w:szCs w:val="24"/>
        </w:rPr>
        <w:lastRenderedPageBreak/>
        <w:t>Příloha č. 3 Požadavky na integrované analyzátory a reagencie</w:t>
      </w:r>
    </w:p>
    <w:p w:rsidR="001332AC" w:rsidRDefault="001332AC" w:rsidP="001332AC">
      <w:pPr>
        <w:spacing w:before="100" w:after="240"/>
        <w:rPr>
          <w:rFonts w:ascii="Arial" w:hAnsi="Arial" w:cs="Arial"/>
          <w:b/>
          <w:bCs/>
        </w:rPr>
      </w:pPr>
    </w:p>
    <w:p w:rsidR="001332AC" w:rsidRDefault="001332AC" w:rsidP="001332AC">
      <w:pPr>
        <w:spacing w:before="100" w:after="240"/>
      </w:pPr>
      <w:r>
        <w:rPr>
          <w:rFonts w:ascii="Arial" w:hAnsi="Arial" w:cs="Arial"/>
          <w:b/>
          <w:bCs/>
        </w:rPr>
        <w:t>Požadavky na integrované analyzátory: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Integrovaný systém s přímým vkládáním vzorků za po</w:t>
      </w:r>
      <w:r w:rsidR="00A40DE6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žití primárních odběrových systémů, jež se používají v NMB</w:t>
      </w:r>
    </w:p>
    <w:p w:rsidR="001332AC" w:rsidRDefault="00F426FB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Celkový výkon min. 9</w:t>
      </w:r>
      <w:r w:rsidR="001332AC">
        <w:rPr>
          <w:rFonts w:ascii="Arial" w:hAnsi="Arial" w:cs="Arial"/>
          <w:bCs/>
        </w:rPr>
        <w:t>00 testů / hod / 1 integrovaný systém</w:t>
      </w:r>
    </w:p>
    <w:p w:rsidR="001332AC" w:rsidRDefault="004B4875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Výkon fotometrické části min. 5</w:t>
      </w:r>
      <w:r w:rsidR="001332AC">
        <w:rPr>
          <w:rFonts w:ascii="Arial" w:hAnsi="Arial" w:cs="Arial"/>
          <w:bCs/>
        </w:rPr>
        <w:t>00 testů / hod / 1 integrovaný systém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Výko</w:t>
      </w:r>
      <w:r w:rsidR="004B4875">
        <w:rPr>
          <w:rFonts w:ascii="Arial" w:hAnsi="Arial" w:cs="Arial"/>
          <w:bCs/>
        </w:rPr>
        <w:t>n imunochemického modulu min. 17</w:t>
      </w:r>
      <w:r w:rsidR="00F426FB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 testů / hod / 1 integrovaný systém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Celková kapacita </w:t>
      </w:r>
      <w:r w:rsidRPr="004F4FEE">
        <w:rPr>
          <w:rFonts w:ascii="Arial" w:hAnsi="Arial" w:cs="Arial"/>
          <w:bCs/>
        </w:rPr>
        <w:t xml:space="preserve">min. </w:t>
      </w:r>
      <w:r w:rsidR="008D467E" w:rsidRPr="004F4FEE">
        <w:rPr>
          <w:rFonts w:ascii="Arial" w:hAnsi="Arial" w:cs="Arial"/>
          <w:bCs/>
        </w:rPr>
        <w:t>15</w:t>
      </w:r>
      <w:r w:rsidRPr="004F4FEE">
        <w:rPr>
          <w:rFonts w:ascii="Arial" w:hAnsi="Arial" w:cs="Arial"/>
          <w:bCs/>
        </w:rPr>
        <w:t>0 vzorků</w:t>
      </w:r>
      <w:r>
        <w:rPr>
          <w:rFonts w:ascii="Arial" w:hAnsi="Arial" w:cs="Arial"/>
          <w:bCs/>
        </w:rPr>
        <w:t xml:space="preserve"> na palubě 1 integrovaného systému včetně </w:t>
      </w:r>
      <w:proofErr w:type="spellStart"/>
      <w:r>
        <w:rPr>
          <w:rFonts w:ascii="Arial" w:hAnsi="Arial" w:cs="Arial"/>
          <w:bCs/>
        </w:rPr>
        <w:t>statimových</w:t>
      </w:r>
      <w:proofErr w:type="spellEnd"/>
    </w:p>
    <w:p w:rsidR="001332AC" w:rsidRDefault="008D467E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Minimálně 8</w:t>
      </w:r>
      <w:r w:rsidR="004B4875">
        <w:rPr>
          <w:rFonts w:ascii="Arial" w:hAnsi="Arial" w:cs="Arial"/>
          <w:bCs/>
        </w:rPr>
        <w:t>5</w:t>
      </w:r>
      <w:r w:rsidR="001332AC">
        <w:rPr>
          <w:rFonts w:ascii="Arial" w:hAnsi="Arial" w:cs="Arial"/>
          <w:bCs/>
        </w:rPr>
        <w:t xml:space="preserve"> pozic pro reagencie / 1 integrovaný systém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Zpracování vzorků séra, plazmy, moče, </w:t>
      </w:r>
      <w:proofErr w:type="spellStart"/>
      <w:r>
        <w:rPr>
          <w:rFonts w:ascii="Arial" w:hAnsi="Arial" w:cs="Arial"/>
          <w:bCs/>
        </w:rPr>
        <w:t>likvoru</w:t>
      </w:r>
      <w:proofErr w:type="spellEnd"/>
      <w:r>
        <w:rPr>
          <w:rFonts w:ascii="Arial" w:hAnsi="Arial" w:cs="Arial"/>
          <w:bCs/>
        </w:rPr>
        <w:t xml:space="preserve"> a dalších biologických tekutin</w:t>
      </w:r>
    </w:p>
    <w:p w:rsidR="001332AC" w:rsidRPr="00EB3029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 w:rsidRPr="00EB3029">
        <w:rPr>
          <w:rFonts w:ascii="Arial" w:hAnsi="Arial" w:cs="Arial"/>
          <w:bCs/>
        </w:rPr>
        <w:t xml:space="preserve">Přednostní vkládání </w:t>
      </w:r>
      <w:proofErr w:type="spellStart"/>
      <w:r w:rsidRPr="00EB3029">
        <w:rPr>
          <w:rFonts w:ascii="Arial" w:hAnsi="Arial" w:cs="Arial"/>
          <w:bCs/>
        </w:rPr>
        <w:t>statimových</w:t>
      </w:r>
      <w:proofErr w:type="spellEnd"/>
      <w:r w:rsidRPr="00EB3029">
        <w:rPr>
          <w:rFonts w:ascii="Arial" w:hAnsi="Arial" w:cs="Arial"/>
          <w:bCs/>
        </w:rPr>
        <w:t xml:space="preserve"> vzorků za plného provozu</w:t>
      </w:r>
    </w:p>
    <w:p w:rsidR="001332AC" w:rsidRPr="00EB3029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 w:rsidRPr="00EB3029">
        <w:rPr>
          <w:rFonts w:ascii="Arial" w:hAnsi="Arial" w:cs="Arial"/>
          <w:bCs/>
        </w:rPr>
        <w:t>Kontinuální vkládání vzorků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Chlazené pozice pro reagencie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Detekce hladiny vzorků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Detekce</w:t>
      </w:r>
      <w:r w:rsidR="00391554">
        <w:rPr>
          <w:rFonts w:ascii="Arial" w:hAnsi="Arial" w:cs="Arial"/>
          <w:bCs/>
        </w:rPr>
        <w:t xml:space="preserve"> bublin a</w:t>
      </w:r>
      <w:r>
        <w:rPr>
          <w:rFonts w:ascii="Arial" w:hAnsi="Arial" w:cs="Arial"/>
          <w:bCs/>
        </w:rPr>
        <w:t xml:space="preserve"> sraženiny ve vzorku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Detekce hemolytického, </w:t>
      </w:r>
      <w:proofErr w:type="spellStart"/>
      <w:r>
        <w:rPr>
          <w:rFonts w:ascii="Arial" w:hAnsi="Arial" w:cs="Arial"/>
          <w:bCs/>
        </w:rPr>
        <w:t>iketrického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lipemického</w:t>
      </w:r>
      <w:proofErr w:type="spellEnd"/>
      <w:r>
        <w:rPr>
          <w:rFonts w:ascii="Arial" w:hAnsi="Arial" w:cs="Arial"/>
          <w:bCs/>
        </w:rPr>
        <w:t xml:space="preserve"> vzorku (funkce měření sérových indexů)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Identifikac</w:t>
      </w:r>
      <w:r w:rsidR="00F6714B">
        <w:rPr>
          <w:rFonts w:ascii="Arial" w:hAnsi="Arial" w:cs="Arial"/>
          <w:bCs/>
        </w:rPr>
        <w:t>e vzorků, reagencií</w:t>
      </w:r>
      <w:r>
        <w:rPr>
          <w:rFonts w:ascii="Arial" w:hAnsi="Arial" w:cs="Arial"/>
          <w:bCs/>
        </w:rPr>
        <w:t xml:space="preserve"> prostřednictvím čárových kódů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Obousměrné komunikace on-line s LIS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Vzdálená správa přístroje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Řídící software v českém nebo anglickém jazyce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Ošetření přenosu (kontaminace) mezi vzorky do 0,8 </w:t>
      </w:r>
      <w:proofErr w:type="spellStart"/>
      <w:r>
        <w:rPr>
          <w:rFonts w:ascii="Arial" w:hAnsi="Arial" w:cs="Arial"/>
          <w:bCs/>
        </w:rPr>
        <w:t>ppm</w:t>
      </w:r>
      <w:proofErr w:type="spellEnd"/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Kapacita reagencií na palubě u 1 integrovaného systému pro současné provádění minimálně 50 různých metod (aplikace jedné sady reagencií pro vyšetření různých vzorků, např. moče a séra se považuje za jednu metodu)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Prodávající musí být výrobcem zapůjčených analyzátorů a dodávaných reagencií anebo musí mít od výrobce pověření k  zastupování a distribuci nabízeného zboží.</w:t>
      </w:r>
    </w:p>
    <w:p w:rsidR="001332AC" w:rsidRPr="00A040B5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</w:pPr>
      <w:r>
        <w:rPr>
          <w:rFonts w:ascii="Arial" w:hAnsi="Arial" w:cs="Arial"/>
        </w:rPr>
        <w:t xml:space="preserve">Prodávající musí v souladu s ustanovením § 26 zákona č. 268/2014 Sb., o zdravotnických prostředcích a o změně některých souvisejících zákonů, ve znění pozdějších předpisů, mít splněnu ohlašovací povinnost k dodávkám IVO (In vitro diagnostické prostředky) dle nařízení vlády č. 453/2004. Pro nabízený integrovaný analyzátor musí být prodávající zapsán v Registru zdravotnických prostředků vedeném Ministerstvem zdravotnictví České Republiky </w:t>
      </w:r>
      <w:hyperlink r:id="rId6" w:history="1">
        <w:r>
          <w:rPr>
            <w:rFonts w:ascii="Arial" w:hAnsi="Arial" w:cs="Arial"/>
            <w:u w:val="single"/>
          </w:rPr>
          <w:t>(http://www.rzpro.cz/).</w:t>
        </w:r>
      </w:hyperlink>
    </w:p>
    <w:p w:rsidR="00A040B5" w:rsidRPr="004B4875" w:rsidRDefault="00A040B5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</w:pPr>
      <w:r w:rsidRPr="004B4875">
        <w:rPr>
          <w:rFonts w:ascii="Arial" w:hAnsi="Arial" w:cs="Arial"/>
        </w:rPr>
        <w:t>Rozměr prostor, kde se musí oba analyzátory vejít</w:t>
      </w:r>
      <w:r w:rsidR="00C06CF6" w:rsidRPr="004B4875">
        <w:rPr>
          <w:rFonts w:ascii="Arial" w:hAnsi="Arial" w:cs="Arial"/>
        </w:rPr>
        <w:t xml:space="preserve"> s tím, že musí být umožněn </w:t>
      </w:r>
      <w:r w:rsidR="00937F01" w:rsidRPr="004B4875">
        <w:rPr>
          <w:rFonts w:ascii="Arial" w:hAnsi="Arial" w:cs="Arial"/>
        </w:rPr>
        <w:t>přístup obsluhy</w:t>
      </w:r>
      <w:r w:rsidR="00C06CF6" w:rsidRPr="004B4875">
        <w:rPr>
          <w:rFonts w:ascii="Arial" w:hAnsi="Arial" w:cs="Arial"/>
        </w:rPr>
        <w:t xml:space="preserve"> k analyzátoru: </w:t>
      </w:r>
    </w:p>
    <w:p w:rsidR="00A040B5" w:rsidRPr="004B4875" w:rsidRDefault="00A040B5" w:rsidP="00A040B5">
      <w:pPr>
        <w:suppressAutoHyphens/>
        <w:autoSpaceDN w:val="0"/>
        <w:ind w:left="720"/>
        <w:jc w:val="both"/>
        <w:textAlignment w:val="baseline"/>
      </w:pPr>
      <w:r w:rsidRPr="004B4875">
        <w:rPr>
          <w:rFonts w:ascii="Arial" w:hAnsi="Arial" w:cs="Arial"/>
        </w:rPr>
        <w:t xml:space="preserve">1. kóje: 4,3 m x 3,5 m, </w:t>
      </w:r>
      <w:r w:rsidR="006668A1" w:rsidRPr="004B4875">
        <w:rPr>
          <w:rFonts w:ascii="Arial" w:hAnsi="Arial" w:cs="Arial"/>
        </w:rPr>
        <w:t>kde</w:t>
      </w:r>
      <w:r w:rsidRPr="004B4875">
        <w:rPr>
          <w:rFonts w:ascii="Arial" w:hAnsi="Arial" w:cs="Arial"/>
        </w:rPr>
        <w:t xml:space="preserve"> jsou v prostoru stoly připevněné ke zdi, některé</w:t>
      </w:r>
      <w:r w:rsidR="006668A1" w:rsidRPr="004B4875">
        <w:rPr>
          <w:rFonts w:ascii="Arial" w:hAnsi="Arial" w:cs="Arial"/>
        </w:rPr>
        <w:t xml:space="preserve"> stoly</w:t>
      </w:r>
      <w:r w:rsidRPr="004B4875">
        <w:rPr>
          <w:rFonts w:ascii="Arial" w:hAnsi="Arial" w:cs="Arial"/>
        </w:rPr>
        <w:t xml:space="preserve"> jsou s dřezem</w:t>
      </w:r>
    </w:p>
    <w:p w:rsidR="00A040B5" w:rsidRPr="004B4875" w:rsidRDefault="00A040B5" w:rsidP="00A040B5">
      <w:pPr>
        <w:suppressAutoHyphens/>
        <w:autoSpaceDN w:val="0"/>
        <w:ind w:left="720"/>
        <w:jc w:val="both"/>
        <w:textAlignment w:val="baseline"/>
        <w:rPr>
          <w:rFonts w:ascii="Arial" w:hAnsi="Arial" w:cs="Arial"/>
        </w:rPr>
      </w:pPr>
      <w:r w:rsidRPr="004B4875">
        <w:rPr>
          <w:rFonts w:ascii="Arial" w:hAnsi="Arial" w:cs="Arial"/>
        </w:rPr>
        <w:t xml:space="preserve">2. kóje: 4,3 m (možné prodloužení tohoto prostoru směrem ven z kóje o 1,3 m) x 3,5 m, </w:t>
      </w:r>
      <w:r w:rsidR="006668A1" w:rsidRPr="004B4875">
        <w:rPr>
          <w:rFonts w:ascii="Arial" w:hAnsi="Arial" w:cs="Arial"/>
        </w:rPr>
        <w:t xml:space="preserve">v kóji je </w:t>
      </w:r>
      <w:r w:rsidRPr="004B4875">
        <w:rPr>
          <w:rFonts w:ascii="Arial" w:hAnsi="Arial" w:cs="Arial"/>
        </w:rPr>
        <w:t>úpravna vody šířky 0,8 m a hloubky 0,4 m, dále jsou</w:t>
      </w:r>
      <w:r w:rsidR="006668A1" w:rsidRPr="004B4875">
        <w:rPr>
          <w:rFonts w:ascii="Arial" w:hAnsi="Arial" w:cs="Arial"/>
        </w:rPr>
        <w:t xml:space="preserve"> v prostoru</w:t>
      </w:r>
      <w:r w:rsidRPr="004B4875">
        <w:rPr>
          <w:rFonts w:ascii="Arial" w:hAnsi="Arial" w:cs="Arial"/>
        </w:rPr>
        <w:t xml:space="preserve"> stoly připevněné ke zdi, některé jsou s dřezem)</w:t>
      </w:r>
    </w:p>
    <w:p w:rsidR="006668A1" w:rsidRPr="004B4875" w:rsidRDefault="006668A1" w:rsidP="00A040B5">
      <w:pPr>
        <w:suppressAutoHyphens/>
        <w:autoSpaceDN w:val="0"/>
        <w:ind w:left="720"/>
        <w:jc w:val="both"/>
        <w:textAlignment w:val="baseline"/>
      </w:pPr>
      <w:r w:rsidRPr="004B4875">
        <w:rPr>
          <w:rFonts w:ascii="Arial" w:hAnsi="Arial" w:cs="Arial"/>
        </w:rPr>
        <w:t>Prodávající je oprávněn v prostoru provést změny s výjimkou stavebních úprav zdí, úprava v rámci klimatizace je možná. Náklady vyvolané umístěním analyzátoru bude hradit dodavatel.</w:t>
      </w:r>
    </w:p>
    <w:p w:rsidR="001332AC" w:rsidRDefault="001332AC" w:rsidP="001332AC">
      <w:pPr>
        <w:ind w:left="720"/>
        <w:jc w:val="both"/>
        <w:rPr>
          <w:rFonts w:ascii="Arial" w:hAnsi="Arial" w:cs="Arial"/>
          <w:bCs/>
        </w:rPr>
      </w:pPr>
    </w:p>
    <w:p w:rsidR="001332AC" w:rsidRDefault="001332AC" w:rsidP="001332AC">
      <w:pPr>
        <w:spacing w:before="100" w:after="100"/>
        <w:jc w:val="both"/>
      </w:pPr>
      <w:r>
        <w:rPr>
          <w:rFonts w:ascii="Arial" w:hAnsi="Arial" w:cs="Arial"/>
          <w:b/>
          <w:bCs/>
        </w:rPr>
        <w:t xml:space="preserve">Požadavky na reagencie 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Veškeré reagencie musí mít CE značku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Návody k použití musí být předloženy v českém jazyce nejpozději s první dodávkou</w:t>
      </w:r>
    </w:p>
    <w:p w:rsidR="001332AC" w:rsidRDefault="001332AC" w:rsidP="001332AC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Bezpečnostní listy nabízených reagencií budou dodány s první dodávkou</w:t>
      </w:r>
    </w:p>
    <w:p w:rsidR="001332AC" w:rsidRDefault="001332AC" w:rsidP="001332AC">
      <w:pPr>
        <w:jc w:val="both"/>
        <w:rPr>
          <w:sz w:val="26"/>
        </w:rPr>
      </w:pPr>
    </w:p>
    <w:p w:rsidR="001332AC" w:rsidRDefault="001332AC" w:rsidP="001332AC">
      <w:pPr>
        <w:jc w:val="both"/>
        <w:rPr>
          <w:sz w:val="24"/>
        </w:rPr>
      </w:pPr>
    </w:p>
    <w:p w:rsidR="001332AC" w:rsidRDefault="001332AC" w:rsidP="001332AC">
      <w:pPr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Požadavky na provoz:</w:t>
      </w:r>
    </w:p>
    <w:p w:rsidR="001332AC" w:rsidRDefault="001332AC" w:rsidP="001332AC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1332AC" w:rsidRDefault="001332AC" w:rsidP="001332AC">
      <w:pPr>
        <w:numPr>
          <w:ilvl w:val="0"/>
          <w:numId w:val="23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Bezplatná zápůjčka a instalace přístroje 2 ks plnohodnotných integrovaných analyzátorů se stejným příslušenstvím a softwarem</w:t>
      </w:r>
    </w:p>
    <w:p w:rsidR="001332AC" w:rsidRDefault="001332AC" w:rsidP="001332AC">
      <w:pPr>
        <w:numPr>
          <w:ilvl w:val="0"/>
          <w:numId w:val="23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Kompatibilita a zaměnitelnost všech reagencií, spotřebního matriálu a roztoků</w:t>
      </w:r>
    </w:p>
    <w:p w:rsidR="001332AC" w:rsidRDefault="001332AC" w:rsidP="001332AC">
      <w:pPr>
        <w:numPr>
          <w:ilvl w:val="0"/>
          <w:numId w:val="23"/>
        </w:numPr>
        <w:suppressAutoHyphens/>
        <w:autoSpaceDN w:val="0"/>
        <w:spacing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Vzdálená správa </w:t>
      </w:r>
    </w:p>
    <w:p w:rsidR="001332AC" w:rsidRDefault="001332AC" w:rsidP="001332AC">
      <w:pPr>
        <w:numPr>
          <w:ilvl w:val="0"/>
          <w:numId w:val="23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Nástup na opravu min. do 6 hodin po nahlášení</w:t>
      </w:r>
    </w:p>
    <w:p w:rsidR="001332AC" w:rsidRDefault="001332AC" w:rsidP="001332AC">
      <w:pPr>
        <w:numPr>
          <w:ilvl w:val="0"/>
          <w:numId w:val="23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Bezplatný servis</w:t>
      </w:r>
    </w:p>
    <w:p w:rsidR="001332AC" w:rsidRDefault="001332AC" w:rsidP="001332AC">
      <w:pPr>
        <w:numPr>
          <w:ilvl w:val="0"/>
          <w:numId w:val="23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Bezplatná výměna součástí analyzátorů</w:t>
      </w:r>
    </w:p>
    <w:p w:rsidR="001332AC" w:rsidRDefault="001332AC" w:rsidP="001332AC">
      <w:pPr>
        <w:numPr>
          <w:ilvl w:val="0"/>
          <w:numId w:val="23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Náhrada reagencií znehodnocených poruchou analyzátorů</w:t>
      </w:r>
    </w:p>
    <w:p w:rsidR="001332AC" w:rsidRDefault="001332AC" w:rsidP="001332AC">
      <w:pPr>
        <w:numPr>
          <w:ilvl w:val="0"/>
          <w:numId w:val="23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Bezplatné školení o novinkách na poli pracovního využití analyzátorů</w:t>
      </w:r>
    </w:p>
    <w:p w:rsidR="001332AC" w:rsidRDefault="001332AC" w:rsidP="001332AC">
      <w:pPr>
        <w:numPr>
          <w:ilvl w:val="0"/>
          <w:numId w:val="23"/>
        </w:numPr>
        <w:suppressAutoHyphens/>
        <w:autoSpaceDN w:val="0"/>
        <w:spacing w:line="276" w:lineRule="auto"/>
        <w:textAlignment w:val="baseline"/>
      </w:pPr>
      <w:r>
        <w:rPr>
          <w:rFonts w:ascii="Arial" w:hAnsi="Arial" w:cs="Arial"/>
          <w:color w:val="000000"/>
        </w:rPr>
        <w:t>V případě nesplnění kritérií stanovených EHK z důvodů na straně prodávajícího je kupující oprávněn požadovat dodání relevantního EHK materiálu pro přeměření.</w:t>
      </w:r>
    </w:p>
    <w:p w:rsidR="007013AB" w:rsidRDefault="007013AB" w:rsidP="007013AB">
      <w:pPr>
        <w:spacing w:line="276" w:lineRule="auto"/>
        <w:ind w:left="720"/>
        <w:rPr>
          <w:rFonts w:ascii="Arial" w:hAnsi="Arial" w:cs="Arial"/>
          <w:color w:val="000000"/>
        </w:rPr>
      </w:pPr>
    </w:p>
    <w:p w:rsidR="0026164A" w:rsidRDefault="0026164A">
      <w:pPr>
        <w:jc w:val="both"/>
        <w:rPr>
          <w:sz w:val="24"/>
        </w:rPr>
      </w:pPr>
    </w:p>
    <w:p w:rsidR="0026164A" w:rsidRDefault="0026164A">
      <w:pPr>
        <w:jc w:val="both"/>
        <w:rPr>
          <w:sz w:val="24"/>
        </w:rPr>
      </w:pPr>
    </w:p>
    <w:sectPr w:rsidR="0026164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C4DAF"/>
    <w:multiLevelType w:val="multilevel"/>
    <w:tmpl w:val="C37AD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3168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AB86A02"/>
    <w:multiLevelType w:val="hybridMultilevel"/>
    <w:tmpl w:val="4FCA6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11039"/>
    <w:multiLevelType w:val="hybridMultilevel"/>
    <w:tmpl w:val="4F527C0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652DD"/>
    <w:multiLevelType w:val="multilevel"/>
    <w:tmpl w:val="6040E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8E11662"/>
    <w:multiLevelType w:val="hybridMultilevel"/>
    <w:tmpl w:val="D270B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A5FB1"/>
    <w:multiLevelType w:val="hybridMultilevel"/>
    <w:tmpl w:val="9D9E4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B613A"/>
    <w:multiLevelType w:val="multilevel"/>
    <w:tmpl w:val="50B0C89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1A0104"/>
    <w:multiLevelType w:val="hybridMultilevel"/>
    <w:tmpl w:val="8E0A9A3C"/>
    <w:lvl w:ilvl="0" w:tplc="98662E52">
      <w:start w:val="20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30892B95"/>
    <w:multiLevelType w:val="multilevel"/>
    <w:tmpl w:val="C06A36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17B7E5B"/>
    <w:multiLevelType w:val="multilevel"/>
    <w:tmpl w:val="542C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BC4024"/>
    <w:multiLevelType w:val="multilevel"/>
    <w:tmpl w:val="B260A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4A55C0F"/>
    <w:multiLevelType w:val="multilevel"/>
    <w:tmpl w:val="07EAD8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>
    <w:nsid w:val="3F6C4E45"/>
    <w:multiLevelType w:val="multilevel"/>
    <w:tmpl w:val="026E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CE2B52"/>
    <w:multiLevelType w:val="hybridMultilevel"/>
    <w:tmpl w:val="57BC23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10656E"/>
    <w:multiLevelType w:val="hybridMultilevel"/>
    <w:tmpl w:val="6BC62DBA"/>
    <w:lvl w:ilvl="0" w:tplc="92CC2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C15EB"/>
    <w:multiLevelType w:val="hybridMultilevel"/>
    <w:tmpl w:val="0ABAE01C"/>
    <w:lvl w:ilvl="0" w:tplc="92CC2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60772"/>
    <w:multiLevelType w:val="hybridMultilevel"/>
    <w:tmpl w:val="A318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43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4DF44D4"/>
    <w:multiLevelType w:val="multilevel"/>
    <w:tmpl w:val="89EE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2A6F33"/>
    <w:multiLevelType w:val="multilevel"/>
    <w:tmpl w:val="C782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3F1D37"/>
    <w:multiLevelType w:val="hybridMultilevel"/>
    <w:tmpl w:val="DB7244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253441D"/>
    <w:multiLevelType w:val="singleLevel"/>
    <w:tmpl w:val="B660294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EA50753"/>
    <w:multiLevelType w:val="multilevel"/>
    <w:tmpl w:val="F4C27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2"/>
  </w:num>
  <w:num w:numId="4">
    <w:abstractNumId w:val="8"/>
  </w:num>
  <w:num w:numId="5">
    <w:abstractNumId w:val="21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14"/>
  </w:num>
  <w:num w:numId="11">
    <w:abstractNumId w:val="5"/>
  </w:num>
  <w:num w:numId="12">
    <w:abstractNumId w:val="16"/>
  </w:num>
  <w:num w:numId="13">
    <w:abstractNumId w:val="15"/>
  </w:num>
  <w:num w:numId="14">
    <w:abstractNumId w:val="20"/>
  </w:num>
  <w:num w:numId="15">
    <w:abstractNumId w:val="4"/>
  </w:num>
  <w:num w:numId="16">
    <w:abstractNumId w:val="12"/>
  </w:num>
  <w:num w:numId="17">
    <w:abstractNumId w:val="9"/>
  </w:num>
  <w:num w:numId="18">
    <w:abstractNumId w:val="19"/>
  </w:num>
  <w:num w:numId="19">
    <w:abstractNumId w:val="18"/>
  </w:num>
  <w:num w:numId="20">
    <w:abstractNumId w:val="13"/>
  </w:num>
  <w:num w:numId="21">
    <w:abstractNumId w:val="1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09"/>
    <w:rsid w:val="00027342"/>
    <w:rsid w:val="0004724D"/>
    <w:rsid w:val="000F50D6"/>
    <w:rsid w:val="000F7A22"/>
    <w:rsid w:val="00120CD7"/>
    <w:rsid w:val="001324C2"/>
    <w:rsid w:val="001332AC"/>
    <w:rsid w:val="00154EA6"/>
    <w:rsid w:val="001830FA"/>
    <w:rsid w:val="001921A1"/>
    <w:rsid w:val="0020494E"/>
    <w:rsid w:val="00213259"/>
    <w:rsid w:val="0026164A"/>
    <w:rsid w:val="00270E9F"/>
    <w:rsid w:val="002714B6"/>
    <w:rsid w:val="002E71DD"/>
    <w:rsid w:val="003045BC"/>
    <w:rsid w:val="00371B4D"/>
    <w:rsid w:val="00391554"/>
    <w:rsid w:val="00445309"/>
    <w:rsid w:val="0046687A"/>
    <w:rsid w:val="00476007"/>
    <w:rsid w:val="004A24E5"/>
    <w:rsid w:val="004B4875"/>
    <w:rsid w:val="004F4FEE"/>
    <w:rsid w:val="00530B3E"/>
    <w:rsid w:val="00536E88"/>
    <w:rsid w:val="00543845"/>
    <w:rsid w:val="00544D70"/>
    <w:rsid w:val="00564989"/>
    <w:rsid w:val="005A5363"/>
    <w:rsid w:val="005E2365"/>
    <w:rsid w:val="005F6D76"/>
    <w:rsid w:val="00652E12"/>
    <w:rsid w:val="00655957"/>
    <w:rsid w:val="006668A1"/>
    <w:rsid w:val="006A6B2C"/>
    <w:rsid w:val="007013AB"/>
    <w:rsid w:val="007143E9"/>
    <w:rsid w:val="007162C6"/>
    <w:rsid w:val="007457F1"/>
    <w:rsid w:val="00761C66"/>
    <w:rsid w:val="00785C2E"/>
    <w:rsid w:val="007F60A9"/>
    <w:rsid w:val="00800E49"/>
    <w:rsid w:val="00806297"/>
    <w:rsid w:val="00866C2B"/>
    <w:rsid w:val="008769B5"/>
    <w:rsid w:val="008C601A"/>
    <w:rsid w:val="008D467E"/>
    <w:rsid w:val="008F2AB4"/>
    <w:rsid w:val="009354C9"/>
    <w:rsid w:val="00937F01"/>
    <w:rsid w:val="00943D70"/>
    <w:rsid w:val="009E6782"/>
    <w:rsid w:val="00A040B5"/>
    <w:rsid w:val="00A17F27"/>
    <w:rsid w:val="00A27D04"/>
    <w:rsid w:val="00A31558"/>
    <w:rsid w:val="00A401BB"/>
    <w:rsid w:val="00A40DE6"/>
    <w:rsid w:val="00A65318"/>
    <w:rsid w:val="00A90641"/>
    <w:rsid w:val="00AA3AC2"/>
    <w:rsid w:val="00AD3175"/>
    <w:rsid w:val="00AD6D2B"/>
    <w:rsid w:val="00B01CE5"/>
    <w:rsid w:val="00B055F6"/>
    <w:rsid w:val="00B97DBD"/>
    <w:rsid w:val="00BD5CA7"/>
    <w:rsid w:val="00BE0494"/>
    <w:rsid w:val="00C06CF6"/>
    <w:rsid w:val="00C74041"/>
    <w:rsid w:val="00C87035"/>
    <w:rsid w:val="00D966C4"/>
    <w:rsid w:val="00DB7685"/>
    <w:rsid w:val="00DB7C0C"/>
    <w:rsid w:val="00DD61F5"/>
    <w:rsid w:val="00DE150F"/>
    <w:rsid w:val="00E20A57"/>
    <w:rsid w:val="00E23D4B"/>
    <w:rsid w:val="00E31302"/>
    <w:rsid w:val="00E37FBE"/>
    <w:rsid w:val="00E45E7D"/>
    <w:rsid w:val="00E62BAB"/>
    <w:rsid w:val="00E66CB4"/>
    <w:rsid w:val="00E82D1C"/>
    <w:rsid w:val="00E93309"/>
    <w:rsid w:val="00EB04EF"/>
    <w:rsid w:val="00EB3029"/>
    <w:rsid w:val="00EF30AB"/>
    <w:rsid w:val="00F426FB"/>
    <w:rsid w:val="00F5654E"/>
    <w:rsid w:val="00F6714B"/>
    <w:rsid w:val="00F7350D"/>
    <w:rsid w:val="00F74C60"/>
    <w:rsid w:val="00F90171"/>
    <w:rsid w:val="00FD2E71"/>
    <w:rsid w:val="00FF0D2C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80EBCB-DFF6-419D-92FA-4EC10DD0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Default">
    <w:name w:val="Default"/>
    <w:rsid w:val="00DB7C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DB7C0C"/>
    <w:pPr>
      <w:spacing w:line="12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B0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B01C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01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zpro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09006-7714-40A0-96BB-888BCEBE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2158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Konvent Hospitálského řádu sv</vt:lpstr>
    </vt:vector>
  </TitlesOfParts>
  <Company>Abbott Laboratories</Company>
  <LinksUpToDate>false</LinksUpToDate>
  <CharactersWithSpaces>14864</CharactersWithSpaces>
  <SharedDoc>false</SharedDoc>
  <HLinks>
    <vt:vector size="6" baseType="variant">
      <vt:variant>
        <vt:i4>655372</vt:i4>
      </vt:variant>
      <vt:variant>
        <vt:i4>0</vt:i4>
      </vt:variant>
      <vt:variant>
        <vt:i4>0</vt:i4>
      </vt:variant>
      <vt:variant>
        <vt:i4>5</vt:i4>
      </vt:variant>
      <vt:variant>
        <vt:lpwstr>http://www.rzpro.cz/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Konvent Hospitálského řádu sv</dc:title>
  <dc:creator>JUDr.Petr Smejkal</dc:creator>
  <cp:lastModifiedBy>Martina Ferechová</cp:lastModifiedBy>
  <cp:revision>6</cp:revision>
  <cp:lastPrinted>2016-05-31T09:01:00Z</cp:lastPrinted>
  <dcterms:created xsi:type="dcterms:W3CDTF">2016-05-24T12:06:00Z</dcterms:created>
  <dcterms:modified xsi:type="dcterms:W3CDTF">2016-07-25T08:09:00Z</dcterms:modified>
</cp:coreProperties>
</file>