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0" w:name="bookmark0"/>
      <w:r>
        <w:rPr>
          <w:rStyle w:val="CharStyle3"/>
        </w:rPr>
        <w:t>Illllllllllllllllllllllll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rStyle w:val="CharStyle5"/>
        </w:rPr>
        <w:t>2023003912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720" w:right="0" w:firstLine="0"/>
        <w:jc w:val="both"/>
      </w:pPr>
      <w:r>
        <w:rPr>
          <w:rStyle w:val="CharStyle7"/>
          <w:sz w:val="12"/>
          <w:szCs w:val="12"/>
        </w:rPr>
        <w:t>■ ■■■■■■■■■■■■i i ■ ■■■■ ■■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r>
        <w:rPr>
          <w:rStyle w:val="CharStyle10"/>
          <w:b/>
          <w:bCs/>
          <w:sz w:val="19"/>
          <w:szCs w:val="19"/>
        </w:rPr>
        <w:t xml:space="preserve">KUPNÍ </w:t>
      </w:r>
      <w:r>
        <w:rPr>
          <w:rStyle w:val="CharStyle10"/>
          <w:smallCaps/>
        </w:rPr>
        <w:t>smlouva</w:t>
      </w:r>
      <w:bookmarkEnd w:id="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60" w:line="269" w:lineRule="auto"/>
        <w:ind w:left="0" w:right="0" w:firstLine="0"/>
        <w:jc w:val="center"/>
      </w:pPr>
      <w:r>
        <w:rPr>
          <w:rStyle w:val="CharStyle13"/>
        </w:rPr>
        <w:t>uzavřená v souladu s ustanovením § 2079 a násl. zákona č. 89/2012 Sb., občanský zákoník,</w:t>
        <w:br/>
        <w:t>mezi níže uvedenými smluvními stranami</w:t>
      </w:r>
    </w:p>
    <w:tbl>
      <w:tblPr>
        <w:tblOverlap w:val="never"/>
        <w:jc w:val="left"/>
        <w:tblLayout w:type="fixed"/>
      </w:tblPr>
      <w:tblGrid>
        <w:gridCol w:w="2640"/>
        <w:gridCol w:w="5198"/>
      </w:tblGrid>
      <w:tr>
        <w:trPr>
          <w:trHeight w:val="4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Kamenice 798/1 d, 625 00 Brno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MUDr. Hana Albrechtová, ředitelka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spacing w:val="8"/>
                <w:shd w:val="clear" w:color="auto" w:fill="000000"/>
              </w:rPr>
              <w:t>....</w:t>
            </w:r>
            <w:r>
              <w:rPr>
                <w:rStyle w:val="CharStyle17"/>
                <w:spacing w:val="9"/>
                <w:shd w:val="clear" w:color="auto" w:fill="000000"/>
              </w:rPr>
              <w:t>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2"/>
                <w:shd w:val="clear" w:color="auto" w:fill="000000"/>
              </w:rPr>
              <w:t>...............</w:t>
            </w:r>
            <w:r>
              <w:rPr>
                <w:rStyle w:val="CharStyle17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17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CharStyle17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shd w:val="clear" w:color="auto" w:fill="000000"/>
              </w:rPr>
              <w:t>.......​</w:t>
            </w:r>
            <w:r>
              <w:rPr>
                <w:rStyle w:val="CharStyle17"/>
                <w:spacing w:val="6"/>
                <w:shd w:val="clear" w:color="auto" w:fill="000000"/>
              </w:rPr>
              <w:t>...</w:t>
            </w:r>
            <w:r>
              <w:rPr>
                <w:rStyle w:val="CharStyle17"/>
                <w:spacing w:val="7"/>
                <w:shd w:val="clear" w:color="auto" w:fill="000000"/>
              </w:rPr>
              <w:t>...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5"/>
                <w:shd w:val="clear" w:color="auto" w:fill="000000"/>
              </w:rPr>
              <w:t>.....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00346292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CZ00346292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Krajský soud v Brně sp. zn. Pr 1245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MONETA Money Bank, a.s., č. ú. 117203514/0600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15"/>
        </w:rPr>
        <w:t>(dále jen „kupující“)</w:t>
      </w:r>
    </w:p>
    <w:p>
      <w:pPr>
        <w:widowControl w:val="0"/>
        <w:spacing w:after="219" w:line="1" w:lineRule="exact"/>
      </w:pPr>
    </w:p>
    <w:tbl>
      <w:tblPr>
        <w:tblOverlap w:val="never"/>
        <w:jc w:val="left"/>
        <w:tblLayout w:type="fixed"/>
      </w:tblPr>
      <w:tblGrid>
        <w:gridCol w:w="2645"/>
        <w:gridCol w:w="4594"/>
      </w:tblGrid>
      <w:tr>
        <w:trPr>
          <w:trHeight w:val="61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a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b/>
                <w:bCs/>
              </w:rPr>
              <w:t>AUTONOVA BRNO s.r.o.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Masná 418/20, 602 00 BRNO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Ing. Marek Leichmann, ředitel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shd w:val="clear" w:color="auto" w:fill="000000"/>
              </w:rPr>
              <w:t>.......​</w:t>
            </w:r>
            <w:r>
              <w:rPr>
                <w:rStyle w:val="CharStyle17"/>
                <w:spacing w:val="5"/>
                <w:shd w:val="clear" w:color="auto" w:fill="000000"/>
              </w:rPr>
              <w:t>.........</w:t>
            </w:r>
            <w:r>
              <w:rPr>
                <w:rStyle w:val="CharStyle17"/>
                <w:spacing w:val="6"/>
                <w:shd w:val="clear" w:color="auto" w:fill="000000"/>
              </w:rPr>
              <w:t>.</w:t>
            </w:r>
            <w:r>
              <w:rPr>
                <w:rStyle w:val="CharStyle17"/>
                <w:shd w:val="clear" w:color="auto" w:fill="000000"/>
              </w:rPr>
              <w:t>​</w:t>
            </w:r>
            <w:r>
              <w:rPr>
                <w:rStyle w:val="CharStyle17"/>
                <w:spacing w:val="1"/>
                <w:shd w:val="clear" w:color="auto" w:fill="000000"/>
              </w:rPr>
              <w:t>....</w:t>
            </w:r>
            <w:r>
              <w:rPr>
                <w:rStyle w:val="CharStyle17"/>
                <w:spacing w:val="2"/>
                <w:shd w:val="clear" w:color="auto" w:fill="000000"/>
              </w:rPr>
              <w:t>.............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IČO: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46960341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CZ46960341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  <w:rFonts w:ascii="Calibri" w:eastAsia="Calibri" w:hAnsi="Calibri" w:cs="Calibri"/>
                <w:sz w:val="19"/>
                <w:szCs w:val="19"/>
              </w:rPr>
              <w:t>vedeného Krajským soudem v Brně, oddíl C, vložka 6252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7"/>
              </w:rPr>
              <w:t>1818045621/0100</w:t>
            </w:r>
          </w:p>
        </w:tc>
      </w:tr>
    </w:tbl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15"/>
        </w:rPr>
        <w:t>(dále jen „prodávající“)</w:t>
      </w:r>
    </w:p>
    <w:p>
      <w:pPr>
        <w:widowControl w:val="0"/>
        <w:spacing w:after="639" w:line="1" w:lineRule="exact"/>
      </w:pP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End w:id="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Prodávající je oprávněn na základě svého vlastnického práva nakládat s tímto zbožím: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9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ks nového vozidla Škoda Enyaq Coupé RS. Bližší specifikace tohoto zboží je uvedena v příloze č. 1, která je nedílnou součástí této kupní smlouvy.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End w:id="6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both"/>
      </w:pPr>
      <w:r>
        <w:rPr>
          <w:rStyle w:val="CharStyle13"/>
        </w:rPr>
        <w:t>Prodávající prodává zboží podle čl. 1 této smlouvy se všemi jeho součástmi a příslušenstvím kupujícímu, a kupující kupuje toto zboží do vlastnictví Jihomoravského kraje, za kupní cenu podle čl. 5 této smlouvy. Součástí zboží je poskytnutí veškerých dokladů nezbytných k přihlášení a provozu vozidla dle přílohy č. 1 k této smlouvě, včetně platného prohlášení o shodě prokazující schválení typu vozidla včetně alternativního pohonu.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8" w:name="bookmark8"/>
      <w:bookmarkEnd w:id="8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720" w:right="1484" w:bottom="720" w:left="1527" w:header="292" w:footer="292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3"/>
        </w:rPr>
        <w:t xml:space="preserve">Prodávající se zavazuje splnit svůj závazek k dodání zboží podle čl. 1 této smlouvy nejpozději do </w:t>
      </w:r>
      <w:r>
        <w:rPr>
          <w:rStyle w:val="CharStyle13"/>
          <w:b/>
          <w:bCs/>
        </w:rPr>
        <w:t xml:space="preserve">31.12. 2023, </w:t>
      </w:r>
      <w:r>
        <w:rPr>
          <w:rStyle w:val="CharStyle13"/>
        </w:rPr>
        <w:t>a to v místě plnění tohoto závazku, kterým je sídlo kupujícího podle záhlaví této smlouvy. Závazek prodávajícího ke splnění jeho závazku k dodání zboží podle čl. 1 této smlouvy se pak považuje za splněný dnem předání a převzetí tohoto zboží, prostého všech vad a nedodělků, formou písemného předávacího protokolu, podepsaného oběma stranami. Kupující je oprávněn odmítnout převzetí zboží podle čl. 1 této smlouvy, bude-li se na něm vyskytovat jakákoliv vada nebo nedodělek.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420" w:line="240" w:lineRule="auto"/>
        <w:ind w:left="0" w:right="0" w:firstLine="0"/>
        <w:jc w:val="center"/>
      </w:pPr>
      <w:bookmarkStart w:id="14" w:name="bookmark14"/>
      <w:bookmarkEnd w:id="1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Nebezpečí škody na převáděném zboží přechází z prodávajícího na kupujícího dnem faktického převzetí tohoto zboží, vlastnické právo ke zboží podle čl. 1 této smlouvy přechází z prodávajícího na kupujícího dnem splnění závazku prodávajícího k dodání zboží podle čl. 1 této smlouvy způsobem podle čl. 3 této smlouvy.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End w:id="16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Kupující se zavazuje zaplatit prodávajícímu za předmět koupě a prodeje podle čl. 1 této smlouvy kupní cenu ve výši 1 367 758,50,- Kč bez DPH, tj.1 654 987,79,- Kč s DPH. Součástí této ceny jsou veškeré náklady prodávajícího na splnění jeho závazku k dodání zboží podle této smlouvy a daň z přidané hodnoty v sazbě podle zákona. Změna výše cen bude možná pouze na základě změny sazby DPH vyhlášené příslušným zákonem.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8" w:name="bookmark18"/>
      <w:bookmarkEnd w:id="18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 xml:space="preserve">Kupní cena podle čl. 5 této smlouvy je splatná na účet prodávajícího po úplném splnění závazku prodávajícího k dodání zboží podle čl. 1 této smlouvy způsobem podle čl. 3 této smlouvy ve lhůtě do 30 dnů ode dne doručení jejího písemného vyúčtování daňového dokladu (dále jen „daňový doklad“ nebo „faktura“). Faktura bude doručena elektronicky na email: </w:t>
      </w:r>
      <w:r>
        <w:rPr>
          <w:rStyle w:val="CharStyle13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CharStyle13"/>
          <w:spacing w:val="2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CharStyle13"/>
          <w:shd w:val="clear" w:color="auto" w:fill="000000"/>
          <w:lang w:val="en-US" w:eastAsia="en-US" w:bidi="en-US"/>
        </w:rPr>
        <w:t>.</w:t>
      </w:r>
      <w:r>
        <w:rPr>
          <w:rStyle w:val="CharStyle13"/>
          <w:shd w:val="clear" w:color="auto" w:fill="000000"/>
        </w:rPr>
        <w:t>​...</w:t>
      </w:r>
      <w:r>
        <w:rPr>
          <w:rStyle w:val="CharStyle1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1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3"/>
          <w:color w:val="85A0CC"/>
          <w:lang w:val="en-US" w:eastAsia="en-US" w:bidi="en-US"/>
        </w:rPr>
        <w:t xml:space="preserve">. </w:t>
      </w:r>
      <w:r>
        <w:rPr>
          <w:rStyle w:val="CharStyle13"/>
        </w:rPr>
        <w:t xml:space="preserve">Na faktuře musí být mimo jiné vždy uvedeno toto číslo veřejné zakázky, ke které se faktura vztahuje: </w:t>
      </w:r>
      <w:r>
        <w:rPr>
          <w:rStyle w:val="CharStyle13"/>
          <w:b/>
          <w:bCs/>
        </w:rPr>
        <w:t xml:space="preserve">P23V00001058. </w:t>
      </w:r>
      <w:r>
        <w:rPr>
          <w:rStyle w:val="CharStyle13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běžet ode dne doručení opravené faktury kupujícímu. Kupující má v úmyslu financovat toto zboží, jež je předmětem této smlouvy, z dotace Státního fondu životního prostředí České republiky z Národního programu Životní prostředí v rámci Národního plánu obnovy financovaného z Nástroje na podporu oživení a odolnosti. Číslo výzvy 3/2022, prioritní oblast Životní prostředí ve městech a obcích, podoblast Udržitelná městská doprava a mobilita.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0" w:name="bookmark20"/>
      <w:bookmarkEnd w:id="20"/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9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S převodem zboží podle čl. 1 této smlouvy je spojena záruka za jeho jakost v trvání 24 měsíců. V rámci této záruky se prodávající zavazuje zejména bezplatně odstraňovat reklamované vady tohoto zboží, a to vždy v lhůtě nejpozději do 10 dnů od doručení příslušné písemné reklamace kupujícího. Za písemnou reklamaci se přitom pro účely této smlouvy považuje reklamace učiněná elektronicky do datové schránky nebo na e-mailovou adresu prodávajícího.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94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Prodávající je povinen převzít vadné zboží k odstranění reklamované vady dle čl. 7 odst. 1) do 24h hodin od doručení písemné reklamace kupujícím.</w:t>
      </w:r>
    </w:p>
    <w:p>
      <w:pPr>
        <w:pStyle w:val="Style1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94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rStyle w:val="CharStyle13"/>
        </w:rPr>
        <w:t>Pokud charakter vady zjištěný při přebrání zboží k reklamaci neumožní prodávajícímu splnit lhůtu dle čl. 7 odst. 1) neprodleně o tom vyrozumí kupujícího. Vadu poté prodávající odstraní ve lhůtě přiměřené charakteru vady.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2" w:name="bookmark22"/>
      <w:bookmarkEnd w:id="2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Pro případ sporu o oprávněnost reklamace se kupujícímu vyhrazuje právo nechat vyhotovit k prověření reklamované vady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4" w:name="bookmark24"/>
      <w:bookmarkEnd w:id="24"/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4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Pro případ prodlení prodávajícího se splněním jeho povinnosti k odstranění reklamované vady ve lhůtě podle čl. 7 odst. 1 této smlouvy se prodávající zavazuje zaplatit kupujícímu smluvní pokutu ve výši 5.000,-Kč za každý započatý den tohoto prodlení.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29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Pro případ prodlení prodávajícího se splněním jeho povinnosti k převzetí zboží k odstranění reklamované vady ve lhůtě podle čl. 7 odst. 2 této smlouvy se prodávající zavazuje zaplatit kupujícímu smluvní pokutu ve výši 500,- Kč za každou započatou hodinu tohoto prodlení.</w:t>
      </w:r>
    </w:p>
    <w:p>
      <w:pPr>
        <w:pStyle w:val="Style1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08" w:val="left"/>
        </w:tabs>
        <w:bidi w:val="0"/>
        <w:spacing w:before="0" w:after="420" w:line="257" w:lineRule="auto"/>
        <w:ind w:left="0" w:right="0" w:firstLine="0"/>
        <w:jc w:val="both"/>
      </w:pPr>
      <w:r>
        <w:rPr>
          <w:rStyle w:val="CharStyle13"/>
        </w:rPr>
        <w:t>Smluvní pokuta podle tohoto článku této smlouvy je přitom splatná do 15-ti dnů od doručení písemné výzvy kupujícího k jejímu zaplacení s tím, že z této výzvy musí být zřejmý její právní důvod, její výše a způsob jejího výpočtu.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6" w:name="bookmark26"/>
      <w:bookmarkEnd w:id="26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Pro případ prodlení prodávajícího se splněním jeho povinnosti k odstranění vady ve lhůtě podle čl. 7 této smlouvy o víc než 10 dnů, je kupující oprávněn nechat provést toto odstranění třetí osobou na náklady prodávajícího.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8" w:name="bookmark28"/>
      <w:bookmarkEnd w:id="28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rStyle w:val="CharStyle13"/>
        </w:rPr>
        <w:t xml:space="preserve">Pro případ prodlení prodávajícího se splněním jeho závazku k dodání zboží ve lhůtě podle či. 3 této smlouvy se prodávající zavazuje zaplatit kupujícímu smluvní pokutu ve výši 0,1 % z kupní ceny podle čl. 5 této smlouvy za každý započatý den tohoto prodlení. Smluvní pokuta podle tohoto článku této smlouvy je přitom splatná do 15-ti dnů od doručení písemné výzvy kupujícího k jejímu zaplácení s tím, že z této </w:t>
      </w:r>
      <w:r>
        <w:rPr>
          <w:rStyle w:val="CharStyle13"/>
          <w:i/>
          <w:iCs/>
        </w:rPr>
        <w:t>výzvy</w:t>
      </w:r>
      <w:r>
        <w:rPr>
          <w:rStyle w:val="CharStyle13"/>
        </w:rPr>
        <w:t xml:space="preserve"> musí být zřejmý její právní důvod, její výše a způsob jejího výpočtu.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0" w:name="bookmark30"/>
      <w:bookmarkEnd w:id="3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Pro případ prodlení prodávajícího se splněním jeho závazku k dodání zboží ve lhůtě podle čl. 3 této smlouvy o více, než 2 týdny, je kupující oprávněn odstoupit od této smlouvy s účinky ex tunc. Stejné právo má kupující, vyskytne-li se v době záruky za jakost podle čl. 7 této smlouvy na zboží podle čl. 1 této smlouvy neodstranitelná vada nebo.pět a více vad, a i to postupně.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2" w:name="bookmark32"/>
      <w:bookmarkEnd w:id="3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Pro případ prodlení kupujícího se zaplacením kupní ceny nebo její části ve lhůtě podle čl. 6 této smlouvy o víc, než 10 dnů, je prodávající oprávněn od této smlouvy odstoupit s účinky ex tunc.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4" w:name="bookmark34"/>
      <w:bookmarkEnd w:id="3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Není-li touto smlouvou ujednáno jinak, řídí se vzájemný právní vztah mezi kupujícím a prodávajícím při realizaci této smlouvy ustanovení § 2079 a násl. občanského zákoníku. Obě strany přitom vylučují použití ust. §1917 až 1918, §1920 až 1922, §1924, § 2099 až 2101, § 2103 až 2105 a §2165 až 2172 občanského zákoníku a také obchodních zvyklostí, které jsou svým smyslem nebo účinky totožné nebo obdobné s uvedenými ustanoveními, na jejich právní vztah podle této smlouvy.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6" w:name="bookmark36"/>
      <w:bookmarkEnd w:id="36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Tato smlouva se uzavírá na základě návrhu na její uzavření ze strany prodávajícího. Předpokladem uzavření této smlouvy je její písemná forma a dohoda o jejích podstatných náležitostech, čímž se rozumí celý obsah této smlouvy, jak je uveden v čl. 1 až 20 této smlouvy. Kupující přitom předem vylučuje přijetí tohoto návrhu s dodatkem nebo odchylkou ve smyslu ustanovení § 1740 odst 3 občanského zákoníku.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38" w:name="bookmark38"/>
      <w:bookmarkEnd w:id="38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3"/>
        </w:rPr>
        <w:t>Tuto smlouvu lze změnit nebo zrušit pouze jinou písemnou dohodou obou smluvních stran ve formě číslovaného dodatku.</w:t>
      </w:r>
    </w:p>
    <w:p>
      <w:pPr>
        <w:pStyle w:val="Style31"/>
        <w:keepNext/>
        <w:keepLines/>
        <w:widowControl w:val="0"/>
        <w:numPr>
          <w:ilvl w:val="0"/>
          <w:numId w:val="1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0" w:name="bookmark40"/>
      <w:bookmarkEnd w:id="40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340" w:line="240" w:lineRule="auto"/>
        <w:ind w:left="0" w:right="0" w:firstLine="0"/>
        <w:jc w:val="both"/>
      </w:pPr>
      <w:r>
        <w:rPr>
          <w:rStyle w:val="CharStyle13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3"/>
          <w:b/>
          <w:bCs/>
        </w:rPr>
        <w:t>18.</w:t>
      </w:r>
      <w:r>
        <w:br w:type="page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13"/>
        </w:rPr>
        <w:t>Smluvní strany se dohodly, že uveřejněni v registru smluv (ISRS) včetně uvedeni metadat provede kupující. Tato smlouva nabývá platnosti podpisem oběma stranami a účinnosti dnem jejího uveřejnění v registru smluv dle čl. 17.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42" w:name="bookmark42"/>
      <w:r>
        <w:rPr>
          <w:rStyle w:val="CharStyle32"/>
          <w:b/>
          <w:bCs/>
        </w:rPr>
        <w:t>19.</w:t>
      </w:r>
      <w:bookmarkEnd w:id="4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rStyle w:val="CharStyle13"/>
        </w:rPr>
        <w:t>Prodávající uděluje kupujícímu svůj výslovný souhlas se zveřejněním podmínek této smlouvy v rozsahu a za podmínek vyplývajících z příslušných právních předpisů (zejména zák. č. 106/1999 Sb., o svobodném přístupu k informacím, v platném znění).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4" w:name="bookmark44"/>
      <w:r>
        <w:rPr>
          <w:rStyle w:val="CharStyle32"/>
          <w:b/>
          <w:bCs/>
        </w:rPr>
        <w:t>20.</w:t>
      </w:r>
      <w:bookmarkEnd w:id="44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13"/>
        </w:rPr>
        <w:t>Dáno ve dvou originálních písemných vyhotoveních, z nichž každá ze smluvních stran obdrží po jednom.</w:t>
      </w:r>
    </w:p>
    <w:p>
      <w:pPr>
        <w:widowControl w:val="0"/>
        <w:spacing w:line="1" w:lineRule="exact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291" w:right="1516" w:bottom="1831" w:left="1494" w:header="0" w:footer="140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49250" distB="0" distL="0" distR="0" simplePos="0" relativeHeight="12582937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349250</wp:posOffset>
                </wp:positionV>
                <wp:extent cx="2502535" cy="84709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2535" cy="847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dot" w:pos="1870" w:val="left"/>
                              </w:tabs>
                              <w:bidi w:val="0"/>
                              <w:spacing w:before="0" w:line="180" w:lineRule="auto"/>
                              <w:ind w:left="0" w:right="0" w:firstLine="18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V Brně dne</w:t>
                              <w:tab/>
                            </w:r>
                          </w:p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5"/>
                                <w:rFonts w:ascii="Arial" w:eastAsia="Arial" w:hAnsi="Arial" w:cs="Arial"/>
                                <w:b/>
                                <w:bCs/>
                                <w:spacing w:val="10"/>
                                <w:sz w:val="19"/>
                                <w:szCs w:val="19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5"/>
                                <w:rFonts w:ascii="Arial" w:eastAsia="Arial" w:hAnsi="Arial" w:cs="Arial"/>
                                <w:b/>
                                <w:bCs/>
                                <w:spacing w:val="11"/>
                                <w:sz w:val="19"/>
                                <w:szCs w:val="19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5"/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000000"/>
                              </w:rPr>
                              <w:t>​.</w:t>
                            </w:r>
                            <w:r>
                              <w:rPr>
                                <w:rStyle w:val="CharStyle35"/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35"/>
                                <w:shd w:val="clear" w:color="auto" w:fill="000000"/>
                              </w:rPr>
                              <w:t>​......</w:t>
                            </w:r>
                            <w:r>
                              <w:rPr>
                                <w:rStyle w:val="CharStyle35"/>
                                <w:spacing w:val="1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3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5"/>
                                <w:spacing w:val="2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35"/>
                                <w:spacing w:val="3"/>
                                <w:shd w:val="clear" w:color="auto" w:fill="000000"/>
                              </w:rPr>
                              <w:t>...</w:t>
                            </w:r>
                            <w:r>
                              <w:rPr>
                                <w:rStyle w:val="CharStyle35"/>
                              </w:rPr>
                              <w:br/>
                            </w:r>
                            <w:r>
                              <w:rPr>
                                <w:rStyle w:val="CharStyle35"/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000000"/>
                              </w:rPr>
                              <w:t>​....</w:t>
                            </w:r>
                            <w:r>
                              <w:rPr>
                                <w:rStyle w:val="CharStyle35"/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35"/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5"/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  <w:shd w:val="clear" w:color="auto" w:fill="000000"/>
                              </w:rPr>
                              <w:t>........</w:t>
                            </w:r>
                            <w:r>
                              <w:rPr>
                                <w:rStyle w:val="CharStyle35"/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5"/>
                                <w:shd w:val="clear" w:color="auto" w:fill="000000"/>
                                <w:vertAlign w:val="subscript"/>
                              </w:rPr>
                              <w:t>​</w:t>
                            </w:r>
                            <w:r>
                              <w:rPr>
                                <w:rStyle w:val="CharStyle35"/>
                                <w:spacing w:val="2"/>
                                <w:shd w:val="clear" w:color="auto" w:fill="000000"/>
                                <w:vertAlign w:val="subscript"/>
                              </w:rPr>
                              <w:t>...</w:t>
                            </w:r>
                            <w:r>
                              <w:rPr>
                                <w:rStyle w:val="CharStyle35"/>
                                <w:spacing w:val="3"/>
                                <w:shd w:val="clear" w:color="auto" w:fill="000000"/>
                                <w:vertAlign w:val="subscript"/>
                              </w:rPr>
                              <w:t>......</w:t>
                            </w:r>
                            <w:r>
                              <w:rPr>
                                <w:rStyle w:val="CharStyle35"/>
                                <w:spacing w:val="43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5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35"/>
                                <w:spacing w:val="1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35"/>
                                <w:spacing w:val="2"/>
                                <w:shd w:val="clear" w:color="auto" w:fill="000000"/>
                              </w:rPr>
                              <w:t>..</w:t>
                            </w:r>
                            <w:r>
                              <w:rPr>
                                <w:rStyle w:val="CharStyle35"/>
                                <w:shd w:val="clear" w:color="auto" w:fill="000000"/>
                              </w:rPr>
                              <w:t>​......</w:t>
                            </w:r>
                            <w:r>
                              <w:rPr>
                                <w:rStyle w:val="CharStyle35"/>
                                <w:spacing w:val="1"/>
                                <w:shd w:val="clear" w:color="auto" w:fill="000000"/>
                              </w:rPr>
                              <w:t>.............</w:t>
                            </w:r>
                          </w:p>
                          <w:p>
                            <w:pPr>
                              <w:pStyle w:val="Style46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47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47"/>
                                <w:spacing w:val="1"/>
                                <w:shd w:val="clear" w:color="auto" w:fill="000000"/>
                              </w:rPr>
                              <w:t>.............</w:t>
                            </w:r>
                            <w:bookmarkStart w:id="10" w:name="bookmark10"/>
                            <w:bookmarkEnd w:id="10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1.5pt;margin-top:27.5pt;width:197.05000000000001pt;height:66.700000000000003pt;z-index:-125829375;mso-wrap-distance-left:0;mso-wrap-distance-top:27.5pt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dot" w:pos="1870" w:val="left"/>
                        </w:tabs>
                        <w:bidi w:val="0"/>
                        <w:spacing w:before="0" w:line="180" w:lineRule="auto"/>
                        <w:ind w:left="0" w:right="0" w:firstLine="180"/>
                        <w:jc w:val="left"/>
                      </w:pPr>
                      <w:r>
                        <w:rPr>
                          <w:rStyle w:val="CharStyle13"/>
                        </w:rPr>
                        <w:t>V Brně dne</w:t>
                        <w:tab/>
                      </w:r>
                    </w:p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center"/>
                      </w:pPr>
                      <w:r>
                        <w:rPr>
                          <w:rStyle w:val="CharStyle35"/>
                          <w:rFonts w:ascii="Arial" w:eastAsia="Arial" w:hAnsi="Arial" w:cs="Arial"/>
                          <w:b/>
                          <w:bCs/>
                          <w:spacing w:val="10"/>
                          <w:sz w:val="19"/>
                          <w:szCs w:val="19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5"/>
                          <w:rFonts w:ascii="Arial" w:eastAsia="Arial" w:hAnsi="Arial" w:cs="Arial"/>
                          <w:b/>
                          <w:bCs/>
                          <w:spacing w:val="11"/>
                          <w:sz w:val="19"/>
                          <w:szCs w:val="19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5"/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  <w:shd w:val="clear" w:color="auto" w:fill="000000"/>
                        </w:rPr>
                        <w:t>​.</w:t>
                      </w:r>
                      <w:r>
                        <w:rPr>
                          <w:rStyle w:val="CharStyle35"/>
                          <w:rFonts w:ascii="Arial" w:eastAsia="Arial" w:hAnsi="Arial" w:cs="Arial"/>
                          <w:b/>
                          <w:bCs/>
                          <w:spacing w:val="1"/>
                          <w:sz w:val="19"/>
                          <w:szCs w:val="19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35"/>
                          <w:shd w:val="clear" w:color="auto" w:fill="000000"/>
                        </w:rPr>
                        <w:t>​......</w:t>
                      </w:r>
                      <w:r>
                        <w:rPr>
                          <w:rStyle w:val="CharStyle35"/>
                          <w:spacing w:val="1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3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5"/>
                          <w:spacing w:val="2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35"/>
                          <w:spacing w:val="3"/>
                          <w:shd w:val="clear" w:color="auto" w:fill="000000"/>
                        </w:rPr>
                        <w:t>...</w:t>
                      </w:r>
                      <w:r>
                        <w:rPr>
                          <w:rStyle w:val="CharStyle35"/>
                        </w:rPr>
                        <w:br/>
                      </w:r>
                      <w:r>
                        <w:rPr>
                          <w:rStyle w:val="CharStyle35"/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  <w:shd w:val="clear" w:color="auto" w:fill="000000"/>
                        </w:rPr>
                        <w:t>​....</w:t>
                      </w:r>
                      <w:r>
                        <w:rPr>
                          <w:rStyle w:val="CharStyle35"/>
                          <w:rFonts w:ascii="Arial" w:eastAsia="Arial" w:hAnsi="Arial" w:cs="Arial"/>
                          <w:b/>
                          <w:bCs/>
                          <w:spacing w:val="1"/>
                          <w:sz w:val="19"/>
                          <w:szCs w:val="19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35"/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5"/>
                          <w:rFonts w:ascii="Arial" w:eastAsia="Arial" w:hAnsi="Arial" w:cs="Arial"/>
                          <w:b/>
                          <w:bCs/>
                          <w:spacing w:val="1"/>
                          <w:sz w:val="19"/>
                          <w:szCs w:val="19"/>
                          <w:shd w:val="clear" w:color="auto" w:fill="000000"/>
                        </w:rPr>
                        <w:t>........</w:t>
                      </w:r>
                      <w:r>
                        <w:rPr>
                          <w:rStyle w:val="CharStyle35"/>
                          <w:rFonts w:ascii="Arial" w:eastAsia="Arial" w:hAnsi="Arial" w:cs="Arial"/>
                          <w:b/>
                          <w:bCs/>
                          <w:spacing w:val="2"/>
                          <w:sz w:val="19"/>
                          <w:szCs w:val="19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5"/>
                          <w:shd w:val="clear" w:color="auto" w:fill="000000"/>
                          <w:vertAlign w:val="subscript"/>
                        </w:rPr>
                        <w:t>​</w:t>
                      </w:r>
                      <w:r>
                        <w:rPr>
                          <w:rStyle w:val="CharStyle35"/>
                          <w:spacing w:val="2"/>
                          <w:shd w:val="clear" w:color="auto" w:fill="000000"/>
                          <w:vertAlign w:val="subscript"/>
                        </w:rPr>
                        <w:t>...</w:t>
                      </w:r>
                      <w:r>
                        <w:rPr>
                          <w:rStyle w:val="CharStyle35"/>
                          <w:spacing w:val="3"/>
                          <w:shd w:val="clear" w:color="auto" w:fill="000000"/>
                          <w:vertAlign w:val="subscript"/>
                        </w:rPr>
                        <w:t>......</w:t>
                      </w:r>
                      <w:r>
                        <w:rPr>
                          <w:rStyle w:val="CharStyle35"/>
                          <w:spacing w:val="43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5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35"/>
                          <w:spacing w:val="1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35"/>
                          <w:spacing w:val="2"/>
                          <w:shd w:val="clear" w:color="auto" w:fill="000000"/>
                        </w:rPr>
                        <w:t>..</w:t>
                      </w:r>
                      <w:r>
                        <w:rPr>
                          <w:rStyle w:val="CharStyle35"/>
                          <w:shd w:val="clear" w:color="auto" w:fill="000000"/>
                        </w:rPr>
                        <w:t>​......</w:t>
                      </w:r>
                      <w:r>
                        <w:rPr>
                          <w:rStyle w:val="CharStyle35"/>
                          <w:spacing w:val="1"/>
                          <w:shd w:val="clear" w:color="auto" w:fill="000000"/>
                        </w:rPr>
                        <w:t>.............</w:t>
                      </w:r>
                    </w:p>
                    <w:p>
                      <w:pPr>
                        <w:pStyle w:val="Style4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47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47"/>
                          <w:spacing w:val="1"/>
                          <w:shd w:val="clear" w:color="auto" w:fill="000000"/>
                        </w:rPr>
                        <w:t>.............</w:t>
                      </w:r>
                      <w:bookmarkStart w:id="10" w:name="bookmark10"/>
                      <w:bookmarkEnd w:id="10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42900" distB="704215" distL="0" distR="0" simplePos="0" relativeHeight="125829380" behindDoc="0" locked="0" layoutInCell="1" allowOverlap="1">
                <wp:simplePos x="0" y="0"/>
                <wp:positionH relativeFrom="page">
                  <wp:posOffset>4324985</wp:posOffset>
                </wp:positionH>
                <wp:positionV relativeFrom="paragraph">
                  <wp:posOffset>342900</wp:posOffset>
                </wp:positionV>
                <wp:extent cx="1234440" cy="14922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44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V Brně dne 17.5.2023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40.55000000000001pt;margin-top:27.pt;width:97.200000000000003pt;height:11.75pt;z-index:-125829373;mso-wrap-distance-left:0;mso-wrap-distance-top:27.pt;mso-wrap-distance-right:0;mso-wrap-distance-bottom:55.450000000000003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V Brně dne 17.5.2023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50875" distB="57785" distL="0" distR="0" simplePos="0" relativeHeight="125829382" behindDoc="0" locked="0" layoutInCell="1" allowOverlap="1">
                <wp:simplePos x="0" y="0"/>
                <wp:positionH relativeFrom="page">
                  <wp:posOffset>4340225</wp:posOffset>
                </wp:positionH>
                <wp:positionV relativeFrom="paragraph">
                  <wp:posOffset>650875</wp:posOffset>
                </wp:positionV>
                <wp:extent cx="908050" cy="48768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805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1"/>
                                <w:spacing w:val="6"/>
                                <w:shd w:val="clear" w:color="auto" w:fill="000000"/>
                              </w:rPr>
                              <w:t>........</w:t>
                            </w:r>
                            <w:bookmarkStart w:id="12" w:name="bookmark12"/>
                            <w:r>
                              <w:rPr>
                                <w:rStyle w:val="CharStyle51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1"/>
                                <w:spacing w:val="3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51"/>
                                <w:spacing w:val="4"/>
                                <w:shd w:val="clear" w:color="auto" w:fill="000000"/>
                              </w:rPr>
                              <w:t>.......</w:t>
                            </w:r>
                            <w:r>
                              <w:rPr>
                                <w:rStyle w:val="CharStyle51"/>
                              </w:rPr>
                              <w:br/>
                            </w:r>
                            <w:r>
                              <w:rPr>
                                <w:rStyle w:val="CharStyle51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1"/>
                                <w:spacing w:val="2"/>
                                <w:shd w:val="clear" w:color="auto" w:fill="000000"/>
                              </w:rPr>
                              <w:t>............</w:t>
                            </w:r>
                            <w:r>
                              <w:rPr>
                                <w:rStyle w:val="CharStyle51"/>
                                <w:spacing w:val="3"/>
                                <w:shd w:val="clear" w:color="auto" w:fill="000000"/>
                              </w:rPr>
                              <w:t>.........</w:t>
                            </w:r>
                            <w:bookmarkEnd w:id="1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1.75pt;margin-top:51.25pt;width:71.5pt;height:38.399999999999999pt;z-index:-125829371;mso-wrap-distance-left:0;mso-wrap-distance-top:51.25pt;mso-wrap-distance-right:0;mso-wrap-distance-bottom:4.5499999999999998pt;mso-position-horizontal-relative:page" filled="f" stroked="f">
                <v:textbox inset="0,0,0,0">
                  <w:txbxContent>
                    <w:p>
                      <w:pPr>
                        <w:pStyle w:val="Style5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1"/>
                          <w:spacing w:val="6"/>
                          <w:shd w:val="clear" w:color="auto" w:fill="000000"/>
                        </w:rPr>
                        <w:t>........</w:t>
                      </w:r>
                      <w:bookmarkStart w:id="12" w:name="bookmark12"/>
                      <w:r>
                        <w:rPr>
                          <w:rStyle w:val="CharStyle51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1"/>
                          <w:spacing w:val="3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1"/>
                          <w:spacing w:val="4"/>
                          <w:shd w:val="clear" w:color="auto" w:fill="000000"/>
                        </w:rPr>
                        <w:t>.......</w:t>
                      </w:r>
                      <w:r>
                        <w:rPr>
                          <w:rStyle w:val="CharStyle51"/>
                        </w:rPr>
                        <w:br/>
                      </w:r>
                      <w:r>
                        <w:rPr>
                          <w:rStyle w:val="CharStyle51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1"/>
                          <w:spacing w:val="2"/>
                          <w:shd w:val="clear" w:color="auto" w:fill="000000"/>
                        </w:rPr>
                        <w:t>............</w:t>
                      </w:r>
                      <w:r>
                        <w:rPr>
                          <w:rStyle w:val="CharStyle51"/>
                          <w:spacing w:val="3"/>
                          <w:shd w:val="clear" w:color="auto" w:fill="000000"/>
                        </w:rPr>
                        <w:t>.........</w:t>
                      </w:r>
                      <w:bookmarkEnd w:id="1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75005" distB="42545" distL="0" distR="0" simplePos="0" relativeHeight="125829384" behindDoc="0" locked="0" layoutInCell="1" allowOverlap="1">
                <wp:simplePos x="0" y="0"/>
                <wp:positionH relativeFrom="page">
                  <wp:posOffset>5254625</wp:posOffset>
                </wp:positionH>
                <wp:positionV relativeFrom="paragraph">
                  <wp:posOffset>675005</wp:posOffset>
                </wp:positionV>
                <wp:extent cx="887095" cy="47879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7095" cy="4787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8"/>
                                <w:spacing w:val="2"/>
                                <w:shd w:val="clear" w:color="auto" w:fill="000000"/>
                              </w:rPr>
                              <w:t>....</w:t>
                            </w:r>
                            <w:r>
                              <w:rPr>
                                <w:rStyle w:val="CharStyle58"/>
                                <w:spacing w:val="3"/>
                                <w:shd w:val="clear" w:color="auto" w:fill="000000"/>
                              </w:rPr>
                              <w:t>..........</w:t>
                            </w:r>
                            <w:r>
                              <w:rPr>
                                <w:rStyle w:val="CharStyle58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8"/>
                                <w:spacing w:val="1"/>
                                <w:shd w:val="clear" w:color="auto" w:fill="000000"/>
                              </w:rPr>
                              <w:t>.....</w:t>
                            </w:r>
                            <w:r>
                              <w:rPr>
                                <w:rStyle w:val="CharStyle58"/>
                                <w:spacing w:val="2"/>
                                <w:shd w:val="clear" w:color="auto" w:fill="000000"/>
                              </w:rPr>
                              <w:t>.........</w:t>
                            </w:r>
                            <w:r>
                              <w:rPr>
                                <w:rStyle w:val="CharStyle58"/>
                              </w:rPr>
                              <w:t xml:space="preserve"> </w:t>
                            </w:r>
                            <w:r>
                              <w:rPr>
                                <w:rStyle w:val="CharStyle58"/>
                                <w:shd w:val="clear" w:color="auto" w:fill="000000"/>
                              </w:rPr>
                              <w:t>​.......​...........​</w:t>
                            </w:r>
                            <w:r>
                              <w:rPr>
                                <w:rStyle w:val="CharStyle58"/>
                                <w:spacing w:val="1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58"/>
                                <w:spacing w:val="2"/>
                                <w:shd w:val="clear" w:color="auto" w:fill="000000"/>
                              </w:rPr>
                              <w:t>......</w:t>
                            </w:r>
                            <w:r>
                              <w:rPr>
                                <w:rStyle w:val="CharStyle58"/>
                              </w:rPr>
                              <w:t xml:space="preserve"> </w:t>
                            </w:r>
                            <w:r>
                              <w:rPr>
                                <w:rStyle w:val="CharStyle58"/>
                                <w:shd w:val="clear" w:color="auto" w:fill="000000"/>
                              </w:rPr>
                              <w:t>​</w:t>
                            </w:r>
                            <w:r>
                              <w:rPr>
                                <w:rStyle w:val="CharStyle58"/>
                                <w:spacing w:val="1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58"/>
                                <w:spacing w:val="2"/>
                                <w:shd w:val="clear" w:color="auto" w:fill="000000"/>
                              </w:rPr>
                              <w:t>...........</w:t>
                            </w:r>
                            <w:r>
                              <w:rPr>
                                <w:rStyle w:val="CharStyle58"/>
                                <w:shd w:val="clear" w:color="auto" w:fill="000000"/>
                              </w:rPr>
                              <w:t>​..................</w:t>
                            </w:r>
                            <w:r>
                              <w:rPr>
                                <w:rStyle w:val="CharStyle58"/>
                              </w:rPr>
                              <w:t xml:space="preserve"> </w:t>
                            </w:r>
                            <w:r>
                              <w:rPr>
                                <w:rStyle w:val="CharStyle58"/>
                                <w:shd w:val="clear" w:color="auto" w:fill="000000"/>
                              </w:rPr>
                              <w:t>​......</w:t>
                            </w:r>
                            <w:r>
                              <w:rPr>
                                <w:rStyle w:val="CharStyle58"/>
                                <w:spacing w:val="1"/>
                                <w:shd w:val="clear" w:color="auto" w:fill="000000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3.75pt;margin-top:53.149999999999999pt;width:69.850000000000009pt;height:37.700000000000003pt;z-index:-125829369;mso-wrap-distance-left:0;mso-wrap-distance-top:53.149999999999999pt;mso-wrap-distance-right:0;mso-wrap-distance-bottom:3.3500000000000001pt;mso-position-horizontal-relative:page" filled="f" stroked="f">
                <v:textbox inset="0,0,0,0">
                  <w:txbxContent>
                    <w:p>
                      <w:pPr>
                        <w:pStyle w:val="Style5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8"/>
                          <w:spacing w:val="2"/>
                          <w:shd w:val="clear" w:color="auto" w:fill="000000"/>
                        </w:rPr>
                        <w:t>....</w:t>
                      </w:r>
                      <w:r>
                        <w:rPr>
                          <w:rStyle w:val="CharStyle58"/>
                          <w:spacing w:val="3"/>
                          <w:shd w:val="clear" w:color="auto" w:fill="000000"/>
                        </w:rPr>
                        <w:t>..........</w:t>
                      </w:r>
                      <w:r>
                        <w:rPr>
                          <w:rStyle w:val="CharStyle58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8"/>
                          <w:spacing w:val="1"/>
                          <w:shd w:val="clear" w:color="auto" w:fill="000000"/>
                        </w:rPr>
                        <w:t>.....</w:t>
                      </w:r>
                      <w:r>
                        <w:rPr>
                          <w:rStyle w:val="CharStyle58"/>
                          <w:spacing w:val="2"/>
                          <w:shd w:val="clear" w:color="auto" w:fill="000000"/>
                        </w:rPr>
                        <w:t>.........</w:t>
                      </w:r>
                      <w:r>
                        <w:rPr>
                          <w:rStyle w:val="CharStyle58"/>
                        </w:rPr>
                        <w:t xml:space="preserve"> </w:t>
                      </w:r>
                      <w:r>
                        <w:rPr>
                          <w:rStyle w:val="CharStyle58"/>
                          <w:shd w:val="clear" w:color="auto" w:fill="000000"/>
                        </w:rPr>
                        <w:t>​.......​...........​</w:t>
                      </w:r>
                      <w:r>
                        <w:rPr>
                          <w:rStyle w:val="CharStyle58"/>
                          <w:spacing w:val="1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58"/>
                          <w:spacing w:val="2"/>
                          <w:shd w:val="clear" w:color="auto" w:fill="000000"/>
                        </w:rPr>
                        <w:t>......</w:t>
                      </w:r>
                      <w:r>
                        <w:rPr>
                          <w:rStyle w:val="CharStyle58"/>
                        </w:rPr>
                        <w:t xml:space="preserve"> </w:t>
                      </w:r>
                      <w:r>
                        <w:rPr>
                          <w:rStyle w:val="CharStyle58"/>
                          <w:shd w:val="clear" w:color="auto" w:fill="000000"/>
                        </w:rPr>
                        <w:t>​</w:t>
                      </w:r>
                      <w:r>
                        <w:rPr>
                          <w:rStyle w:val="CharStyle58"/>
                          <w:spacing w:val="1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58"/>
                          <w:spacing w:val="2"/>
                          <w:shd w:val="clear" w:color="auto" w:fill="000000"/>
                        </w:rPr>
                        <w:t>...........</w:t>
                      </w:r>
                      <w:r>
                        <w:rPr>
                          <w:rStyle w:val="CharStyle58"/>
                          <w:shd w:val="clear" w:color="auto" w:fill="000000"/>
                        </w:rPr>
                        <w:t>​..................</w:t>
                      </w:r>
                      <w:r>
                        <w:rPr>
                          <w:rStyle w:val="CharStyle58"/>
                        </w:rPr>
                        <w:t xml:space="preserve"> </w:t>
                      </w:r>
                      <w:r>
                        <w:rPr>
                          <w:rStyle w:val="CharStyle58"/>
                          <w:shd w:val="clear" w:color="auto" w:fill="000000"/>
                        </w:rPr>
                        <w:t>​......</w:t>
                      </w:r>
                      <w:r>
                        <w:rPr>
                          <w:rStyle w:val="CharStyle58"/>
                          <w:spacing w:val="1"/>
                          <w:shd w:val="clear" w:color="auto" w:fill="000000"/>
                        </w:rPr>
                        <w:t>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22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26" w:right="0" w:bottom="1881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paragraph">
                  <wp:posOffset>12700</wp:posOffset>
                </wp:positionV>
                <wp:extent cx="1243330" cy="44513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333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 xml:space="preserve">Ing. Marek Leichmann ředitel </w:t>
                            </w:r>
                            <w:r>
                              <w:rPr>
                                <w:rStyle w:val="CharStyle13"/>
                                <w:b/>
                                <w:bCs/>
                              </w:rPr>
                              <w:t>Prodávající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41.pt;margin-top:1.pt;width:97.900000000000006pt;height:35.050000000000004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 xml:space="preserve">Ing. Marek Leichmann ředitel </w:t>
                      </w:r>
                      <w:r>
                        <w:rPr>
                          <w:rStyle w:val="CharStyle13"/>
                          <w:b/>
                          <w:bCs/>
                        </w:rPr>
                        <w:t>Prodávající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MUDr. Hana Albrechtová ředitelka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13"/>
          <w:b/>
          <w:bCs/>
        </w:rPr>
        <w:t>Kupující</w:t>
      </w:r>
    </w:p>
    <w:p>
      <w:pPr>
        <w:pStyle w:val="Style3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6" w:name="bookmark46"/>
      <w:r>
        <w:rPr>
          <w:rStyle w:val="CharStyle32"/>
          <w:b/>
          <w:bCs/>
        </w:rPr>
        <w:t>Příloha</w:t>
      </w:r>
      <w:bookmarkEnd w:id="46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3"/>
        </w:rPr>
        <w:t>Technická specifikace vozidla</w:t>
      </w:r>
    </w:p>
    <w:p>
      <w:pPr>
        <w:pStyle w:val="Style72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bookmarkStart w:id="48" w:name="bookmark48"/>
      <w:r>
        <w:rPr>
          <w:rStyle w:val="CharStyle73"/>
          <w:b/>
          <w:bCs/>
        </w:rPr>
        <w:t>ZÁKLADNÍ TECHNICKÉ PARAMETRY VOZIDLA</w:t>
      </w:r>
      <w:bookmarkEnd w:id="48"/>
    </w:p>
    <w:tbl>
      <w:tblPr>
        <w:tblOverlap w:val="never"/>
        <w:jc w:val="left"/>
        <w:tblLayout w:type="fixed"/>
      </w:tblPr>
      <w:tblGrid>
        <w:gridCol w:w="614"/>
        <w:gridCol w:w="3605"/>
        <w:gridCol w:w="3034"/>
      </w:tblGrid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b/>
                <w:bCs/>
                <w:sz w:val="22"/>
                <w:szCs w:val="22"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b/>
                <w:bCs/>
                <w:sz w:val="22"/>
                <w:szCs w:val="22"/>
              </w:rPr>
              <w:t>Nabídnutý uchazečem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Tovární značka, typ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27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i/>
                <w:iCs/>
                <w:color w:val="E78861"/>
                <w:sz w:val="22"/>
                <w:szCs w:val="22"/>
              </w:rPr>
              <w:t>Škoda</w:t>
            </w:r>
          </w:p>
        </w:tc>
      </w:tr>
      <w:tr>
        <w:trPr>
          <w:trHeight w:val="4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Obchodní označení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27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i/>
                <w:iCs/>
                <w:color w:val="E78861"/>
                <w:sz w:val="22"/>
                <w:szCs w:val="22"/>
              </w:rPr>
              <w:t>Enyaq Coupé RS</w:t>
            </w:r>
          </w:p>
        </w:tc>
      </w:tr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Maximální dostupný jízdní výkon elektromotoru (min. 215 kW)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27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i/>
                <w:iCs/>
                <w:color w:val="E78861"/>
                <w:sz w:val="22"/>
                <w:szCs w:val="22"/>
              </w:rPr>
              <w:t>220</w:t>
            </w:r>
          </w:p>
        </w:tc>
      </w:tr>
      <w:tr>
        <w:trPr>
          <w:trHeight w:val="3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Kapacita baterie (min. 77 kWh)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275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sz w:val="22"/>
                <w:szCs w:val="22"/>
              </w:rPr>
              <w:t>dojezd dle WLTP min. 500 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DF275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Style w:val="CharStyle17"/>
                <w:i/>
                <w:iCs/>
                <w:color w:val="E78861"/>
                <w:sz w:val="22"/>
                <w:szCs w:val="22"/>
              </w:rPr>
              <w:t>518</w:t>
            </w:r>
          </w:p>
        </w:tc>
      </w:tr>
    </w:tbl>
    <w:p>
      <w:pPr>
        <w:widowControl w:val="0"/>
        <w:spacing w:after="27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13"/>
        </w:rPr>
        <w:t>Minimální stanovené parametry a požadavky na vozidlo: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Silniční motorové vozidlo kategorie Ml, druh osobní automobil, elektrický pohon 4x4,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13"/>
        </w:rPr>
        <w:t>Vozidlo neobsahuje olovo, rtuť, šestimocný chrom a kadmium, s výjimkami uvedenými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680"/>
        <w:jc w:val="left"/>
      </w:pPr>
      <w:r>
        <w:rPr>
          <w:rStyle w:val="CharStyle13"/>
        </w:rPr>
        <w:t>v příloze II směrnice 2000/53/ES,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Počet dveří 5, počet míst k sezení 5,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Velikost zavazadlového prostoru min. 565 I,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1 stupňová převodovka pro elektrický pohon,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Kola min. 20", kontrola tlaku v pneumatikách,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Asistent detekce překážek před vozidlem,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Světelný a dešťový senzor,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  <w:tab w:pos="3339" w:val="left"/>
          <w:tab w:pos="4862" w:val="righ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Airbagy vpředu: čelní, boční,</w:t>
        <w:tab/>
        <w:t>hlavové a</w:t>
        <w:tab/>
        <w:t>středový,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Digitální radiopříjem DAB,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  <w:tab w:pos="4056" w:val="righ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Asistent pro udržování v jízdním</w:t>
        <w:tab/>
        <w:t>pruhu,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Asistent změny jízdního pruhu,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Nouzové volání,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Hlasové ovládání,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  <w:tab w:pos="3181" w:val="right"/>
          <w:tab w:pos="3363" w:val="left"/>
        </w:tabs>
        <w:bidi w:val="0"/>
        <w:spacing w:before="0" w:after="60" w:line="240" w:lineRule="auto"/>
        <w:ind w:left="0" w:right="0" w:firstLine="0"/>
        <w:jc w:val="left"/>
      </w:pPr>
      <w:r>
        <w:rPr>
          <w:rStyle w:val="CharStyle13"/>
        </w:rPr>
        <w:t>Navigace s aktualizací min.</w:t>
        <w:tab/>
        <w:t>3</w:t>
        <w:tab/>
        <w:t>roky (vč. informací o nabíjecích stanicích, dopravních informací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680"/>
        <w:jc w:val="left"/>
      </w:pPr>
      <w:r>
        <w:rPr>
          <w:rStyle w:val="CharStyle13"/>
        </w:rPr>
        <w:t>online),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Vyhřívaný multifunkční volant,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Virtuální kokpit min. 5",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Head-Up displej,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Třízónová klimatizace,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Volba jízdních režimů,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Parkovací senzory vpředu a vzadu,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4" w:val="left"/>
        </w:tabs>
        <w:bidi w:val="0"/>
        <w:spacing w:before="0" w:after="140" w:line="240" w:lineRule="auto"/>
        <w:ind w:left="0" w:right="0" w:firstLine="0"/>
        <w:jc w:val="left"/>
      </w:pPr>
      <w:r>
        <w:rPr>
          <w:rStyle w:val="CharStyle13"/>
        </w:rPr>
        <w:t>Parkovací kamera vzadu,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Nabíjecí box pro smartphone,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Systém rozpoznávání únavy řidiče,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Ostřikovače předních světlometů,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Ambientní osvětlení vnitřní i vnější,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Vyhřívané trysky ostřikovačů předního skla,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Systém rozpoznávání dopravních značek,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Elektricky ovládané sedadlo řidiče s pamětí a bederní opěrkou,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Bederní opěrka, elektricky nastavitelná, pro opěradlo levého předního sedadla,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Loketní opěrka vpředu,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  <w:tab w:pos="5645" w:val="righ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Vyhřívání předních a zadních sedadel, s</w:t>
        <w:tab/>
        <w:t>oddělení regulací,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  <w:tab w:pos="4934" w:val="righ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Komfortní otevírání víka zavazadlového</w:t>
        <w:tab/>
        <w:t>prostoru,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2x USB-C vzadu pro nabíjení,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Koš na odpadky,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Sklo pro optimalizovaný teplotní komfort,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Sluneční roleta na zadních bočních dveřích,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Alarm,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Bezklíčový systém zamykání a startování,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Odbočovací a dálniční světla,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  <w:tab w:pos="1558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Asistent</w:t>
        <w:tab/>
        <w:t>pro vedení v jízdním pruhu vč. Emergency,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  <w:tab w:pos="1558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Asistent</w:t>
        <w:tab/>
        <w:t>pro jízdu v zácpě,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Barva RAL 120 60 60,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Střešní ližiny a stříbrné lišty kolem oken,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Podpora AC nabíjení 11 kW,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Kabel pro nabíjení vozidla,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40" w:line="331" w:lineRule="auto"/>
        <w:ind w:left="0" w:right="0" w:firstLine="0"/>
        <w:jc w:val="left"/>
      </w:pPr>
      <w:r>
        <w:rPr>
          <w:rStyle w:val="CharStyle13"/>
        </w:rPr>
        <w:t>DC rychlé nabíjení z 10 na 80 % do 30 minut,</w:t>
      </w:r>
    </w:p>
    <w:p>
      <w:pPr>
        <w:pStyle w:val="Style1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39" w:val="left"/>
        </w:tabs>
        <w:bidi w:val="0"/>
        <w:spacing w:before="0" w:after="0" w:line="331" w:lineRule="auto"/>
        <w:ind w:left="0" w:right="0" w:firstLine="0"/>
        <w:jc w:val="left"/>
      </w:pPr>
      <w:r>
        <w:rPr>
          <w:rStyle w:val="CharStyle13"/>
        </w:rPr>
        <w:t>Označení příslušným sdělením na vnějším dobře viditelném místě elektromobilu v souladu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331" w:lineRule="auto"/>
        <w:ind w:left="680" w:right="0" w:firstLine="20"/>
        <w:jc w:val="both"/>
      </w:pPr>
      <w:r>
        <w:rPr>
          <w:rStyle w:val="CharStyle13"/>
        </w:rPr>
        <w:t>s pravidlem publicity dle podmínek Národního programu Životní prostředí - Národní plán obnovy ((číslo výzvy: 3/2022; prioritní oblast: 5. Životní prostředí ve městech a obcích; podoblast: 2 Udržitelná městská doprava a mobilita; podporované aktivity: 5.2.D - Podpora nákupu vozidel s alternativním pohonem (elektromobily, vozidla s vodíkovým pohonem)).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940" w:line="331" w:lineRule="auto"/>
        <w:ind w:left="0" w:right="0" w:firstLine="680"/>
        <w:jc w:val="both"/>
      </w:pPr>
      <w:r>
        <w:fldChar w:fldCharType="begin"/>
      </w:r>
      <w:r>
        <w:rPr/>
        <w:instrText> HYPERLINK "https://www.narodniprogramzp.cz/o-programu/povinna-publicita/" </w:instrText>
      </w:r>
      <w:r>
        <w:fldChar w:fldCharType="separate"/>
      </w:r>
      <w:r>
        <w:rPr>
          <w:rStyle w:val="CharStyle13"/>
          <w:color w:val="85A0CC"/>
          <w:u w:val="single"/>
          <w:lang w:val="en-US" w:eastAsia="en-US" w:bidi="en-US"/>
        </w:rPr>
        <w:t>https://www.narodniprogramzp.cz/o-programu/povinna-publicita/</w:t>
      </w:r>
      <w:r>
        <w:fldChar w:fldCharType="end"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3"/>
        </w:rPr>
        <w:t>V Brně, 17.5.2023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  <w:spacing w:val="10"/>
          <w:sz w:val="24"/>
          <w:szCs w:val="24"/>
          <w:shd w:val="clear" w:color="auto" w:fill="000000"/>
        </w:rPr>
        <w:t>....</w:t>
      </w:r>
      <w:r>
        <w:rPr>
          <w:rStyle w:val="CharStyle7"/>
          <w:spacing w:val="11"/>
          <w:sz w:val="24"/>
          <w:szCs w:val="24"/>
          <w:shd w:val="clear" w:color="auto" w:fill="000000"/>
        </w:rPr>
        <w:t>.</w:t>
      </w:r>
      <w:r>
        <w:rPr>
          <w:rStyle w:val="CharStyle7"/>
          <w:sz w:val="24"/>
          <w:szCs w:val="24"/>
          <w:shd w:val="clear" w:color="auto" w:fill="000000"/>
        </w:rPr>
        <w:t>​</w:t>
      </w:r>
      <w:r>
        <w:rPr>
          <w:rStyle w:val="CharStyle7"/>
          <w:spacing w:val="6"/>
          <w:sz w:val="24"/>
          <w:szCs w:val="24"/>
          <w:shd w:val="clear" w:color="auto" w:fill="000000"/>
        </w:rPr>
        <w:t>.......</w:t>
      </w:r>
      <w:r>
        <w:rPr>
          <w:rStyle w:val="CharStyle7"/>
          <w:spacing w:val="7"/>
          <w:sz w:val="24"/>
          <w:szCs w:val="24"/>
          <w:shd w:val="clear" w:color="auto" w:fill="000000"/>
        </w:rPr>
        <w:t>...</w:t>
      </w:r>
      <w:r>
        <w:rPr>
          <w:rStyle w:val="CharStyle7"/>
          <w:shd w:val="clear" w:color="auto" w:fill="000000"/>
        </w:rPr>
        <w:t>​........</w:t>
      </w:r>
      <w:r>
        <w:rPr>
          <w:rStyle w:val="CharStyle7"/>
          <w:spacing w:val="1"/>
          <w:shd w:val="clear" w:color="auto" w:fill="000000"/>
        </w:rPr>
        <w:t>.......</w:t>
      </w:r>
      <w:r>
        <w:rPr>
          <w:rStyle w:val="CharStyle7"/>
          <w:shd w:val="clear" w:color="auto" w:fill="000000"/>
        </w:rPr>
        <w:t>​</w:t>
      </w:r>
      <w:r>
        <w:rPr>
          <w:rStyle w:val="CharStyle7"/>
          <w:spacing w:val="1"/>
          <w:shd w:val="clear" w:color="auto" w:fill="000000"/>
        </w:rPr>
        <w:t>.</w:t>
      </w:r>
      <w:r>
        <w:rPr>
          <w:rStyle w:val="CharStyle7"/>
          <w:spacing w:val="2"/>
          <w:shd w:val="clear" w:color="auto" w:fill="000000"/>
        </w:rPr>
        <w:t>.............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rStyle w:val="CharStyle7"/>
          <w:sz w:val="24"/>
          <w:szCs w:val="24"/>
          <w:shd w:val="clear" w:color="auto" w:fill="000000"/>
        </w:rPr>
        <w:t>...​</w:t>
      </w:r>
      <w:r>
        <w:rPr>
          <w:rStyle w:val="CharStyle7"/>
          <w:spacing w:val="5"/>
          <w:sz w:val="24"/>
          <w:szCs w:val="24"/>
          <w:shd w:val="clear" w:color="auto" w:fill="000000"/>
        </w:rPr>
        <w:t>...</w:t>
      </w:r>
      <w:r>
        <w:rPr>
          <w:rStyle w:val="CharStyle7"/>
          <w:spacing w:val="6"/>
          <w:sz w:val="24"/>
          <w:szCs w:val="24"/>
          <w:shd w:val="clear" w:color="auto" w:fill="000000"/>
        </w:rPr>
        <w:t>.</w:t>
      </w:r>
      <w:r>
        <w:rPr>
          <w:rStyle w:val="CharStyle7"/>
          <w:sz w:val="24"/>
          <w:szCs w:val="24"/>
          <w:shd w:val="clear" w:color="auto" w:fill="000000"/>
        </w:rPr>
        <w:t>​</w:t>
      </w:r>
      <w:r>
        <w:rPr>
          <w:rStyle w:val="CharStyle7"/>
          <w:spacing w:val="4"/>
          <w:sz w:val="24"/>
          <w:szCs w:val="24"/>
          <w:shd w:val="clear" w:color="auto" w:fill="000000"/>
        </w:rPr>
        <w:t>.......</w:t>
      </w:r>
      <w:r>
        <w:rPr>
          <w:rStyle w:val="CharStyle7"/>
          <w:spacing w:val="5"/>
          <w:sz w:val="24"/>
          <w:szCs w:val="24"/>
          <w:shd w:val="clear" w:color="auto" w:fill="000000"/>
        </w:rPr>
        <w:t>......</w:t>
      </w:r>
      <w:r>
        <w:rPr>
          <w:rStyle w:val="CharStyle7"/>
          <w:shd w:val="clear" w:color="auto" w:fill="000000"/>
        </w:rPr>
        <w:t>​.................................</w:t>
      </w:r>
      <w:r>
        <w:rPr>
          <w:rStyle w:val="CharStyle7"/>
          <w:spacing w:val="1"/>
          <w:shd w:val="clear" w:color="auto" w:fill="000000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639" w:val="left"/>
          <w:tab w:pos="1357" w:val="left"/>
        </w:tabs>
        <w:bidi w:val="0"/>
        <w:spacing w:before="0" w:after="0" w:line="180" w:lineRule="auto"/>
        <w:ind w:left="0" w:right="0" w:firstLine="0"/>
        <w:jc w:val="left"/>
      </w:pPr>
      <w:r>
        <w:rPr>
          <w:rStyle w:val="CharStyle7"/>
          <w:sz w:val="24"/>
          <w:szCs w:val="24"/>
          <w:shd w:val="clear" w:color="auto" w:fill="000000"/>
        </w:rPr>
        <w:t>.</w:t>
      </w:r>
      <w:r>
        <w:rPr>
          <w:rStyle w:val="CharStyle7"/>
          <w:spacing w:val="2"/>
          <w:sz w:val="24"/>
          <w:szCs w:val="24"/>
          <w:shd w:val="clear" w:color="auto" w:fill="000000"/>
        </w:rPr>
        <w:t>...........</w:t>
      </w:r>
      <w:r>
        <w:rPr>
          <w:rStyle w:val="CharStyle7"/>
          <w:spacing w:val="13"/>
          <w:sz w:val="24"/>
          <w:szCs w:val="24"/>
          <w:shd w:val="clear" w:color="auto" w:fill="000000"/>
        </w:rPr>
        <w:t>.</w:t>
      </w:r>
      <w:r>
        <w:rPr>
          <w:rStyle w:val="CharStyle7"/>
          <w:sz w:val="24"/>
          <w:szCs w:val="24"/>
          <w:shd w:val="clear" w:color="auto" w:fill="000000"/>
        </w:rPr>
        <w:t>​</w:t>
      </w:r>
      <w:r>
        <w:rPr>
          <w:rStyle w:val="CharStyle7"/>
          <w:spacing w:val="53"/>
          <w:sz w:val="24"/>
          <w:szCs w:val="24"/>
          <w:shd w:val="clear" w:color="auto" w:fill="000000"/>
        </w:rPr>
        <w:t>.</w:t>
      </w:r>
      <w:r>
        <w:rPr>
          <w:rStyle w:val="CharStyle7"/>
          <w:spacing w:val="10"/>
          <w:sz w:val="24"/>
          <w:szCs w:val="24"/>
          <w:shd w:val="clear" w:color="auto" w:fill="000000"/>
        </w:rPr>
        <w:t>..</w:t>
      </w:r>
      <w:r>
        <w:rPr>
          <w:rStyle w:val="CharStyle7"/>
          <w:spacing w:val="11"/>
          <w:sz w:val="24"/>
          <w:szCs w:val="24"/>
          <w:shd w:val="clear" w:color="auto" w:fill="000000"/>
        </w:rPr>
        <w:t>.</w:t>
      </w:r>
      <w:r>
        <w:rPr>
          <w:rStyle w:val="CharStyle7"/>
          <w:spacing w:val="2"/>
          <w:shd w:val="clear" w:color="auto" w:fill="000000"/>
        </w:rPr>
        <w:t>............</w:t>
      </w:r>
      <w:r>
        <w:rPr>
          <w:rStyle w:val="CharStyle7"/>
          <w:shd w:val="clear" w:color="auto" w:fill="000000"/>
        </w:rPr>
        <w:t>​..........</w:t>
      </w:r>
      <w:r>
        <w:rPr>
          <w:rStyle w:val="CharStyle7"/>
          <w:spacing w:val="1"/>
          <w:shd w:val="clear" w:color="auto" w:fill="000000"/>
        </w:rPr>
        <w:t>........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0" w:line="180" w:lineRule="auto"/>
        <w:ind w:left="0" w:right="0" w:firstLine="0"/>
        <w:jc w:val="left"/>
      </w:pPr>
      <w:r>
        <w:rPr>
          <w:rStyle w:val="CharStyle7"/>
          <w:spacing w:val="1"/>
          <w:sz w:val="24"/>
          <w:szCs w:val="24"/>
          <w:shd w:val="clear" w:color="auto" w:fill="000000"/>
        </w:rPr>
        <w:t>....</w:t>
      </w:r>
      <w:r>
        <w:rPr>
          <w:rStyle w:val="CharStyle7"/>
          <w:spacing w:val="2"/>
          <w:sz w:val="24"/>
          <w:szCs w:val="24"/>
          <w:shd w:val="clear" w:color="auto" w:fill="000000"/>
        </w:rPr>
        <w:t>..............</w:t>
      </w:r>
      <w:r>
        <w:rPr>
          <w:rStyle w:val="CharStyle7"/>
          <w:shd w:val="clear" w:color="auto" w:fill="000000"/>
        </w:rPr>
        <w:t>​</w:t>
      </w:r>
      <w:r>
        <w:rPr>
          <w:rStyle w:val="CharStyle7"/>
          <w:spacing w:val="1"/>
          <w:shd w:val="clear" w:color="auto" w:fill="000000"/>
        </w:rPr>
        <w:t>.......................</w:t>
      </w:r>
      <w:r>
        <w:rPr>
          <w:rStyle w:val="CharStyle7"/>
          <w:spacing w:val="2"/>
          <w:shd w:val="clear" w:color="auto" w:fill="000000"/>
        </w:rPr>
        <w:t>..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rStyle w:val="CharStyle13"/>
        </w:rPr>
        <w:t>Ing. Marek Leichmann, ředitel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326" w:right="1590" w:bottom="1881" w:left="1459" w:header="0" w:footer="145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985520</wp:posOffset>
              </wp:positionH>
              <wp:positionV relativeFrom="page">
                <wp:posOffset>572770</wp:posOffset>
              </wp:positionV>
              <wp:extent cx="2462530" cy="13716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6253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64"/>
                              <w:sz w:val="22"/>
                              <w:szCs w:val="22"/>
                            </w:rPr>
                            <w:t>Příloha č. 1 Technická specifikace vozidla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600000000000009pt;margin-top:45.100000000000001pt;width:193.90000000000001pt;height:10.8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64"/>
                        <w:sz w:val="22"/>
                        <w:szCs w:val="22"/>
                      </w:rPr>
                      <w:t>Příloha č. 1 Technická specifikace vozidla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bullet"/>
      <w:lvlText w:val="&gt;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CharStyle5">
    <w:name w:val="Základní text (5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0">
    <w:name w:val="Nadpis #4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/>
      <w:strike w:val="0"/>
      <w:sz w:val="26"/>
      <w:szCs w:val="26"/>
      <w:u w:val="none"/>
    </w:rPr>
  </w:style>
  <w:style w:type="character" w:customStyle="1" w:styleId="CharStyle13">
    <w:name w:val="Základní text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Titulek tabulky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7">
    <w:name w:val="Jiné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Nadpis #6_"/>
    <w:basedOn w:val="DefaultParagraphFont"/>
    <w:link w:val="Style3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5">
    <w:name w:val="Základní text (4)_"/>
    <w:basedOn w:val="DefaultParagraphFont"/>
    <w:link w:val="Style3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7">
    <w:name w:val="Nadpis #2_"/>
    <w:basedOn w:val="DefaultParagraphFont"/>
    <w:link w:val="Style46"/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1">
    <w:name w:val="Nadpis #3_"/>
    <w:basedOn w:val="DefaultParagraphFont"/>
    <w:link w:val="Style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8">
    <w:name w:val="Základní text (3)_"/>
    <w:basedOn w:val="DefaultParagraphFont"/>
    <w:link w:val="Style57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4">
    <w:name w:val="Záhlaví nebo zápatí (2)_"/>
    <w:basedOn w:val="DefaultParagraphFont"/>
    <w:link w:val="Style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3">
    <w:name w:val="Nadpis #5_"/>
    <w:basedOn w:val="DefaultParagraphFont"/>
    <w:link w:val="Style7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spacing w:after="6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paragraph" w:customStyle="1" w:styleId="Style4">
    <w:name w:val="Základní text (5)"/>
    <w:basedOn w:val="Normal"/>
    <w:link w:val="CharStyle5"/>
    <w:pPr>
      <w:widowControl w:val="0"/>
      <w:shd w:val="clear" w:color="auto" w:fill="auto"/>
      <w:spacing w:after="460"/>
      <w:ind w:left="70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auto"/>
      <w:spacing w:line="20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9">
    <w:name w:val="Nadpis #4"/>
    <w:basedOn w:val="Normal"/>
    <w:link w:val="CharStyle10"/>
    <w:pPr>
      <w:widowControl w:val="0"/>
      <w:shd w:val="clear" w:color="auto" w:fill="auto"/>
      <w:spacing w:after="280" w:line="190" w:lineRule="auto"/>
      <w:jc w:val="center"/>
      <w:outlineLvl w:val="3"/>
    </w:pPr>
    <w:rPr>
      <w:rFonts w:ascii="Arial" w:eastAsia="Arial" w:hAnsi="Arial" w:cs="Arial"/>
      <w:b w:val="0"/>
      <w:bCs w:val="0"/>
      <w:i w:val="0"/>
      <w:iCs w:val="0"/>
      <w:smallCaps/>
      <w:strike w:val="0"/>
      <w:sz w:val="26"/>
      <w:szCs w:val="26"/>
      <w:u w:val="non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Titulek tabulky"/>
    <w:basedOn w:val="Normal"/>
    <w:link w:val="CharStyle15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1">
    <w:name w:val="Nadpis #6"/>
    <w:basedOn w:val="Normal"/>
    <w:link w:val="CharStyle32"/>
    <w:pPr>
      <w:widowControl w:val="0"/>
      <w:shd w:val="clear" w:color="auto" w:fill="auto"/>
      <w:spacing w:after="120"/>
      <w:jc w:val="center"/>
      <w:outlineLvl w:val="5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34">
    <w:name w:val="Základní text (4)"/>
    <w:basedOn w:val="Normal"/>
    <w:link w:val="CharStyle35"/>
    <w:pPr>
      <w:widowControl w:val="0"/>
      <w:shd w:val="clear" w:color="auto" w:fill="auto"/>
      <w:spacing w:after="80" w:line="166" w:lineRule="auto"/>
      <w:jc w:val="center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6">
    <w:name w:val="Nadpis #2"/>
    <w:basedOn w:val="Normal"/>
    <w:link w:val="CharStyle47"/>
    <w:pPr>
      <w:widowControl w:val="0"/>
      <w:shd w:val="clear" w:color="auto" w:fill="auto"/>
      <w:spacing w:after="140"/>
      <w:outlineLvl w:val="1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Style50">
    <w:name w:val="Nadpis #3"/>
    <w:basedOn w:val="Normal"/>
    <w:link w:val="CharStyle51"/>
    <w:pPr>
      <w:widowControl w:val="0"/>
      <w:shd w:val="clear" w:color="auto" w:fill="auto"/>
      <w:jc w:val="center"/>
      <w:outlineLvl w:val="2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57">
    <w:name w:val="Základní text (3)"/>
    <w:basedOn w:val="Normal"/>
    <w:link w:val="CharStyle58"/>
    <w:pPr>
      <w:widowControl w:val="0"/>
      <w:shd w:val="clear" w:color="auto" w:fill="auto"/>
      <w:spacing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3">
    <w:name w:val="Záhlaví nebo zápatí (2)"/>
    <w:basedOn w:val="Normal"/>
    <w:link w:val="CharStyle6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2">
    <w:name w:val="Nadpis #5"/>
    <w:basedOn w:val="Normal"/>
    <w:link w:val="CharStyle73"/>
    <w:pPr>
      <w:widowControl w:val="0"/>
      <w:shd w:val="clear" w:color="auto" w:fill="auto"/>
      <w:spacing w:after="520"/>
      <w:ind w:firstLine="860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