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3AE7" w14:textId="77777777" w:rsidR="00F94C47" w:rsidRDefault="00F94C47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476DDF01" w14:textId="77777777" w:rsidR="00F94C47" w:rsidRDefault="00F94C47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71868A1E" w14:textId="77777777" w:rsidR="00F94C47" w:rsidRDefault="00F94C47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3589FA0A" w14:textId="5D1108AC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94A2CC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56FAECD2" w14:textId="77777777" w:rsidR="00E84547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Ing. Mlada Augustinová, </w:t>
      </w:r>
    </w:p>
    <w:p w14:paraId="7DA3876E" w14:textId="5A0D9ADD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ředitelka Krajského pozemkového úřadu pro Zlínský kraj</w:t>
      </w:r>
    </w:p>
    <w:p w14:paraId="058F845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88, 76041 Zlín</w:t>
      </w:r>
    </w:p>
    <w:p w14:paraId="6DD3ECE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7634D6DF" w14:textId="089DE9D2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6424319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5B8FE63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3A80B7A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1002942360</w:t>
      </w:r>
    </w:p>
    <w:p w14:paraId="42799F21" w14:textId="01CBBA19" w:rsidR="00136D24" w:rsidRPr="00BA0CC9" w:rsidRDefault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6A1CA91" w14:textId="77777777" w:rsidR="00F94C47" w:rsidRDefault="00F94C47" w:rsidP="00830D3C">
      <w:pPr>
        <w:widowControl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33E512D3" w14:textId="516DA6B8" w:rsidR="00136D24" w:rsidRPr="00830D3C" w:rsidRDefault="00136D24" w:rsidP="00830D3C">
      <w:pPr>
        <w:widowControl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784043F" w14:textId="77777777" w:rsidR="00F94C47" w:rsidRDefault="00F94C47">
      <w:pPr>
        <w:widowControl/>
        <w:rPr>
          <w:rFonts w:ascii="Arial" w:hAnsi="Arial" w:cs="Arial"/>
          <w:b/>
          <w:color w:val="000000"/>
          <w:sz w:val="22"/>
          <w:szCs w:val="22"/>
        </w:rPr>
      </w:pPr>
    </w:p>
    <w:p w14:paraId="4D8D5ABF" w14:textId="37E501D4" w:rsidR="00830D3C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Obec Suchá Loz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60FEF75" w14:textId="2D1FD530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sídlo Suchá Loz 72, Suchá Loz, PSČ 68753, IČO 00291374, DIČ 338-00291374</w:t>
      </w:r>
    </w:p>
    <w:p w14:paraId="3942593F" w14:textId="30117B58" w:rsidR="00830D3C" w:rsidRPr="00830D3C" w:rsidRDefault="00830D3C">
      <w:pPr>
        <w:widowControl/>
        <w:rPr>
          <w:rFonts w:ascii="Arial" w:hAnsi="Arial" w:cs="Arial"/>
          <w:color w:val="000000"/>
          <w:sz w:val="22"/>
          <w:szCs w:val="22"/>
        </w:rPr>
      </w:pPr>
      <w:r w:rsidRPr="00830D3C">
        <w:rPr>
          <w:rFonts w:ascii="Arial" w:hAnsi="Arial" w:cs="Arial"/>
          <w:color w:val="000000"/>
          <w:sz w:val="22"/>
          <w:szCs w:val="22"/>
        </w:rPr>
        <w:t xml:space="preserve">kterou zastupuje </w:t>
      </w:r>
      <w:r w:rsidRPr="00830D3C"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Bc. Václav Bujáček, starosta</w:t>
      </w:r>
    </w:p>
    <w:p w14:paraId="42627793" w14:textId="79DE41A5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5692248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F9159D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B994E93" w14:textId="77777777" w:rsidR="00F94C47" w:rsidRDefault="00F94C47" w:rsidP="00830D3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A48FF51" w14:textId="4EA3C3BF" w:rsidR="00136D24" w:rsidRPr="00BA0CC9" w:rsidRDefault="00136D24" w:rsidP="00830D3C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6D77B145" w14:textId="77777777" w:rsidR="00136D24" w:rsidRPr="00BA0CC9" w:rsidRDefault="00136D24" w:rsidP="00830D3C">
      <w:pPr>
        <w:pStyle w:val="para"/>
        <w:widowControl/>
        <w:spacing w:before="120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1002942360</w:t>
      </w:r>
    </w:p>
    <w:p w14:paraId="23D8A50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93F7B8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23727AD4" w14:textId="38262DC4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Zlínský kraj, Katastrální pracoviště Uhersk</w:t>
      </w:r>
      <w:r w:rsidR="00FB2ACB">
        <w:rPr>
          <w:rFonts w:ascii="Arial" w:hAnsi="Arial" w:cs="Arial"/>
          <w:sz w:val="22"/>
          <w:szCs w:val="22"/>
        </w:rPr>
        <w:t xml:space="preserve">ý Brod </w:t>
      </w:r>
      <w:r w:rsidR="00136D24" w:rsidRPr="00BA0CC9">
        <w:rPr>
          <w:rFonts w:ascii="Arial" w:hAnsi="Arial" w:cs="Arial"/>
          <w:sz w:val="22"/>
          <w:szCs w:val="22"/>
        </w:rPr>
        <w:t>na LV 10002:</w:t>
      </w:r>
    </w:p>
    <w:p w14:paraId="79DEE4D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6FEE7EB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C14297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C87A74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B28271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Suchá Loz</w:t>
      </w:r>
      <w:r w:rsidRPr="00BA0CC9">
        <w:rPr>
          <w:rFonts w:ascii="Arial" w:hAnsi="Arial" w:cs="Arial"/>
          <w:sz w:val="18"/>
          <w:szCs w:val="18"/>
        </w:rPr>
        <w:tab/>
        <w:t>Suchá Loz</w:t>
      </w:r>
      <w:r w:rsidRPr="00BA0CC9">
        <w:rPr>
          <w:rFonts w:ascii="Arial" w:hAnsi="Arial" w:cs="Arial"/>
          <w:sz w:val="18"/>
          <w:szCs w:val="18"/>
        </w:rPr>
        <w:tab/>
        <w:t>2838/4</w:t>
      </w:r>
      <w:r w:rsidRPr="00BA0CC9">
        <w:rPr>
          <w:rFonts w:ascii="Arial" w:hAnsi="Arial" w:cs="Arial"/>
          <w:sz w:val="18"/>
          <w:szCs w:val="18"/>
        </w:rPr>
        <w:tab/>
        <w:t>orná půda</w:t>
      </w:r>
    </w:p>
    <w:p w14:paraId="6E70FD0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FA763D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3AECDD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Suchá Loz</w:t>
      </w:r>
      <w:r w:rsidRPr="00BA0CC9">
        <w:rPr>
          <w:rFonts w:ascii="Arial" w:hAnsi="Arial" w:cs="Arial"/>
          <w:sz w:val="18"/>
          <w:szCs w:val="18"/>
        </w:rPr>
        <w:tab/>
        <w:t>Suchá Loz</w:t>
      </w:r>
      <w:r w:rsidRPr="00BA0CC9">
        <w:rPr>
          <w:rFonts w:ascii="Arial" w:hAnsi="Arial" w:cs="Arial"/>
          <w:sz w:val="18"/>
          <w:szCs w:val="18"/>
        </w:rPr>
        <w:tab/>
        <w:t>2843/6</w:t>
      </w:r>
      <w:r w:rsidRPr="00BA0CC9">
        <w:rPr>
          <w:rFonts w:ascii="Arial" w:hAnsi="Arial" w:cs="Arial"/>
          <w:sz w:val="18"/>
          <w:szCs w:val="18"/>
        </w:rPr>
        <w:tab/>
        <w:t>orná půda</w:t>
      </w:r>
    </w:p>
    <w:p w14:paraId="741C29CA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77C256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70B4373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CB7F00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77F564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§ 10 odst. 1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7B1D4AD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CDEA2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4F9CF3B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33DD478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0CF38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39E69BFE" w14:textId="77777777" w:rsidR="003237EF" w:rsidRPr="00740FFB" w:rsidRDefault="003237EF" w:rsidP="00830D3C">
      <w:pPr>
        <w:widowControl/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6E9EA9D5" w14:textId="77777777" w:rsidTr="00F94C47">
        <w:trPr>
          <w:trHeight w:val="238"/>
        </w:trPr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3954" w14:textId="6785AEC2" w:rsidR="003237EF" w:rsidRPr="00F94C47" w:rsidRDefault="003237EF" w:rsidP="00F94C4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C47">
              <w:rPr>
                <w:rFonts w:ascii="Arial" w:hAnsi="Arial" w:cs="Arial"/>
                <w:b/>
                <w:bCs/>
                <w:sz w:val="18"/>
                <w:szCs w:val="18"/>
              </w:rPr>
              <w:t>Katastrální</w:t>
            </w:r>
            <w:r w:rsidR="00F94C47" w:rsidRPr="00F94C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4C47">
              <w:rPr>
                <w:rFonts w:ascii="Arial" w:hAnsi="Arial" w:cs="Arial"/>
                <w:b/>
                <w:bCs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FBC" w14:textId="77777777" w:rsidR="003237EF" w:rsidRPr="00F94C47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4C47">
              <w:rPr>
                <w:rFonts w:ascii="Arial" w:hAnsi="Arial" w:cs="Arial"/>
                <w:b/>
                <w:bCs/>
                <w:sz w:val="18"/>
                <w:szCs w:val="18"/>
              </w:rPr>
              <w:t>Parc.č</w:t>
            </w:r>
            <w:proofErr w:type="spellEnd"/>
            <w:r w:rsidRPr="00F94C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B835" w14:textId="77777777" w:rsidR="003237EF" w:rsidRPr="00F94C47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C47">
              <w:rPr>
                <w:rFonts w:ascii="Arial" w:hAnsi="Arial" w:cs="Arial"/>
                <w:b/>
                <w:bCs/>
                <w:sz w:val="18"/>
                <w:szCs w:val="18"/>
              </w:rPr>
              <w:t>Kupní cena</w:t>
            </w:r>
          </w:p>
        </w:tc>
      </w:tr>
      <w:tr w:rsidR="003237EF" w:rsidRPr="00740FFB" w14:paraId="4701D48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55C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Suchá Loz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8CE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2838/4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5D52" w14:textId="0E8C5A7A" w:rsidR="003237EF" w:rsidRPr="00740FFB" w:rsidRDefault="00F94C4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40 370,00 Kč</w:t>
            </w:r>
          </w:p>
        </w:tc>
      </w:tr>
      <w:tr w:rsidR="003237EF" w:rsidRPr="00740FFB" w14:paraId="056C607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7C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Suchá Loz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037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2843/6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C175" w14:textId="3977C52D" w:rsidR="003237EF" w:rsidRPr="00740FFB" w:rsidRDefault="00F94C4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77 000,00 Kč</w:t>
            </w:r>
          </w:p>
        </w:tc>
      </w:tr>
    </w:tbl>
    <w:p w14:paraId="29BDD9ED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614A118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160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64C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117 370,00 Kč</w:t>
            </w:r>
          </w:p>
        </w:tc>
      </w:tr>
    </w:tbl>
    <w:p w14:paraId="718ECC18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E389814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C2EE559" w14:textId="77777777" w:rsidR="002143F0" w:rsidRDefault="002143F0">
      <w:pPr>
        <w:widowControl/>
        <w:tabs>
          <w:tab w:val="left" w:pos="426"/>
        </w:tabs>
      </w:pPr>
    </w:p>
    <w:p w14:paraId="5014E569" w14:textId="77777777" w:rsidR="00F94C47" w:rsidRDefault="00F94C4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215602" w14:textId="08701CFE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7FED59E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F9FB2B6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C97D33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Prodávan</w:t>
      </w:r>
      <w:r w:rsidR="00B201D6" w:rsidRPr="00BA0CC9">
        <w:rPr>
          <w:rFonts w:ascii="Arial" w:hAnsi="Arial" w:cs="Arial"/>
          <w:sz w:val="22"/>
          <w:szCs w:val="22"/>
        </w:rPr>
        <w:t>é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ne</w:t>
      </w:r>
      <w:r w:rsidR="00B201D6" w:rsidRPr="00BA0CC9">
        <w:rPr>
          <w:rFonts w:ascii="Arial" w:hAnsi="Arial" w:cs="Arial"/>
          <w:sz w:val="22"/>
          <w:szCs w:val="22"/>
        </w:rPr>
        <w:t>jsou</w:t>
      </w:r>
      <w:r w:rsidRPr="00BA0CC9">
        <w:rPr>
          <w:rFonts w:ascii="Arial" w:hAnsi="Arial" w:cs="Arial"/>
          <w:sz w:val="22"/>
          <w:szCs w:val="22"/>
        </w:rPr>
        <w:t xml:space="preserve"> zatížen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užívacími právy třetích osob.</w:t>
      </w:r>
    </w:p>
    <w:p w14:paraId="278FFDA4" w14:textId="77777777" w:rsidR="007A5D1C" w:rsidRPr="00BA0CC9" w:rsidRDefault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A0249A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4D16E88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18A147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79404137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3112E453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CCE1C0B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A16AE4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6329DE2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83C1C4A" w14:textId="025EE81D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15161D79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0C757597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2CD20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F82753D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4AD89A6C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2A90569" w14:textId="2898BAEE" w:rsidR="0049394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1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převedeny dle schváleného územního plánu </w:t>
      </w:r>
      <w:r w:rsidR="00E84547">
        <w:rPr>
          <w:rFonts w:ascii="Arial" w:hAnsi="Arial" w:cs="Arial"/>
          <w:sz w:val="22"/>
          <w:szCs w:val="22"/>
        </w:rPr>
        <w:t xml:space="preserve">ve znění změny </w:t>
      </w:r>
      <w:r w:rsidRPr="00BA0CC9">
        <w:rPr>
          <w:rFonts w:ascii="Arial" w:hAnsi="Arial" w:cs="Arial"/>
          <w:sz w:val="22"/>
          <w:szCs w:val="22"/>
        </w:rPr>
        <w:t xml:space="preserve">ze dne </w:t>
      </w:r>
      <w:r w:rsidR="00830D3C">
        <w:rPr>
          <w:rFonts w:ascii="Arial" w:hAnsi="Arial" w:cs="Arial"/>
          <w:sz w:val="22"/>
          <w:szCs w:val="22"/>
        </w:rPr>
        <w:t>18.3.2022.</w:t>
      </w:r>
    </w:p>
    <w:p w14:paraId="594187BA" w14:textId="68507143" w:rsidR="00136D24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Kupující prohlašuje, že nabytí pozemků odsouhlasilo zastupitelstvo obce Suchá Loz dne</w:t>
      </w:r>
      <w:r w:rsidR="00DD0078">
        <w:rPr>
          <w:rFonts w:ascii="Arial" w:hAnsi="Arial" w:cs="Arial"/>
          <w:sz w:val="22"/>
          <w:szCs w:val="22"/>
        </w:rPr>
        <w:t xml:space="preserve"> 28. 4. 2023,</w:t>
      </w:r>
      <w:r w:rsidRPr="00BA0CC9">
        <w:rPr>
          <w:rFonts w:ascii="Arial" w:hAnsi="Arial" w:cs="Arial"/>
          <w:sz w:val="22"/>
          <w:szCs w:val="22"/>
        </w:rPr>
        <w:t xml:space="preserve"> usnesením č. </w:t>
      </w:r>
      <w:r w:rsidR="00DD0078">
        <w:rPr>
          <w:rFonts w:ascii="Arial" w:hAnsi="Arial" w:cs="Arial"/>
          <w:sz w:val="22"/>
          <w:szCs w:val="22"/>
        </w:rPr>
        <w:t>2/2023.</w:t>
      </w:r>
    </w:p>
    <w:p w14:paraId="4200CAB4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36D36F4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FE2072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D386AB0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1861926B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723ADA5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D7937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416EA3" w14:textId="558BDD78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 Zlíně dne</w:t>
      </w:r>
      <w:r w:rsidR="00840815">
        <w:rPr>
          <w:rFonts w:ascii="Arial" w:hAnsi="Arial" w:cs="Arial"/>
          <w:sz w:val="22"/>
          <w:szCs w:val="22"/>
        </w:rPr>
        <w:t xml:space="preserve"> 30. 5. 2023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840815">
        <w:rPr>
          <w:rFonts w:ascii="Arial" w:hAnsi="Arial" w:cs="Arial"/>
          <w:sz w:val="22"/>
          <w:szCs w:val="22"/>
        </w:rPr>
        <w:t xml:space="preserve">e Zlíně </w:t>
      </w:r>
      <w:r w:rsidRPr="00BA0CC9">
        <w:rPr>
          <w:rFonts w:ascii="Arial" w:hAnsi="Arial" w:cs="Arial"/>
          <w:sz w:val="22"/>
          <w:szCs w:val="22"/>
        </w:rPr>
        <w:t xml:space="preserve">dne </w:t>
      </w:r>
      <w:r w:rsidR="00840815">
        <w:rPr>
          <w:rFonts w:ascii="Arial" w:hAnsi="Arial" w:cs="Arial"/>
          <w:sz w:val="22"/>
          <w:szCs w:val="22"/>
        </w:rPr>
        <w:t>30. 5. 2023</w:t>
      </w:r>
    </w:p>
    <w:p w14:paraId="143E295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FC515C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6E1099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23AF78B" w14:textId="084520A3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5F01BEE4" w14:textId="61051B13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1BEC9779" w14:textId="77777777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16183846" w14:textId="27FBBA9F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7F332A2B" w14:textId="68E5AD9A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4E41E20F" w14:textId="77777777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69D812C2" w14:textId="21547A84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40ECCBDB" w14:textId="77777777" w:rsidR="00F94C47" w:rsidRPr="00BA0CC9" w:rsidRDefault="00F94C47">
      <w:pPr>
        <w:widowControl/>
        <w:rPr>
          <w:rFonts w:ascii="Arial" w:hAnsi="Arial" w:cs="Arial"/>
          <w:sz w:val="22"/>
          <w:szCs w:val="22"/>
        </w:rPr>
      </w:pPr>
    </w:p>
    <w:p w14:paraId="5B37871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C460691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Obec Suchá Loz</w:t>
      </w:r>
    </w:p>
    <w:p w14:paraId="2576F5FE" w14:textId="76CAF5B9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="00F94C47" w:rsidRPr="00F94C47">
        <w:rPr>
          <w:rStyle w:val="Nadpis1Char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F94C47">
        <w:rPr>
          <w:rStyle w:val="Nadpis1Char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 xml:space="preserve">                  </w:t>
      </w:r>
      <w:r w:rsidR="00F94C47" w:rsidRPr="00830D3C"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Bc. Václav Bujáček</w:t>
      </w:r>
      <w:r w:rsidRPr="00BA0CC9">
        <w:rPr>
          <w:rFonts w:ascii="Arial" w:hAnsi="Arial" w:cs="Arial"/>
          <w:sz w:val="22"/>
          <w:szCs w:val="22"/>
        </w:rPr>
        <w:tab/>
      </w:r>
    </w:p>
    <w:p w14:paraId="5FC7DAED" w14:textId="6BE82AC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Zlínský kraj</w:t>
      </w:r>
      <w:r w:rsidRPr="00BA0CC9">
        <w:rPr>
          <w:rFonts w:ascii="Arial" w:hAnsi="Arial" w:cs="Arial"/>
          <w:sz w:val="22"/>
          <w:szCs w:val="22"/>
        </w:rPr>
        <w:tab/>
      </w:r>
      <w:r w:rsidR="00F94C47" w:rsidRPr="00830D3C">
        <w:rPr>
          <w:rStyle w:val="Siln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starosta</w:t>
      </w:r>
    </w:p>
    <w:p w14:paraId="1126A525" w14:textId="4DCA7D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Mlada Augustinová</w:t>
      </w:r>
      <w:r w:rsidRPr="00BA0CC9">
        <w:rPr>
          <w:rFonts w:ascii="Arial" w:hAnsi="Arial" w:cs="Arial"/>
          <w:sz w:val="22"/>
          <w:szCs w:val="22"/>
        </w:rPr>
        <w:tab/>
      </w:r>
      <w:r w:rsidR="00F94C47" w:rsidRPr="00BA0CC9">
        <w:rPr>
          <w:rFonts w:ascii="Arial" w:hAnsi="Arial" w:cs="Arial"/>
          <w:sz w:val="22"/>
          <w:szCs w:val="22"/>
        </w:rPr>
        <w:t>kupující</w:t>
      </w:r>
    </w:p>
    <w:p w14:paraId="129A3743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4146CF5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48E34AB" w14:textId="5E7BC230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4CD5A558" w14:textId="3B350F1D" w:rsidR="00F94C47" w:rsidRDefault="00F94C47">
      <w:pPr>
        <w:widowControl/>
        <w:rPr>
          <w:rFonts w:ascii="Arial" w:hAnsi="Arial" w:cs="Arial"/>
          <w:sz w:val="22"/>
          <w:szCs w:val="22"/>
        </w:rPr>
      </w:pPr>
    </w:p>
    <w:p w14:paraId="7D91A5D2" w14:textId="77777777" w:rsidR="00F94C47" w:rsidRPr="00BA0CC9" w:rsidRDefault="00F94C47">
      <w:pPr>
        <w:widowControl/>
        <w:rPr>
          <w:rFonts w:ascii="Arial" w:hAnsi="Arial" w:cs="Arial"/>
          <w:sz w:val="22"/>
          <w:szCs w:val="22"/>
        </w:rPr>
      </w:pPr>
    </w:p>
    <w:p w14:paraId="6E87770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2924060, 2923560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DEF6CB7" w14:textId="579364C5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8DC098" w14:textId="77777777" w:rsidR="00F94C47" w:rsidRDefault="00F94C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B75E8B" w14:textId="77777777" w:rsidR="00F94C47" w:rsidRPr="00BA0CC9" w:rsidRDefault="00F94C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263D0A" w14:textId="2BE9C68E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  <w:r w:rsidR="00F94C47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vedoucí oddělení převodu majetku státu KPÚ pro Zlínský kraj</w:t>
      </w:r>
      <w:r w:rsidR="00F94C47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sz w:val="22"/>
          <w:szCs w:val="22"/>
        </w:rPr>
        <w:t>Ing. Jaroslava Mudráková</w:t>
      </w:r>
    </w:p>
    <w:p w14:paraId="2E00779C" w14:textId="77777777" w:rsidR="008C265A" w:rsidRPr="00BA0CC9" w:rsidRDefault="008C265A" w:rsidP="00F94C47">
      <w:pPr>
        <w:widowControl/>
        <w:spacing w:before="120"/>
        <w:rPr>
          <w:rFonts w:ascii="Arial" w:hAnsi="Arial" w:cs="Arial"/>
          <w:sz w:val="22"/>
          <w:szCs w:val="22"/>
        </w:rPr>
      </w:pPr>
    </w:p>
    <w:p w14:paraId="62F96061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3F358BC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799FE28F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CB355B1" w14:textId="77777777" w:rsidR="00F94C47" w:rsidRDefault="00F94C4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1D45BAF" w14:textId="77777777" w:rsidR="00F94C47" w:rsidRDefault="00F94C4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5C385FC" w14:textId="41F19724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DD0078" w:rsidRPr="00BA0CC9">
        <w:rPr>
          <w:rFonts w:ascii="Arial" w:hAnsi="Arial" w:cs="Arial"/>
          <w:sz w:val="22"/>
          <w:szCs w:val="22"/>
        </w:rPr>
        <w:t>Jaroslava Mudráková</w:t>
      </w:r>
    </w:p>
    <w:p w14:paraId="38F7B5B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03FF6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E6A1A4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77E623F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68BBF90" w14:textId="752257B0"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18AFE49" w14:textId="0C4A2066" w:rsidR="00F94C47" w:rsidRDefault="00F94C47" w:rsidP="00CD75A6">
      <w:pPr>
        <w:widowControl/>
        <w:rPr>
          <w:rFonts w:ascii="Arial" w:hAnsi="Arial" w:cs="Arial"/>
          <w:sz w:val="22"/>
          <w:szCs w:val="22"/>
        </w:rPr>
      </w:pPr>
    </w:p>
    <w:p w14:paraId="12C98F6C" w14:textId="598FD5B5" w:rsidR="00F94C47" w:rsidRDefault="00F94C47" w:rsidP="00CD75A6">
      <w:pPr>
        <w:widowControl/>
        <w:rPr>
          <w:rFonts w:ascii="Arial" w:hAnsi="Arial" w:cs="Arial"/>
          <w:sz w:val="22"/>
          <w:szCs w:val="22"/>
        </w:rPr>
      </w:pPr>
    </w:p>
    <w:p w14:paraId="7E0678C9" w14:textId="5954B6C5" w:rsidR="00F94C47" w:rsidRDefault="00F94C47" w:rsidP="00CD75A6">
      <w:pPr>
        <w:widowControl/>
        <w:rPr>
          <w:rFonts w:ascii="Arial" w:hAnsi="Arial" w:cs="Arial"/>
          <w:sz w:val="22"/>
          <w:szCs w:val="22"/>
        </w:rPr>
      </w:pPr>
    </w:p>
    <w:p w14:paraId="21F4983B" w14:textId="3F80E228" w:rsidR="00F94C47" w:rsidRDefault="00F94C47" w:rsidP="00CD75A6">
      <w:pPr>
        <w:widowControl/>
        <w:rPr>
          <w:rFonts w:ascii="Arial" w:hAnsi="Arial" w:cs="Arial"/>
          <w:sz w:val="22"/>
          <w:szCs w:val="22"/>
        </w:rPr>
      </w:pPr>
    </w:p>
    <w:p w14:paraId="4E70E063" w14:textId="5B5D1738" w:rsidR="00F94C47" w:rsidRDefault="00F94C47" w:rsidP="00CD75A6">
      <w:pPr>
        <w:widowControl/>
        <w:rPr>
          <w:rFonts w:ascii="Arial" w:hAnsi="Arial" w:cs="Arial"/>
          <w:sz w:val="22"/>
          <w:szCs w:val="22"/>
        </w:rPr>
      </w:pPr>
    </w:p>
    <w:p w14:paraId="1D50B6B5" w14:textId="77777777" w:rsidR="00F94C47" w:rsidRPr="00BA0CC9" w:rsidRDefault="00F94C47" w:rsidP="00CD75A6">
      <w:pPr>
        <w:widowControl/>
        <w:rPr>
          <w:rFonts w:ascii="Arial" w:hAnsi="Arial" w:cs="Arial"/>
          <w:sz w:val="22"/>
          <w:szCs w:val="22"/>
        </w:rPr>
      </w:pPr>
    </w:p>
    <w:p w14:paraId="0A40C564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2F9987" w14:textId="5250FEA0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</w:t>
      </w:r>
      <w:r w:rsidR="00F94C47">
        <w:rPr>
          <w:rFonts w:ascii="Arial" w:hAnsi="Arial" w:cs="Arial"/>
          <w:sz w:val="22"/>
          <w:szCs w:val="22"/>
        </w:rPr>
        <w:t> </w:t>
      </w:r>
      <w:r w:rsidR="00732D29" w:rsidRPr="00BA0CC9">
        <w:rPr>
          <w:rFonts w:ascii="Arial" w:hAnsi="Arial" w:cs="Arial"/>
          <w:sz w:val="22"/>
          <w:szCs w:val="22"/>
        </w:rPr>
        <w:t>Registru</w:t>
      </w:r>
      <w:r w:rsidR="00F94C47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smluv, vedeném dle zákona č. 340/2015 Sb.,</w:t>
      </w:r>
      <w:r w:rsidR="00F94C47">
        <w:rPr>
          <w:rFonts w:ascii="Arial" w:hAnsi="Arial" w:cs="Arial"/>
          <w:sz w:val="22"/>
          <w:szCs w:val="22"/>
        </w:rPr>
        <w:t xml:space="preserve">                       </w:t>
      </w: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6321ABA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1DC411A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5E6B6B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7EFBA1E1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167E1F1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F7A790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188322E5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9DE7B2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726E6A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A6B4EB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1B879B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D22E94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3F5D1E2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25B206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CF5EB07" w14:textId="3072322D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F94C47">
        <w:rPr>
          <w:rFonts w:ascii="Arial" w:hAnsi="Arial" w:cs="Arial"/>
          <w:sz w:val="22"/>
          <w:szCs w:val="22"/>
        </w:rPr>
        <w:t>e Zlíně dne ………………….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="00F94C47">
        <w:rPr>
          <w:rFonts w:ascii="Arial" w:hAnsi="Arial" w:cs="Arial"/>
          <w:sz w:val="22"/>
          <w:szCs w:val="22"/>
        </w:rPr>
        <w:t xml:space="preserve">  </w:t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14:paraId="71463199" w14:textId="72B7F455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F94C47">
        <w:rPr>
          <w:rFonts w:ascii="Arial" w:hAnsi="Arial" w:cs="Arial"/>
          <w:sz w:val="22"/>
          <w:szCs w:val="22"/>
        </w:rPr>
        <w:t xml:space="preserve">          </w:t>
      </w:r>
      <w:r w:rsidRPr="00BA0CC9">
        <w:rPr>
          <w:rFonts w:ascii="Arial" w:hAnsi="Arial" w:cs="Arial"/>
          <w:sz w:val="22"/>
          <w:szCs w:val="22"/>
        </w:rPr>
        <w:t>podpis odpovědného</w:t>
      </w:r>
      <w:r w:rsidR="00F94C47">
        <w:rPr>
          <w:rFonts w:ascii="Arial" w:hAnsi="Arial" w:cs="Arial"/>
          <w:sz w:val="22"/>
          <w:szCs w:val="22"/>
        </w:rPr>
        <w:t xml:space="preserve"> </w:t>
      </w:r>
      <w:r w:rsidR="00F94C47" w:rsidRPr="00BA0CC9">
        <w:rPr>
          <w:rFonts w:ascii="Arial" w:hAnsi="Arial" w:cs="Arial"/>
          <w:sz w:val="22"/>
          <w:szCs w:val="22"/>
        </w:rPr>
        <w:t>zaměstnance</w:t>
      </w:r>
    </w:p>
    <w:p w14:paraId="2CE9B46B" w14:textId="171E06A6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1CBB2DD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 w:rsidSect="00F94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5" w:right="1304" w:bottom="851" w:left="1304" w:header="794" w:footer="850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AC50" w14:textId="77777777" w:rsidR="00CF2990" w:rsidRDefault="00CF2990">
      <w:r>
        <w:separator/>
      </w:r>
    </w:p>
  </w:endnote>
  <w:endnote w:type="continuationSeparator" w:id="0">
    <w:p w14:paraId="26FF06AB" w14:textId="77777777" w:rsidR="00CF2990" w:rsidRDefault="00CF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4018" w14:textId="77777777" w:rsidR="00F94C47" w:rsidRDefault="00F94C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0AE5" w14:textId="1A6D7CC0" w:rsidR="00F94C47" w:rsidRPr="00F94C47" w:rsidRDefault="00F94C47" w:rsidP="00F94C47">
    <w:pPr>
      <w:pStyle w:val="Zpat"/>
      <w:jc w:val="center"/>
      <w:rPr>
        <w:rFonts w:ascii="Arial" w:hAnsi="Arial" w:cs="Arial"/>
        <w:i/>
        <w:iCs/>
        <w:sz w:val="18"/>
        <w:szCs w:val="18"/>
      </w:rPr>
    </w:pPr>
    <w:r w:rsidRPr="00F94C47">
      <w:rPr>
        <w:rFonts w:ascii="Arial" w:hAnsi="Arial" w:cs="Arial"/>
        <w:i/>
        <w:iCs/>
        <w:sz w:val="18"/>
        <w:szCs w:val="18"/>
      </w:rPr>
      <w:fldChar w:fldCharType="begin"/>
    </w:r>
    <w:r w:rsidRPr="00F94C47">
      <w:rPr>
        <w:rFonts w:ascii="Arial" w:hAnsi="Arial" w:cs="Arial"/>
        <w:i/>
        <w:iCs/>
        <w:sz w:val="18"/>
        <w:szCs w:val="18"/>
      </w:rPr>
      <w:instrText>PAGE</w:instrText>
    </w:r>
    <w:r w:rsidRPr="00F94C47">
      <w:rPr>
        <w:rFonts w:ascii="Arial" w:hAnsi="Arial" w:cs="Arial"/>
        <w:i/>
        <w:iCs/>
        <w:sz w:val="18"/>
        <w:szCs w:val="18"/>
      </w:rPr>
      <w:fldChar w:fldCharType="separate"/>
    </w:r>
    <w:r w:rsidRPr="00F94C47">
      <w:rPr>
        <w:rFonts w:ascii="Arial" w:hAnsi="Arial" w:cs="Arial"/>
        <w:i/>
        <w:iCs/>
        <w:sz w:val="18"/>
        <w:szCs w:val="18"/>
      </w:rPr>
      <w:t>2</w:t>
    </w:r>
    <w:r w:rsidRPr="00F94C47">
      <w:rPr>
        <w:rFonts w:ascii="Arial" w:hAnsi="Arial" w:cs="Arial"/>
        <w:i/>
        <w:iCs/>
        <w:sz w:val="18"/>
        <w:szCs w:val="18"/>
      </w:rPr>
      <w:fldChar w:fldCharType="end"/>
    </w:r>
    <w:r w:rsidRPr="00F94C47">
      <w:rPr>
        <w:rFonts w:ascii="Arial" w:hAnsi="Arial" w:cs="Arial"/>
        <w:i/>
        <w:iCs/>
        <w:sz w:val="18"/>
        <w:szCs w:val="18"/>
      </w:rPr>
      <w:t>/</w:t>
    </w:r>
    <w:r w:rsidRPr="00F94C47">
      <w:rPr>
        <w:rFonts w:ascii="Arial" w:hAnsi="Arial" w:cs="Arial"/>
        <w:i/>
        <w:iCs/>
        <w:sz w:val="18"/>
        <w:szCs w:val="18"/>
      </w:rPr>
      <w:fldChar w:fldCharType="begin"/>
    </w:r>
    <w:r w:rsidRPr="00F94C47">
      <w:rPr>
        <w:rFonts w:ascii="Arial" w:hAnsi="Arial" w:cs="Arial"/>
        <w:i/>
        <w:iCs/>
        <w:sz w:val="18"/>
        <w:szCs w:val="18"/>
      </w:rPr>
      <w:instrText>NUMPAGES</w:instrText>
    </w:r>
    <w:r w:rsidRPr="00F94C47">
      <w:rPr>
        <w:rFonts w:ascii="Arial" w:hAnsi="Arial" w:cs="Arial"/>
        <w:i/>
        <w:iCs/>
        <w:sz w:val="18"/>
        <w:szCs w:val="18"/>
      </w:rPr>
      <w:fldChar w:fldCharType="separate"/>
    </w:r>
    <w:r w:rsidRPr="00F94C47">
      <w:rPr>
        <w:rFonts w:ascii="Arial" w:hAnsi="Arial" w:cs="Arial"/>
        <w:i/>
        <w:iCs/>
        <w:sz w:val="18"/>
        <w:szCs w:val="18"/>
      </w:rPr>
      <w:t>2</w:t>
    </w:r>
    <w:r w:rsidRPr="00F94C47">
      <w:rPr>
        <w:rFonts w:ascii="Arial" w:hAnsi="Arial" w:cs="Arial"/>
        <w:i/>
        <w:iCs/>
        <w:sz w:val="18"/>
        <w:szCs w:val="18"/>
      </w:rPr>
      <w:fldChar w:fldCharType="end"/>
    </w:r>
  </w:p>
  <w:p w14:paraId="6CFA0DAA" w14:textId="77777777" w:rsidR="00830D3C" w:rsidRDefault="00830D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EB3" w14:textId="77777777" w:rsidR="00F94C47" w:rsidRDefault="00F94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6E60" w14:textId="77777777" w:rsidR="00CF2990" w:rsidRDefault="00CF2990">
      <w:r>
        <w:separator/>
      </w:r>
    </w:p>
  </w:footnote>
  <w:footnote w:type="continuationSeparator" w:id="0">
    <w:p w14:paraId="5EAB6B41" w14:textId="77777777" w:rsidR="00CF2990" w:rsidRDefault="00CF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F26A" w14:textId="77777777" w:rsidR="00F94C47" w:rsidRDefault="00F94C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C70F" w14:textId="6A06D490" w:rsidR="00830D3C" w:rsidRDefault="00830D3C" w:rsidP="00F94C47">
    <w:pPr>
      <w:pStyle w:val="Zhlav"/>
      <w:jc w:val="right"/>
    </w:pPr>
    <w:r w:rsidRPr="00830D3C">
      <w:t>SPU 181374/2023/525104/</w:t>
    </w:r>
    <w:proofErr w:type="spellStart"/>
    <w:r w:rsidRPr="00830D3C">
      <w:t>Mal</w:t>
    </w:r>
    <w:proofErr w:type="spellEnd"/>
  </w:p>
  <w:p w14:paraId="23158FD3" w14:textId="13BCC610" w:rsidR="00830D3C" w:rsidRDefault="00830D3C" w:rsidP="00F94C47">
    <w:pPr>
      <w:pStyle w:val="Zhlav"/>
      <w:jc w:val="right"/>
    </w:pPr>
    <w:r w:rsidRPr="00830D3C">
      <w:t>spuess8c14e87f</w:t>
    </w:r>
  </w:p>
  <w:p w14:paraId="7ED0BDB4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9385" w14:textId="77777777" w:rsidR="00F94C47" w:rsidRDefault="00F94C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143F0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0D3C"/>
    <w:rsid w:val="00831AF0"/>
    <w:rsid w:val="00840815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87177"/>
    <w:rsid w:val="00BA0CC9"/>
    <w:rsid w:val="00C02AD1"/>
    <w:rsid w:val="00C06373"/>
    <w:rsid w:val="00C15974"/>
    <w:rsid w:val="00C70A46"/>
    <w:rsid w:val="00C9419D"/>
    <w:rsid w:val="00CD75A6"/>
    <w:rsid w:val="00CF2990"/>
    <w:rsid w:val="00CF3A15"/>
    <w:rsid w:val="00D63429"/>
    <w:rsid w:val="00D65B9D"/>
    <w:rsid w:val="00DD0078"/>
    <w:rsid w:val="00DF7F8F"/>
    <w:rsid w:val="00E53867"/>
    <w:rsid w:val="00E66585"/>
    <w:rsid w:val="00E84547"/>
    <w:rsid w:val="00E85DC1"/>
    <w:rsid w:val="00EC3E05"/>
    <w:rsid w:val="00EE21B3"/>
    <w:rsid w:val="00F357C4"/>
    <w:rsid w:val="00F56819"/>
    <w:rsid w:val="00F629A0"/>
    <w:rsid w:val="00F62A66"/>
    <w:rsid w:val="00F94C47"/>
    <w:rsid w:val="00FA7A96"/>
    <w:rsid w:val="00FB2ACB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269F1"/>
  <w14:defaultImageDpi w14:val="0"/>
  <w15:docId w15:val="{EFCFEFDC-E59B-48AD-86C7-3C965CE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character" w:styleId="Siln">
    <w:name w:val="Strong"/>
    <w:uiPriority w:val="22"/>
    <w:qFormat/>
    <w:rsid w:val="00830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Maléřová Iva Ing.</dc:creator>
  <cp:keywords/>
  <dc:description/>
  <cp:lastModifiedBy>Mudráková Jaroslava Ing.</cp:lastModifiedBy>
  <cp:revision>2</cp:revision>
  <cp:lastPrinted>2023-05-26T07:12:00Z</cp:lastPrinted>
  <dcterms:created xsi:type="dcterms:W3CDTF">2023-05-30T12:09:00Z</dcterms:created>
  <dcterms:modified xsi:type="dcterms:W3CDTF">2023-05-30T12:09:00Z</dcterms:modified>
</cp:coreProperties>
</file>