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F3" w:rsidRPr="00D57EDE" w:rsidRDefault="00A66AF3" w:rsidP="00A66AF3">
      <w:pPr>
        <w:pStyle w:val="Smlouva"/>
        <w:rPr>
          <w:rFonts w:ascii="Arial Black" w:hAnsi="Arial Black"/>
          <w:color w:val="auto"/>
          <w:sz w:val="44"/>
          <w:szCs w:val="44"/>
        </w:rPr>
      </w:pPr>
      <w:bookmarkStart w:id="0" w:name="OLE_LINK1"/>
      <w:r w:rsidRPr="00D57EDE">
        <w:rPr>
          <w:rFonts w:ascii="Arial Black" w:hAnsi="Arial Black"/>
          <w:color w:val="auto"/>
          <w:sz w:val="44"/>
          <w:szCs w:val="44"/>
        </w:rPr>
        <w:t>OBCHODNÍ PODMÍNKY PRO ZHOTOVENÍ STAVBY</w:t>
      </w:r>
    </w:p>
    <w:p w:rsidR="00A66AF3" w:rsidRPr="00D57EDE" w:rsidRDefault="00A66AF3" w:rsidP="00A66AF3">
      <w:pPr>
        <w:pStyle w:val="StyllnekPed30b"/>
        <w:numPr>
          <w:ilvl w:val="0"/>
          <w:numId w:val="0"/>
        </w:numPr>
        <w:spacing w:line="240" w:lineRule="atLeast"/>
        <w:jc w:val="both"/>
        <w:outlineLvl w:val="0"/>
        <w:rPr>
          <w:rFonts w:ascii="Arial" w:hAnsi="Arial" w:cs="Arial"/>
          <w:color w:val="auto"/>
        </w:rPr>
      </w:pPr>
      <w:r w:rsidRPr="00D57EDE">
        <w:rPr>
          <w:rFonts w:ascii="Arial" w:hAnsi="Arial" w:cs="Arial"/>
          <w:color w:val="auto"/>
        </w:rPr>
        <w:t xml:space="preserve">Preambule:  </w:t>
      </w:r>
    </w:p>
    <w:p w:rsidR="00A66AF3" w:rsidRPr="00D57EDE" w:rsidRDefault="00A66AF3" w:rsidP="00A66AF3">
      <w:pPr>
        <w:pStyle w:val="StyllnekPed30b"/>
        <w:numPr>
          <w:ilvl w:val="0"/>
          <w:numId w:val="0"/>
        </w:numPr>
        <w:spacing w:line="240" w:lineRule="atLeast"/>
        <w:jc w:val="both"/>
        <w:rPr>
          <w:rFonts w:ascii="Arial" w:hAnsi="Arial" w:cs="Arial"/>
          <w:b w:val="0"/>
          <w:bCs w:val="0"/>
          <w:color w:val="auto"/>
          <w:sz w:val="24"/>
          <w:szCs w:val="24"/>
        </w:rPr>
      </w:pPr>
      <w:r w:rsidRPr="00D57EDE">
        <w:rPr>
          <w:rFonts w:ascii="Arial" w:hAnsi="Arial" w:cs="Arial"/>
          <w:color w:val="auto"/>
          <w:sz w:val="24"/>
          <w:szCs w:val="24"/>
        </w:rPr>
        <w:t>Tyto obchodní podmínky definují základní pravidla a principy obchodního vztahu mezi objednatele</w:t>
      </w:r>
      <w:r>
        <w:rPr>
          <w:rFonts w:ascii="Arial" w:hAnsi="Arial" w:cs="Arial"/>
          <w:color w:val="auto"/>
          <w:sz w:val="24"/>
          <w:szCs w:val="24"/>
        </w:rPr>
        <w:t>m</w:t>
      </w:r>
      <w:r w:rsidRPr="00D57EDE">
        <w:rPr>
          <w:rFonts w:ascii="Arial" w:hAnsi="Arial" w:cs="Arial"/>
          <w:color w:val="auto"/>
          <w:sz w:val="24"/>
          <w:szCs w:val="24"/>
        </w:rPr>
        <w:t xml:space="preserve"> a zhotovitelem stavby. Obchodní podmínky popisují základní práva a povinnosti smluvních stran, které se standardně vyskytují u veřejných zakázek na stavební práce. Odchylky nebo zvláštní ujednání vztahující se ke specifikům konkrétní stavby jsou obsahem smlouvy o dílo, jejíž ustanovení mají přednost před těmito obchodními podmínkami. </w:t>
      </w:r>
    </w:p>
    <w:p w:rsidR="00A66AF3" w:rsidRPr="00D57EDE" w:rsidRDefault="00A66AF3" w:rsidP="00A66AF3">
      <w:pPr>
        <w:spacing w:before="120"/>
        <w:ind w:left="2940" w:hanging="2940"/>
        <w:jc w:val="center"/>
        <w:rPr>
          <w:rFonts w:ascii="Arial Black" w:hAnsi="Arial Black" w:cs="Arial"/>
          <w:b/>
          <w:bCs/>
          <w:snapToGrid w:val="0"/>
          <w:sz w:val="36"/>
        </w:rPr>
      </w:pPr>
    </w:p>
    <w:bookmarkEnd w:id="0"/>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Pojmy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Pojmy obchodních podmínek</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V rámci obchodních podmínek jsou použita označení a názvy obvyklé v procesu výstavby. Pro jednoznačnost použitých pojmů se pod jednotlivými pojmy rozumí: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Dodatečnými stavebními pracemi </w:t>
      </w:r>
      <w:r w:rsidRPr="00D57EDE">
        <w:rPr>
          <w:rFonts w:ascii="Arial" w:hAnsi="Arial" w:cs="Arial"/>
          <w:iCs/>
        </w:rPr>
        <w:t>stavební práce, dodávky nebo služby, které vznikly při zhotovování stavby v důsledku nepředvídatelných objektivních okolností, které nezavinil ani nezpůsobil objednatel a jejichž provedení je pro zhotovení stavby nezbytné nebo je od sjednaných stavebních prací nelze technicky nebo ekonomicky oddělit.</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Harmonogramem </w:t>
      </w:r>
      <w:r w:rsidRPr="00D57EDE">
        <w:rPr>
          <w:rFonts w:ascii="Arial" w:hAnsi="Arial" w:cs="Arial"/>
          <w:bCs/>
          <w:iCs/>
        </w:rPr>
        <w:t xml:space="preserve">dokument, který vyjadřuje průběh zhotovování stavby v čase, kde na věcné ose jsou definovány nejméně všechny stavební či inženýrské objekty nebo provozní soubory a rovněž podstatné činnosti, jejichž splnění je povinností zhotovitele a na časové ose je podrobnost definována nejméně na měsíce.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Havárií </w:t>
      </w:r>
      <w:r w:rsidRPr="00D57EDE">
        <w:rPr>
          <w:rFonts w:ascii="Arial" w:hAnsi="Arial" w:cs="Arial"/>
          <w:iCs/>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Cs/>
          <w:iCs/>
        </w:rPr>
      </w:pPr>
      <w:r w:rsidRPr="00D57EDE">
        <w:rPr>
          <w:rFonts w:ascii="Arial" w:hAnsi="Arial" w:cs="Arial"/>
          <w:b/>
          <w:bCs/>
          <w:iCs/>
        </w:rPr>
        <w:t xml:space="preserve">Koordinátorem bezpečnosti práce </w:t>
      </w:r>
      <w:r w:rsidRPr="00D57EDE">
        <w:rPr>
          <w:rFonts w:ascii="Arial" w:hAnsi="Arial" w:cs="Arial"/>
          <w:bCs/>
          <w:iCs/>
        </w:rPr>
        <w:t>osoba s odbornou způsobilostí, zajišťující pro objednatele kontrolu a dohled v oblasti hodnocení a prevenci rizik možného ohrožení života nebo zdraví pracovníků na staveništi.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Lhůtou pro dokončení díla (stavebních prací) </w:t>
      </w:r>
      <w:r w:rsidRPr="00D57EDE">
        <w:rPr>
          <w:rFonts w:ascii="Arial" w:hAnsi="Arial" w:cs="Arial"/>
          <w:iCs/>
        </w:rPr>
        <w:t>doba mezi termínem zahájení prací a dnem, kdy zhotovitel písemně sdělí objednateli, že stavba je dokončena a může být zahájeno předávací a přejímací řízení. Do této lhůty se započítávají oba krajní termíny.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Méněpracemi </w:t>
      </w:r>
      <w:r w:rsidRPr="00D57EDE">
        <w:rPr>
          <w:rFonts w:ascii="Arial" w:hAnsi="Arial" w:cs="Arial"/>
          <w:iCs/>
        </w:rPr>
        <w:t>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Nedodělkem </w:t>
      </w:r>
      <w:r w:rsidRPr="00D57EDE">
        <w:rPr>
          <w:rFonts w:ascii="Arial" w:hAnsi="Arial" w:cs="Arial"/>
          <w:iCs/>
        </w:rPr>
        <w:t>nedokončené nebo neprovedené stavební práce, dodávky nebo služby proti rozsahu stanovenému příslušnou dokumentací nebo smlouvou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Objednatelem </w:t>
      </w:r>
      <w:r w:rsidRPr="00D57EDE">
        <w:rPr>
          <w:rFonts w:ascii="Arial" w:hAnsi="Arial" w:cs="Arial"/>
          <w:iCs/>
        </w:rPr>
        <w:t>o</w:t>
      </w:r>
      <w:bookmarkStart w:id="1" w:name="_GoBack"/>
      <w:bookmarkEnd w:id="1"/>
      <w:r w:rsidRPr="00D57EDE">
        <w:rPr>
          <w:rFonts w:ascii="Arial" w:hAnsi="Arial" w:cs="Arial"/>
          <w:iCs/>
        </w:rPr>
        <w:t>soba označená ve smlouvě jako objednatel.</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Ostatními náklady </w:t>
      </w:r>
      <w:r w:rsidRPr="00D57EDE">
        <w:rPr>
          <w:rFonts w:ascii="StempelGaramondLTPro-Roman" w:hAnsi="StempelGaramondLTPro-Roman" w:cs="StempelGaramondLTPro-Roman"/>
        </w:rPr>
        <w:t>náklady spojené s pln</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ním povinností zhotovitele neuvedené v soupisech stavebních prací, dodávek a služeb jednotlivých stavebních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xml:space="preserve">, </w:t>
      </w:r>
      <w:r w:rsidRPr="00D57EDE">
        <w:rPr>
          <w:rFonts w:ascii="StempelGaramondLTPro-Roman" w:hAnsi="StempelGaramondLTPro-Roman" w:cs="StempelGaramondLTPro-Roman"/>
        </w:rPr>
        <w:lastRenderedPageBreak/>
        <w:t>in</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enýrských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xml:space="preserve"> nebo provozních soubor</w:t>
      </w:r>
      <w:r w:rsidRPr="00D57EDE">
        <w:rPr>
          <w:rFonts w:ascii="StempelGaramondLTPro-Roman+01" w:hAnsi="StempelGaramondLTPro-Roman+01" w:cs="StempelGaramondLTPro-Roman+01"/>
        </w:rPr>
        <w:t xml:space="preserve">ů </w:t>
      </w:r>
      <w:r w:rsidRPr="00D57EDE">
        <w:rPr>
          <w:rFonts w:ascii="StempelGaramondLTPro-Roman" w:hAnsi="StempelGaramondLTPro-Roman" w:cs="StempelGaramondLTPro-Roman"/>
        </w:rPr>
        <w:t>ani v soupisu vedlej</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ích náklad</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Ostatními náklady jsou zejména náklady na vyhotovení dokumentace skute</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ného provedení stavby, náklady na geodetické zam</w:t>
      </w:r>
      <w:r w:rsidRPr="00D57EDE">
        <w:rPr>
          <w:rFonts w:ascii="StempelGaramondLTPro-Roman+01" w:hAnsi="StempelGaramondLTPro-Roman+01" w:cs="StempelGaramondLTPro-Roman+01"/>
        </w:rPr>
        <w:t>ěř</w:t>
      </w:r>
      <w:r w:rsidRPr="00D57EDE">
        <w:rPr>
          <w:rFonts w:ascii="StempelGaramondLTPro-Roman" w:hAnsi="StempelGaramondLTPro-Roman" w:cs="StempelGaramondLTPro-Roman"/>
        </w:rPr>
        <w:t>ení dokon</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eného díla, náklady spojené s podmínkami pro publicitu projektu a další náklad vyplývající z obchodních podmínek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Položkovým rozpočtem z</w:t>
      </w:r>
      <w:r w:rsidRPr="00D57EDE">
        <w:rPr>
          <w:rFonts w:ascii="Arial" w:hAnsi="Arial" w:cs="Arial"/>
          <w:iCs/>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Provozním souborem </w:t>
      </w:r>
      <w:r w:rsidRPr="00D57EDE">
        <w:rPr>
          <w:rFonts w:ascii="Arial" w:hAnsi="Arial" w:cs="Arial"/>
          <w:bCs/>
          <w:iCs/>
        </w:rPr>
        <w:t>funkčně ucelená část</w:t>
      </w:r>
      <w:r w:rsidRPr="00D57EDE">
        <w:rPr>
          <w:rFonts w:ascii="Arial" w:hAnsi="Arial" w:cs="Arial"/>
          <w:b/>
          <w:bCs/>
          <w:iCs/>
        </w:rPr>
        <w:t xml:space="preserve"> </w:t>
      </w:r>
      <w:r w:rsidRPr="00D57EDE">
        <w:rPr>
          <w:rFonts w:ascii="Arial" w:hAnsi="Arial" w:cs="Arial"/>
          <w:bCs/>
          <w:iCs/>
        </w:rPr>
        <w:t xml:space="preserve">technologické části stavby, tvořená souhrnem technologických strojů a zařízení, která vykonává ucelený technologický proces.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Příslušnou dokumentací </w:t>
      </w:r>
      <w:r w:rsidRPr="00D57EDE">
        <w:rPr>
          <w:rFonts w:ascii="Arial" w:hAnsi="Arial" w:cs="Arial"/>
          <w:iCs/>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rPr>
      </w:pPr>
      <w:r w:rsidRPr="00D57EDE">
        <w:rPr>
          <w:rFonts w:ascii="Arial" w:hAnsi="Arial" w:cs="Arial"/>
          <w:b/>
          <w:iCs/>
        </w:rPr>
        <w:t>Smlouvou</w:t>
      </w:r>
      <w:r w:rsidRPr="00D57EDE">
        <w:rPr>
          <w:rFonts w:ascii="Arial" w:hAnsi="Arial" w:cs="Arial"/>
          <w:iCs/>
        </w:rPr>
        <w:t xml:space="preserve"> dokument podepsaný oprávněnými zástupci objednatele a zhotovitele, v němž jsou obsaženy všechny podstatné náležitosti podle zvláštního právního předpisu, včetně všech jeho příloh, jakož i veškeré jeho změny a dodatky, které budou uzavřeny v souladu s ustanoveními smlouvy.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Smluvní stranou </w:t>
      </w:r>
      <w:r w:rsidRPr="00D57EDE">
        <w:rPr>
          <w:rFonts w:ascii="Arial" w:hAnsi="Arial" w:cs="Arial"/>
          <w:iCs/>
        </w:rPr>
        <w:t>osoba objednatele nebo osoba zhotovitele</w:t>
      </w:r>
      <w:r w:rsidRPr="00D57EDE">
        <w:rPr>
          <w:rFonts w:ascii="Arial" w:hAnsi="Arial" w:cs="Arial"/>
          <w:b/>
          <w:iCs/>
        </w:rPr>
        <w:t xml:space="preserv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Soupisem provedených prací </w:t>
      </w:r>
      <w:r w:rsidRPr="00D57EDE">
        <w:rPr>
          <w:rFonts w:ascii="Arial" w:hAnsi="Arial" w:cs="Arial"/>
          <w:iCs/>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Soupisem stavebních prací, dodávek a služeb </w:t>
      </w:r>
      <w:r w:rsidRPr="00D57EDE">
        <w:rPr>
          <w:rFonts w:ascii="Arial" w:hAnsi="Arial" w:cs="Arial"/>
          <w:iCs/>
        </w:rPr>
        <w:t>podrobný popis všech stavebních prací, dodávek či služeb nezbytných k úplnému zhotovení stavby, včetně popisu dalších prací, dodávek a služeb nezbytných k plnění požadavků objednatele s vymezeným rozsahem druhu, kvality a kvantity požadovaných stavebních prací, dodávek a služeb.</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iCs/>
        </w:rPr>
        <w:t xml:space="preserve">Termínem zahájení prací </w:t>
      </w:r>
      <w:r w:rsidRPr="00D57EDE">
        <w:rPr>
          <w:rFonts w:ascii="Arial" w:hAnsi="Arial" w:cs="Arial"/>
          <w:iCs/>
        </w:rPr>
        <w:t xml:space="preserve">den, v němž dojde k protokolárnímu předání a převzetí staveniště mezi objednatelem a zhotovitelem - datum,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Staveništěm </w:t>
      </w:r>
      <w:r w:rsidRPr="00D57EDE">
        <w:rPr>
          <w:rFonts w:ascii="Arial" w:hAnsi="Arial" w:cs="Arial"/>
          <w:iCs/>
        </w:rPr>
        <w:t>prostory a plochy určené v příslušné dokumentaci a v pravomocném územním rozhodnutí pro provádění stavby, které zhotovitel použije pro realizaci stavby a pro umístění zařízení staveniště.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Zařízením staveniště </w:t>
      </w:r>
      <w:r w:rsidRPr="00D57EDE">
        <w:rPr>
          <w:rFonts w:ascii="Arial" w:hAnsi="Arial" w:cs="Arial"/>
          <w:iCs/>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Vícepracemi  </w:t>
      </w:r>
      <w:r w:rsidRPr="00D57EDE">
        <w:rPr>
          <w:rFonts w:ascii="Arial" w:hAnsi="Arial" w:cs="Arial"/>
          <w:iCs/>
        </w:rPr>
        <w:t>stavební práce, dodávky nebo služby, které jsou nezbytné pro zhotovení stavby a nejsou zahrnuté v předmětu díla dle smlouvy a ani jejich cena není zahrnuta ve sjednané ceně a zhotovitel se s objednatelem dohodl na jejich provedení.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Výkazem výměr </w:t>
      </w:r>
      <w:r w:rsidRPr="00D57EDE">
        <w:rPr>
          <w:rFonts w:ascii="Arial" w:hAnsi="Arial" w:cs="Arial"/>
          <w:iCs/>
        </w:rPr>
        <w:t>matematický a verbální popis způsobu stanovení množství požadovaných stavebních prací, dodávek a služeb s uvedením postupu výpočtu a s odkazem na konkrétní výkresovou část příslušné dokumentace.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Vadou </w:t>
      </w:r>
      <w:r w:rsidRPr="00D57EDE">
        <w:rPr>
          <w:rFonts w:ascii="Arial" w:hAnsi="Arial" w:cs="Arial"/>
          <w:iCs/>
        </w:rPr>
        <w:t>odchylka v kvalitě, obsahu, rozsahu nebo parametrech předmětu plnění či jeho části, proti podmínkám stanoveným příslušnou dokumentací, smlouvou nebo technickými normami či obecně závaznými předpisy.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Technickým dozorem </w:t>
      </w:r>
      <w:r w:rsidRPr="00D57EDE">
        <w:rPr>
          <w:rFonts w:ascii="Arial" w:hAnsi="Arial" w:cs="Arial"/>
          <w:iCs/>
        </w:rPr>
        <w:t>osoba zajišťující pro objednatele odbornou kontrolní činnost při přípravě, zhotovování a dokončení stavby.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Termín dokončení </w:t>
      </w:r>
      <w:r w:rsidRPr="00D57EDE">
        <w:rPr>
          <w:rFonts w:ascii="Arial" w:hAnsi="Arial" w:cs="Arial"/>
          <w:iCs/>
        </w:rPr>
        <w:t>den, ve kterém zhotovitel doručí písemně objednateli sdělení, že stavební práce a veškeré další činnosti na díle ukončil a že je dílo připraveno k předání a převzetí.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lastRenderedPageBreak/>
        <w:t>Termín předání a převzetí</w:t>
      </w:r>
      <w:r w:rsidRPr="00D57EDE">
        <w:rPr>
          <w:rFonts w:ascii="Arial" w:hAnsi="Arial" w:cs="Arial"/>
          <w:iCs/>
        </w:rPr>
        <w:t xml:space="preserve"> den, ve kterém dojde k oboustrannému podpisu protokolu o úspěšném předání a převzetí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Subdodavatelem </w:t>
      </w:r>
      <w:r w:rsidRPr="00D57EDE">
        <w:rPr>
          <w:rFonts w:ascii="Arial" w:hAnsi="Arial" w:cs="Arial"/>
          <w:iCs/>
        </w:rPr>
        <w:t>právnická nebo fyzická osoba</w:t>
      </w:r>
      <w:r w:rsidRPr="00D57EDE">
        <w:rPr>
          <w:rFonts w:ascii="Arial" w:hAnsi="Arial" w:cs="Arial"/>
        </w:rPr>
        <w:t xml:space="preserve">, pomocí které má zhotovitel plnit určitou část díla nebo osoba která má poskytnout zhotoviteli k plnění díla určité věci či práva </w:t>
      </w:r>
      <w:r w:rsidRPr="00D57EDE">
        <w:rPr>
          <w:rFonts w:ascii="Arial" w:hAnsi="Arial" w:cs="Arial"/>
          <w:iCs/>
        </w:rPr>
        <w:t>na základě samostatné smlouvy uzavřené mezi zhotovitelem a jeho subdodavatelem.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Vedlejšími náklady</w:t>
      </w:r>
      <w:r w:rsidRPr="00D57EDE">
        <w:rPr>
          <w:rFonts w:ascii="Arial" w:hAnsi="Arial" w:cs="Arial"/>
          <w:iCs/>
        </w:rPr>
        <w:t xml:space="preserve"> </w:t>
      </w:r>
      <w:r w:rsidRPr="00D57EDE">
        <w:rPr>
          <w:rFonts w:ascii="StempelGaramondLTPro-Roman" w:hAnsi="StempelGaramondLTPro-Roman" w:cs="StempelGaramondLTPro-Roman"/>
        </w:rPr>
        <w:t>náklady nezbytné pro zhotovení stavby, spole</w:t>
      </w:r>
      <w:r w:rsidRPr="00D57EDE">
        <w:rPr>
          <w:rFonts w:ascii="StempelGaramondLTPro-Roman+01" w:hAnsi="StempelGaramondLTPro-Roman+01" w:cs="StempelGaramondLTPro-Roman+01"/>
        </w:rPr>
        <w:t>č</w:t>
      </w:r>
      <w:r w:rsidRPr="00D57EDE">
        <w:rPr>
          <w:rFonts w:ascii="StempelGaramondLTPro-Roman" w:hAnsi="StempelGaramondLTPro-Roman" w:cs="StempelGaramondLTPro-Roman"/>
        </w:rPr>
        <w:t>né pro celou stavbu, nezahrnuté v soupisech stavebních prací jednotlivých stavebních objekt</w:t>
      </w:r>
      <w:r w:rsidRPr="00D57EDE">
        <w:rPr>
          <w:rFonts w:ascii="StempelGaramondLTPro-Roman+01" w:hAnsi="StempelGaramondLTPro-Roman+01" w:cs="StempelGaramondLTPro-Roman+01"/>
        </w:rPr>
        <w:t xml:space="preserve">ů, </w:t>
      </w:r>
      <w:r w:rsidRPr="00D57EDE">
        <w:rPr>
          <w:rFonts w:ascii="StempelGaramondLTPro-Roman" w:hAnsi="StempelGaramondLTPro-Roman" w:cs="StempelGaramondLTPro-Roman"/>
        </w:rPr>
        <w:t>in</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enýrských objekt</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nebo provozních soubor</w:t>
      </w:r>
      <w:r w:rsidRPr="00D57EDE">
        <w:rPr>
          <w:rFonts w:ascii="StempelGaramondLTPro-Roman+01" w:hAnsi="StempelGaramondLTPro-Roman+01" w:cs="StempelGaramondLTPro-Roman+01"/>
        </w:rPr>
        <w:t>ů</w:t>
      </w:r>
      <w:r w:rsidRPr="00D57EDE">
        <w:rPr>
          <w:rFonts w:ascii="StempelGaramondLTPro-Roman" w:hAnsi="StempelGaramondLTPro-Roman" w:cs="StempelGaramondLTPro-Roman"/>
        </w:rPr>
        <w:t>, jejichž předmětem jsou zejména po</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adavky související s vybudováním, provozem a likvidací za</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ízení staveni</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t</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 ztí</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ené výrobní podmínky související s umíst</w:t>
      </w:r>
      <w:r w:rsidRPr="00D57EDE">
        <w:rPr>
          <w:rFonts w:ascii="StempelGaramondLTPro-Roman+01" w:hAnsi="StempelGaramondLTPro-Roman+01" w:cs="StempelGaramondLTPro-Roman+01"/>
        </w:rPr>
        <w:t>ě</w:t>
      </w:r>
      <w:r w:rsidRPr="00D57EDE">
        <w:rPr>
          <w:rFonts w:ascii="StempelGaramondLTPro-Roman" w:hAnsi="StempelGaramondLTPro-Roman" w:cs="StempelGaramondLTPro-Roman"/>
        </w:rPr>
        <w:t>ním stavby, provozními nebo dopravními omezeními, pokud jsou objednatelem po</w:t>
      </w:r>
      <w:r w:rsidRPr="00D57EDE">
        <w:rPr>
          <w:rFonts w:ascii="StempelGaramondLTPro-Roman+01" w:hAnsi="StempelGaramondLTPro-Roman+01" w:cs="StempelGaramondLTPro-Roman+01"/>
        </w:rPr>
        <w:t>ž</w:t>
      </w:r>
      <w:r w:rsidRPr="00D57EDE">
        <w:rPr>
          <w:rFonts w:ascii="StempelGaramondLTPro-Roman" w:hAnsi="StempelGaramondLTPro-Roman" w:cs="StempelGaramondLTPro-Roman"/>
        </w:rPr>
        <w:t>adovány, p</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ípadn</w:t>
      </w:r>
      <w:r w:rsidRPr="00D57EDE">
        <w:rPr>
          <w:rFonts w:ascii="StempelGaramondLTPro-Roman+01" w:hAnsi="StempelGaramondLTPro-Roman+01" w:cs="StempelGaramondLTPro-Roman+01"/>
        </w:rPr>
        <w:t xml:space="preserve">ě </w:t>
      </w:r>
      <w:r w:rsidRPr="00D57EDE">
        <w:rPr>
          <w:rFonts w:ascii="StempelGaramondLTPro-Roman" w:hAnsi="StempelGaramondLTPro-Roman" w:cs="StempelGaramondLTPro-Roman"/>
        </w:rPr>
        <w:t>pokud vyplývají z p</w:t>
      </w:r>
      <w:r w:rsidRPr="00D57EDE">
        <w:rPr>
          <w:rFonts w:ascii="StempelGaramondLTPro-Roman+01" w:hAnsi="StempelGaramondLTPro-Roman+01" w:cs="StempelGaramondLTPro-Roman+01"/>
        </w:rPr>
        <w:t>ř</w:t>
      </w:r>
      <w:r w:rsidRPr="00D57EDE">
        <w:rPr>
          <w:rFonts w:ascii="StempelGaramondLTPro-Roman" w:hAnsi="StempelGaramondLTPro-Roman" w:cs="StempelGaramondLTPro-Roman"/>
        </w:rPr>
        <w:t>íslu</w:t>
      </w:r>
      <w:r w:rsidRPr="00D57EDE">
        <w:rPr>
          <w:rFonts w:ascii="StempelGaramondLTPro-Roman+01" w:hAnsi="StempelGaramondLTPro-Roman+01" w:cs="StempelGaramondLTPro-Roman+01"/>
        </w:rPr>
        <w:t>š</w:t>
      </w:r>
      <w:r w:rsidRPr="00D57EDE">
        <w:rPr>
          <w:rFonts w:ascii="StempelGaramondLTPro-Roman" w:hAnsi="StempelGaramondLTPro-Roman" w:cs="StempelGaramondLTPro-Roman"/>
        </w:rPr>
        <w:t>né dokumentace.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b/>
          <w:iCs/>
        </w:rPr>
      </w:pPr>
      <w:r w:rsidRPr="00D57EDE">
        <w:rPr>
          <w:rFonts w:ascii="Arial" w:hAnsi="Arial" w:cs="Arial"/>
          <w:b/>
          <w:bCs/>
          <w:iCs/>
        </w:rPr>
        <w:t xml:space="preserve">Technologickým zařízením </w:t>
      </w:r>
      <w:r w:rsidRPr="00D57EDE">
        <w:rPr>
          <w:rFonts w:ascii="Arial" w:hAnsi="Arial" w:cs="Arial"/>
          <w:iCs/>
        </w:rPr>
        <w:t>soubor strojních zařízení</w:t>
      </w:r>
      <w:r w:rsidRPr="00D57EDE">
        <w:rPr>
          <w:rFonts w:ascii="Arial" w:hAnsi="Arial" w:cs="Arial"/>
          <w:bCs/>
          <w:iCs/>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cs="Arial"/>
          <w:iCs/>
        </w:rPr>
      </w:pPr>
      <w:r w:rsidRPr="00D57EDE">
        <w:rPr>
          <w:rFonts w:ascii="Arial" w:hAnsi="Arial" w:cs="Arial"/>
          <w:b/>
          <w:iCs/>
        </w:rPr>
        <w:t xml:space="preserve">Zhotovitelem </w:t>
      </w:r>
      <w:r w:rsidRPr="00D57EDE">
        <w:rPr>
          <w:rFonts w:ascii="Arial" w:hAnsi="Arial" w:cs="Arial"/>
          <w:iCs/>
        </w:rPr>
        <w:t>osoba označená v záhlaví smlouvy o dílo jako zhotovitel.</w:t>
      </w:r>
    </w:p>
    <w:p w:rsidR="00A66AF3" w:rsidRPr="00D57EDE" w:rsidRDefault="00A66AF3" w:rsidP="00A66AF3">
      <w:pPr>
        <w:ind w:left="1260"/>
        <w:jc w:val="both"/>
        <w:rPr>
          <w:rFonts w:ascii="Arial" w:hAnsi="Arial" w:cs="Arial"/>
          <w:b/>
          <w:iCs/>
        </w:rPr>
      </w:pPr>
    </w:p>
    <w:p w:rsidR="00A66AF3" w:rsidRPr="00D57EDE" w:rsidRDefault="00A66AF3" w:rsidP="00A66AF3">
      <w:pPr>
        <w:ind w:left="1260"/>
        <w:jc w:val="both"/>
        <w:rPr>
          <w:rFonts w:ascii="Arial" w:hAnsi="Arial" w:cs="Arial"/>
          <w:b/>
          <w:iCs/>
          <w:sz w:val="22"/>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VZÁJEMNÝ STYK objednatele a zhotovitele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Vzájemný styk mezi objednatelem a zhotovitelem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Písemnosti touto smlouvou předpokládané (např. změny odpovědných osob, návrh na změny smlouvy, odstoupení od smlouvy, různé výzvy k plnění či placení) budou druhé smluvní straně zasílány: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písemně a předávány osobně (proti potvrzení), poslány doporučenou poštou nebo kurýrem (proti potvrzení), případně elektronickou poštou,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doručeny, zaslány nebo přeneseny na adresu druhé smluvní strany uvedenou ve smlouvě. Pokud některá ze smluvních stran oznámí změnu své adresy, budou písemnosti od obdržení této změny doručovány na tuto novou adresu,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bCs/>
          <w:iCs/>
        </w:rPr>
        <w:t xml:space="preserve">pro vzájemnou komunikaci a sdělení týkající se technických záležitostí stavby lze použít i stavební deník.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Vyžaduje-li písemnost po některé ze smluvních stran schválení, potvrzení či souhlas nebo stanovisko, nebude poskytnutí vyžadovaného úkonu bez objektivní příčiny zadržováno nebo zpožďováno</w:t>
      </w:r>
      <w:r w:rsidRPr="00D57EDE">
        <w:t xml:space="preserv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Jakékoliv písemnosti nenazvané Dodatek ke smlouvě, se nepovažují za změnu smlouvy bez ohledu na jejich obsah. </w:t>
      </w:r>
    </w:p>
    <w:p w:rsidR="00A66AF3" w:rsidRPr="00D57EDE" w:rsidRDefault="00A66AF3" w:rsidP="00A66AF3">
      <w:pPr>
        <w:ind w:left="540"/>
        <w:jc w:val="both"/>
        <w:rPr>
          <w:rFonts w:ascii="Arial" w:hAnsi="Arial"/>
          <w:snapToGrid w:val="0"/>
        </w:rPr>
      </w:pPr>
    </w:p>
    <w:p w:rsidR="00A66AF3" w:rsidRPr="00D57EDE" w:rsidRDefault="00A66AF3" w:rsidP="00A66AF3">
      <w:pPr>
        <w:ind w:left="1260"/>
        <w:jc w:val="both"/>
        <w:rPr>
          <w:rFonts w:ascii="Arial" w:hAnsi="Arial" w:cs="Arial"/>
          <w:b/>
          <w:iCs/>
          <w:sz w:val="22"/>
        </w:rPr>
      </w:pPr>
    </w:p>
    <w:p w:rsidR="00A66AF3" w:rsidRPr="00D57EDE" w:rsidRDefault="00A66AF3" w:rsidP="00A66AF3">
      <w:pPr>
        <w:jc w:val="both"/>
        <w:rPr>
          <w:rFonts w:ascii="Arial" w:hAnsi="Arial" w:cs="Arial"/>
          <w:b/>
          <w:iCs/>
          <w:sz w:val="22"/>
          <w:highlight w:val="yellow"/>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Předmět díla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Rozsah předmětu díla</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 xml:space="preserve">Předmětem díla je zhotovení </w:t>
      </w:r>
      <w:r w:rsidRPr="00D57EDE">
        <w:rPr>
          <w:rFonts w:ascii="Arial" w:hAnsi="Arial" w:cs="Arial"/>
        </w:rPr>
        <w:t>stavby nebo provedení stavebních prací (dále také předmět plnění či dílo)</w:t>
      </w:r>
      <w:r w:rsidRPr="00D57EDE">
        <w:rPr>
          <w:rFonts w:ascii="Arial" w:hAnsi="Arial" w:cs="Arial"/>
          <w:b/>
        </w:rPr>
        <w:t>.</w:t>
      </w:r>
      <w:r w:rsidRPr="00D57EDE">
        <w:rPr>
          <w:rFonts w:ascii="Arial" w:hAnsi="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w:t>
      </w:r>
      <w:r w:rsidRPr="00D57EDE">
        <w:rPr>
          <w:rFonts w:ascii="Arial" w:hAnsi="Arial"/>
        </w:rPr>
        <w:lastRenderedPageBreak/>
        <w:t xml:space="preserve">je pro řádné dokončení díla nezbytné (např. zařízení staveniště, bezpečnostní opatření apod.) včetně koordinační a kompletační činnosti celé stavby. </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eastAsia="Batang" w:hAnsi="Arial" w:cs="Arial"/>
        </w:rPr>
        <w:t>Rozsah předmětu plnění (dále také dílo) je vymezen smlouvou.</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Součástí zhotovení stavby je i vyhotovení dokumentace skutečného provedení stavby a je-li to nezbytné nebo požadované (např. pro vklad do Katastru nemovitostí) tak i geodetické zaměření dokončeného díla, případně geometrický plán.</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rPr>
        <w:t>Vedle všech definovaných činností patří do zhotovení stavby i následující práce a činnosti: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vytýčení veškerých inženýrských sítí, odpovědnost za jejich neporušení během výstavby a zpětné protokolární předání jejich správcům,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všech nezbytných průzkumů nutných pro řádné provádění a dokončení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veškeré práce a dodávky související s bezpečnostními opatřeními na ochranu lidí a majetku (zejména chodců a vozidel v místech dotčených stavbou),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ostraha stavby a staveniště, zajištění bezpečnosti práce a ochrany životního prostředí,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projednání a zajištění případného zvláštního užívání komunikací a veřejných ploch včetně úhrady vyměřených poplatků a nájemného,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dopravního značení k dopravním omezením, jejich údržba a přemisťování a následné odstranění,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a provedení všech nutných zkoušek dle ČSN nebo předepsaných projektovou dokumentací (případně jiných norem vztahujících se k prováděnému dílu včetně pořízení protokolů),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atestů a dokladů o požadovaných vlastnostech výrobků ke kolaudaci (i dle zákona č. 22/1997 Sb. – prohlášení o shodě) a revizí veškerých elektrických zařízení s případným odstraněním uvedených závad,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zřízení a odstranění zařízení staveniště včetně napojení na inženýrské sítě,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odvoz (kontejnerová doprava suti) a uložení vybouraných hmot a stavební suti na skládku včetně poplatku za uskladnění v souladu s ustanoveními zákona 185/2001 Sb. - o odpadech a o změně některých dalších zákonů, ve znění pozdějších předpisů,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uvedení všech povrchů dotčených stavbou do původního stavu (komunikace, chodníky, zeleň, příkopy, propustky apod.).</w:t>
      </w:r>
    </w:p>
    <w:p w:rsidR="00A66AF3" w:rsidRPr="00D57EDE" w:rsidRDefault="00A66AF3" w:rsidP="00A66AF3">
      <w:pPr>
        <w:ind w:left="1404"/>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Dokumentace skutečného provedení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Dokumentaci skutečného provedení díla vypracuje zhotovitel jako součást dodávky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Dokumentace skutečného provedení stavby bude předána objednateli ve třech vyhotoveních v grafické (tištěné) podobě </w:t>
      </w:r>
      <w:r w:rsidRPr="00D57EDE">
        <w:rPr>
          <w:rFonts w:ascii="Arial" w:hAnsi="Arial"/>
        </w:rPr>
        <w:t>a jednou v digitální podobě ve formátech pdf a dwg.</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Dokumentace skutečného provedení bude provedena podle následujících zásad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Do projektové dokumentace pro provádění stavby všech stavebních objektů a provozních souborů budou zřetelně vyznačeny všechny změny, k nimž došlo v průběhu zhotovení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Ty části projektové dokumentace pro provádění stavby, u kterých nedošlo k žádným změnám, budou označeny nápisem „beze změn“,</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Každý výkres dokumentace skutečného provedení stavby bude opatřen jménem a příjmením osoby, která změny zakreslila, jejím podpisem a razítkem zhotovitele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U výkresů obsahujících změnu proti projektu pro provádění stavby bude přiložen i doklad, ze kterého bude vyplývat projednání změny s odpovědnou osobou objednatele a její souhlasné stanovisko,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Součástí dokumentace skutečného provedení stavby bude i celková situace včetně přívodů, přípojek, komunikací, podzemních i nadzemních vedení </w:t>
      </w:r>
      <w:r w:rsidRPr="00D57EDE">
        <w:rPr>
          <w:rFonts w:ascii="Arial" w:hAnsi="Arial"/>
          <w:snapToGrid w:val="0"/>
        </w:rPr>
        <w:lastRenderedPageBreak/>
        <w:t>v areálu staveniště s údaji o hloubkách uložení sítí (tato část bude i v digitální podobě),</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cs="Arial"/>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rsidR="00A66AF3" w:rsidRPr="00D57EDE" w:rsidRDefault="00A66AF3" w:rsidP="00A66AF3">
      <w:pPr>
        <w:tabs>
          <w:tab w:val="left" w:pos="1276"/>
        </w:tabs>
        <w:ind w:left="709"/>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Geodetické zaměření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tohoto zaměření jsou: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Geodetické zaměření skutečného provedení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Geometrický plán pro vklad do katastru nemovitostí.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Doklady o vytýčení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U staveb, jejichž zhotovení nezakládá povinnost změny nebo zápisu do Katastru nemovitostí se geometrický plán nevyhotovuje.</w:t>
      </w:r>
    </w:p>
    <w:p w:rsidR="00A66AF3" w:rsidRPr="00D57EDE" w:rsidRDefault="00A66AF3" w:rsidP="00A66AF3">
      <w:pPr>
        <w:ind w:left="360"/>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Předání příslušné dokumentace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předal zhotoviteli příslušnou dokumentaci v rámci zadávacího řízení, na jehož základě je sjednána smlouva. Objednatel specifikuje tuto příslušnou dokumentaci ve smlouvě a je povinen na požádání zhotovitele předat zhotoviteli další 2 vyhotovení této příslušné dokumentace (bez soupisu stavebních prací) nejpozději do 10 dnů ode dne podpisu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příslušnou dokumentací členěna stavba na stavební objekty, inženýrské objekty nebo provozní soubory, je jejich výčet uveden ve smlouvě.</w:t>
      </w:r>
    </w:p>
    <w:p w:rsidR="00A66AF3" w:rsidRPr="00D57EDE" w:rsidRDefault="00A66AF3" w:rsidP="00A66AF3">
      <w:pPr>
        <w:ind w:left="1260"/>
        <w:jc w:val="both"/>
        <w:rPr>
          <w:rFonts w:ascii="Arial" w:hAnsi="Arial"/>
          <w:snapToGrid w:val="0"/>
        </w:rPr>
      </w:pPr>
    </w:p>
    <w:p w:rsidR="00A66AF3" w:rsidRPr="00D57EDE" w:rsidRDefault="00A66AF3" w:rsidP="00A66AF3">
      <w:pPr>
        <w:ind w:left="360"/>
        <w:jc w:val="both"/>
        <w:rPr>
          <w:rFonts w:ascii="Arial" w:hAnsi="Arial"/>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Termíny a LHŮty plnění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Termín zahájení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Termínem zahájení stavebních prací se rozumí den, v němž dojde k protokolárnímu předání a převzetí staveniště mezi objednatelem a zhotovitelem.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stavební práce na díle nezahájí ani ve lhůtě do 14 dnů ode dne, kdy měl práce na díle zahájit, je objednatel oprávněn od této smlouvy odstoupit.</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Lhůta pro dokončení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dokončit veškeré práce či dodávky na díle ve lhůtě stanovené smlouvou.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Lhůta pro dokončení díla je závislá na řádném a včasném splnění součinností objednatele dohodnutých ve smlouvě. Po dobu prodlení objednatele s poskytnutím dohodnutých součinností není zhotovitel v prodlení s plněním závazku. Nedojde-li mezi stranami k jiné dohodě, prodlužuje se lhůta pro dokončení předmětu plnění o dobu shodnou s prodlením objednatele v plnění jeho součinností. O tomto prodloužení lhůty pro dokončení předmětu plnění bude uzavřen písemný dodatek ke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Prodlení zhotovitele proti lhůtě pro dokončení díla delší jak 60 dnů se považuje za podstatné porušení smlouvy, ale pouze v případě, že prodlení zhotovitele nevzniklo z důvodů na straně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Poslední den lhůty pro dokončení předmětu plnění je dnem, ve kterém bude objednatel zhotovitelem písemně vyzván k předání a převzetí řádně dokončeného díla se nazývá termín dokončení.</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Harmonogram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ke smlouvě přiložit i harmonogram provádění prací včetně předpokládaného finančního plnění po jednotlivých měsících, a to nejpozději do 15 dnů </w:t>
      </w:r>
      <w:r w:rsidRPr="00D57EDE">
        <w:rPr>
          <w:rFonts w:ascii="Arial" w:hAnsi="Arial"/>
          <w:snapToGrid w:val="0"/>
        </w:rPr>
        <w:lastRenderedPageBreak/>
        <w:t>ode dne podpisu smlouvy. Byly-li tyto dokumenty zpracovány v zadávacím řízení v rámci nabídky zhotovitele, stávají se součástí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Předmět plnění a jeho jednotlivé součásti budou prováděny v souladu s harmonogramem, který je přílohou a nedílnou součástí smlouvy nebo se jí stane po jeho vyhotovení.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průběžně harmonogram aktualizovat, nejméně 1x za 3 měsíce, a to podle skutečně provedených prací. Aktualizovaný harmonogram předloží zhotovitel na požádání objednateli na kontrolních dnech stavby.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pro změnu sjednaných termínů či lhůt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zjistí, že pro řádné dokončení díla je nezbytné prodloužit lhůtu pro dokončení předmětu plnění, předloží svůj návrh na změnu lhůty pro dokončení díla technickému dozoru objednatele k projednání.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Prodloužení lhůty pro dokončení díla je možné jen v důsledku objektivně nepředvídatelných okolností, které nemají svůj původ v činnosti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případném prodloužení lhůty pro dokončení díla musí být sjednán písemný dodatek ke smlouvě, jinak je neplatné.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Vícepráce či méněpráce, jejichž celkový finanční objem nepřesáhne 10% z hodnoty ceny sjednané dle smlouvy, nemají vliv na délku lhůty pro dokončení díla a předmět plnění bude dokončen ve sjednané lhůtě pro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Běžné klimatické podmínky odpovídající ročnímu období, v němž se stavební práce provádí, nejsou důvodem k prodloužení lhůty pro dokončení díla.</w:t>
      </w:r>
    </w:p>
    <w:p w:rsidR="00A66AF3" w:rsidRPr="00D57EDE" w:rsidRDefault="00A66AF3" w:rsidP="00A66AF3">
      <w:pPr>
        <w:pStyle w:val="Zkladntext"/>
        <w:jc w:val="both"/>
      </w:pPr>
    </w:p>
    <w:p w:rsidR="00A66AF3" w:rsidRPr="00D57EDE" w:rsidRDefault="00A66AF3" w:rsidP="00A66AF3">
      <w:pPr>
        <w:pStyle w:val="Zkladntext"/>
        <w:jc w:val="both"/>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Cena za dílo a podmínky pro změnu sjednané ceny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Výše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Cena za splnění díla je definována ve smlouvě.</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Obsah ceny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Cena za splnění díla je stanovena podle zhotovitelem oceněného položkového rozpočtu, který je zpracován na základě soupisu stavebních prací, dodávek a služeb s výkazem výměr předaného objednatelem zhotoviteli. Pro obsah sjednané ceny je rozhodující soupis stavebních prací, dodávek a služeb s výkazem výměr.</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Sjednaná cena obsahuje veškeré náklady a zisk zhotovitele nezbytné k řádnému a včasnému provedení díla, včetně vedlejších a ostatních nákladů ve smyslu vyhlášky Ministerstva pro místní rozvoj č.  230/2012 Sb. </w:t>
      </w:r>
      <w:r w:rsidRPr="00D57EDE">
        <w:rPr>
          <w:rFonts w:ascii="Arial" w:hAnsi="Arial"/>
        </w:rPr>
        <w:t>Sjednaná cena obsahuje i předpokládané náklady vzniklé vývojem cen v národním hospodářství, a to až do konce lhůty pro dokončení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 před podpisem smlouvy o dílo seznámit se všemi okolnostmi a podmínkami svého plnění, které mohou mít jakýkoliv vliv na cenu za dílo. Veškeré náklady zhotovitele vyplývající z obchodních podmínek a ze smlouvy jsou ve formě ostatních nákladů zahrnuty ve sjednané ceně.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Doklady určující cenu za dílo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je stanovena podle příslušné dokumentace předané objednatelem zhotoviteli. Pro obsah sjednané ceny je rozhodující soupis stavebních prací, dodávek a služeb s výkazem výměr, který byl součástí předané příslušné dokumentace.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je doložena položkovými rozpočty a zhotovitel ručí za to, že tyto položkové rozpočty jsou v úplném souladu se soupisem stavebních prací, dodávek a služeb s výkazem výměr předloženým objednatelem. Položkové rozpočty slouží k prokazování skutečně provedených prací (tj. jako podklad pro měsíční fakturaci) a dále pro stanovení ceny případných víceprací nebo méněprací.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nemá právo domáhat se zvýšení sjednané ceny za dílo z důvodů chyb nebo nedostatků v položkovém rozpočtu, pokud jsou tyto chyby důsledkem nepřesného nebo neúplného ocenění soupisu stavebních prací, dodávek a služeb.</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pro změnu ceny za dílo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Sjednaná cena je cenou nejvýše přípustnou a může být změněna pouze z objektivních a nepředvídatelných důvodů, a to za níže uvedených podmínek.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pokud po podpisu smlouvy a před uplynutím lhůty pro dokončení předmětu plnění dojde ke změnám sazeb DPH nebo ke změně přenesené daňové povinnosti;</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pokud se při provádění předmětu plnění díla vyskytnou skutečnosti, které nebyly v době sjednání smlouvy známé a zhotovitel je nezavinil ani nemohl předvídat a tyto skutečnosti mají prokazatelný vliv na sjednanou cenu.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sjednání změny ceny (Změnový list)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Nastane-li některá z podmínek, za kterých je možná změna sjednané ceny je zhotovitel povinen sestavit změnový list a v něm popsat důvody a okolnosti vedoucí k nutnosti změny sjednané ceny, provést výpočet návrhu změny sjednané ceny a předložit jej objednateli k odsouhlasení.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Změna sjednané ceny je možná pouze v případě, kdy objednatel písemně odsouhlasí změnový list a teprve poté, když proběhnou úkony objednatele stanovené zákonem č.137/2006 Sb., pro změnu sjednané ceny a bude uzavřen příslušný dodatek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k úhradě sjednané ceny použity finanční prostředky poskytnuté objednateli formou dotací (zejména z finančních prostředků Evropské unie), je nezbytnou podmínkou pro změnu sjednané ceny i souhlas s obsahem změnového listu od poskytovatele finančních prostředků.</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Vícepráce a méněpráce a způsob jejich prokazování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stanovit cenu víceprací nebo méněprací nejvýše podle hodnot jednotkových cen uvedených v položkových rozpočtech a pokud vícepráce v položkových rozpočtech obsaženy nejsou pak nejvýše podle cenové soustavy RTS a.s., definované pro to období, ve kterém byly vícepráce zjištěny</w:t>
      </w:r>
      <w:r w:rsidR="00C9030D">
        <w:rPr>
          <w:rFonts w:ascii="Arial" w:hAnsi="Arial"/>
          <w:snapToGrid w:val="0"/>
        </w:rPr>
        <w:t>, sníženými o 15%</w:t>
      </w:r>
      <w:r w:rsidRPr="00D57EDE">
        <w:rPr>
          <w:rFonts w:ascii="Arial" w:hAnsi="Arial"/>
          <w:snapToGrid w:val="0"/>
        </w:rPr>
        <w: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vyjádřit se k návrhu změnového listu nejpozději do 10 dnů ode dne předložení návrhu zhotovitelem. To neplatí, je-li k odsouhlasení změnové listu potřeba souhlasu poskytovatele dotace. V takovém případě je lhůta pro vyjádření objednatele nejméně 30 dnů.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 splnění všech smluvených podmínek pro změnu sjednané ceny dohodnou obě strany změnu sjednané ceny písemně formou dodatku ke smlouvě.</w:t>
      </w:r>
    </w:p>
    <w:p w:rsidR="00A66AF3" w:rsidRPr="00D57EDE" w:rsidRDefault="00A66AF3" w:rsidP="00A66AF3">
      <w:pPr>
        <w:ind w:left="540"/>
        <w:jc w:val="both"/>
        <w:rPr>
          <w:rFonts w:ascii="Arial" w:hAnsi="Arial"/>
          <w:snapToGrid w:val="0"/>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Platební podmínky</w:t>
      </w:r>
    </w:p>
    <w:p w:rsidR="00A66AF3" w:rsidRPr="00D57EDE" w:rsidRDefault="00A66AF3" w:rsidP="00A66AF3">
      <w:pPr>
        <w:ind w:left="360"/>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Zálohy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neposkytne zhotoviteli zálohu.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Postup plateb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Cena za dílo bude hrazena průběžně na základě daňových dokladů (dále jen „faktur“) vystavených zhotovitelem 1x měsíčně, přičemž datem zdanitelného plnění je poslední kalendářní den příslušného měsíce.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předloží objednateli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soupisem souhlasí) a po odsouhlasení objednatelem vystaví zhotovitel fakturu nejpozději do 15 dne příslušného měsíce. Nedílnou součástí faktury musí být soupis provedených prací. Bez tohoto soupisu je faktura neúplná.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Nedojde-li mezi oběma stranami k dohodě při odsouhlasení množství nebo druhu provedených prací je zhotovitel oprávněn fakturovat pouze ty práce a dodávky, u kterých nedošlo k rozporu. Pokud bude faktura zhotovitele obsahovat i práce, které </w:t>
      </w:r>
      <w:r w:rsidRPr="00D57EDE">
        <w:rPr>
          <w:rFonts w:ascii="Arial" w:hAnsi="Arial"/>
          <w:snapToGrid w:val="0"/>
        </w:rPr>
        <w:lastRenderedPageBreak/>
        <w:t>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Práce a dodávky, u kterých nedošlo k dohodě o jejich provedení nebo u kterých nedošlo k dohodě o provedeném množství, projednají zhotovitel s objednatelem v samostatném řízení, ze kterého pořídí zápis s uvedením důvodů obou stran. Dále se postupuje tak, jak je popsáno v řešení sporů.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Měsíční fakturací bude uhrazena cena díla až do výše 90% z celkové sjednané ceny.  Faktury budou hrazeny v plné výši, dokud v součtu nedosáhnou 90% celkové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Ostatní a vedlejší náklady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sjednané ceny jsou i ostatní a vedlejší náklady, které vyjadřují náklady na činnosti, které v mnoha případech probíhají v průběhu celé stavby. Pro zjednodušení administrativního postupu je stanoveno, že tato část ceny bude zhotovitelem fakturována průběžně v termínech sjednaných pro fakturaci stavebních prací, a to podle finanční hodnoty provedených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započetím fakturace zhotovitel stanoví poměr ostatních a vedlejších nákladů k součtu celkových nákladů za provedení stavebních objektů, inženýrských objektů a provozních souborů (na 5 desetinných míst) a tímto poměrem shodně vypočte i podíl ostatních a vedlejších nákladů náležející k hodnotě fakturovaných provedených stavebních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Ostatní a vedlejší náklady budou fakturovány na téže faktuře jako provedené stavební práce. </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Zádržné (pozastávka)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Částka rovnající se 10% z celkové sjednané ceny slouží jako zádržné, které bude uhrazeno objednatelem zhotoviteli po protokolárním předání a převzetí díla bez vad a nedodělků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objednatel převezme dílo, na němž se vyskytují vady či nedodělky nebránící užívání díla, bude zádržné uhrazeno až po odstranění posledního z nich.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Zádržné bude uhrazeno objednatelem zhotoviteli na základě daňového dokladu vystaveného zhotovitelem, v němž bude uvedeno, že se jedná o konečnou fakturu.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může nahradit zádržné finanční zárukou  ve shodné výši, která musí být objednateli předložena zhotovitelem před předáním a převzetím díla nebo nejpozději v den předání a převzetí. Po předložení odpovídající finanční záruky vzniká zhotoviteli právo vystavit konečnou fakturu a zádržné bude objednatelem uhrazeno neprodleně, nejpozději však do 30 ti dnů ode dne odeslání konečné faktury.</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Lhůty splatnosti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uhradit fakturu zhotovitele nejpozději do 30 dnů ode dne následujícího po dni odeslání faktury. </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Platby za Vícepráce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díle vyskytnou vícepráce, s jejichž provedením objednatel souhlasí, musí být jejich cena fakturována samostatně.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Faktura za vícepráce musí kromě jiných, výše uvedených náležitostí faktury obsahovat i odkaz na dokument, kterým byly vícepráce sjednány a odsouhlaseny.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Náležitosti daňových dokladů (faktur)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Faktura musí mít náležitosti daňového dokladu podle zákona o DPH.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Sazba DPH a výše DPH, popřípadě povinnosti, spojené s přenesenou daňovou povinností, budou sjednány formou dodatku ke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předmětem plnění práce, na které se nevztahuje přenesená daňová povinnost dle zákona o DPH, zhotovitel prohlašuje, že: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nemá v úmyslu nezaplatit daň z přidané hodnoty u zdanitelného plnění podle smlouvy,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mu nejsou známy skutečnosti, nasvědčující tomu, že se dostane  do postavení, kdy nemůže daň zaplatit a ani se ke dni podpisu této smlouvy v takovém postavení nenachází,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nezkrátí daň nebo nevyláká daňovou výhodu.</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Termín splnění povinnosti zaplatit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Peněžitý závazek (dluh) objednatele se považuje za splněný v den, kdy je dlužná částka připsána na účet zhotovitele.</w:t>
      </w: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4"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smluvní pokuty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neplnění dohodnutých termínů či lhůt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bude zhotovitel v prodlení proti sjednané lhůtě pro dokončení díla je povinen zaplatit objednateli smluvní pokutu ve výši 0,15% ze sjednané ceny, a to za každý i započatý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prodlení zhotovitele proti lhůtě pro dokončení díla přesáhne 30 kalendářních dnů, je zhotovitel povinen zaplatit objednateli ještě další smluvní pokutu ve výši 0,05% ze sjednané ceny, a to za třicátý první a každý další i započatý den prodlení.</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neodstranění vad a nedodělků zjištěných při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nenastoupí do pěti dnů od termínu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neodstraní nedodělky či vady uvedené v zápise o předání a převzetí díla v dohodnutém termínu (viz protokol o předání a převzetí) zaplatí objednateli smluvní  pokutu 2.000,- Kč za každý nedodělek či vadu, u nichž je v prodlení a za každý den prodlení.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neodstraní reklamovanou vadu ve sjednaném termínu, je povinen zaplatit objednateli smluvní pokutu 2.000,- Kč za každou reklamovanou vadu, u níž je v prodlení a za každý den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Označil-li objednatel v reklamaci, že se jedná o vadu, která brání řádnému užívání díla, případně hrozí nebezpečí škody velkého rozsahu (havárie), sjednávají obě smluvní strany smluvní pokuty v dvojnásobné výši.</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nevyklizení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nevyklidí staveniště v termínu stanoveném touto smlouvou, příp. v termínu sjednaném dohodou smluvních stran, je povinen zaplatit objednateli smluvní pokutu 5.000,- Kč za každý i započatý den prodlení.</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Úrok z prodlení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 xml:space="preserve">Pokud bude objednatel v prodlení s úhradou faktury proti sjednanému termínu je povinen zaplatit zhotoviteli úrok z prodlení ve výši 0,05% z dlužné částky za každý i započatý den prodlení. </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Smluvní pokuta za nepředání seznamu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bude zhotovitel v prodlení s předáním seznamu subdodavatelů objednateli proti sjednané lhůtě je povinen zaplatit objednateli jednorázovou smluvní pokutu ve výši 50.000,- Kč a dále smluvní pokutu ve výši 1.000,- Kč za každý i započatý den prodlení.  Pokud v důsledku nesplnění této povinnosti zhotovitelem bude objednateli vyměřena sankce či objednateli vzniknou jiné náklady či škoda, je zhotovitel povinen ji v plné výši uhradit objednateli.</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vyúčtování smluvní pokuty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strana povinná s vyúčtováním smluvní pokuty či úroku z prodlení je povinna písemně ve sjednané lhůtě sdělit oprávněné straně důvody, pro které vyúčtování smluvní pokuty či úroku z prodlení neuznává.</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Lhůta splatnosti smluvních pokut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Strana povinná je povinna uhradit vyúčtované smluvní pokuty či úrok z prodlení nejpozději do 14 dnů od dne obdržení příslušného vyúčtování.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Ostatní náležitosti vztahující se k smluvním pokutám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Zaplacením smluvní pokuty není dotčen nárok objednatele na náhradu škody způsobené mu porušením povinnosti zhotovitele, na niž se smluvní pokuta vztahuje.</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Staveniště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Předání a převzetí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předat zhotoviteli staveniště (nebo jeho ucelenou část) prosté práv třetí osoby nejpozději do deseti dnů po dni oboustranného podpisu smlouvy o dílo, pokud se strany písemně ve smlouvě nedohodnou jinak. Splnění termínu předání staveniště je podstatnou náležitostí smlouvy, na níž je závislé splnění lhůty pro dokončení předmětu 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předání a převzetí staveniště vyhotoví objednatel písemný protokol, který obě strany podepíší. Za den předání staveniště se považuje den, kdy dojde k oboustrannému podpisu příslušného protokolu.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Stávající podzemní inženýrské sítě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předat zhotoviteli veškeré dostupné podklady o trasách stávajících známých inženýrských sítí na staveništi a přilehlých pozemcích dotčených prováděním díla včetně případných zákresů.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lastRenderedPageBreak/>
        <w:t>Publicita stavby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úhradě díla podílí veřejné prostředky, zejména pak finanční prostředky ze zdrojů Evropské unie je zhotoviteli povinen v prostorách staveniště vybudovat a umístit prvky publicity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prvky publicity umístit v prostorách staveniště bezprostředně po termínu zahájení stavebních prací, nejpozději však do 2 dnů ode dne předání a převzetí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Prvkem publicity se rozumí velkoplošný informační panel (billboard, o rozměru stanoveném podmínkami poskytovatele dotace), na němž budou uvedeny i povinné údaje podle podmínek poskytovatele finančních prostředků (dotace).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objednatelem.</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Vybudování a provoz zařízení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Zařízení staveniště vybuduje v rozsahu nezbytném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Jako součást zařízení staveniště zajistí zhotovitel i rozvod potřebných médií na staveništi a jejich připojení na odběrná místa určená objednatelem.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samostatná měřící místa na úhradu jím spotřebovaných energií a tyto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Energie spotřebované provozem zařízení staveniště hradí objednateli zhotovitel a má je zahrnuty ve sjednané ceně.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 rámci objektů zařízení staveniště poskytnout osobám vykonávajícím funkci technického dozoru odpovídající provozní prostory a zařízení nezbytné pro výkon jejich funkce při kontrole provádění předmětu plnění. Není-li smlouvou či příslušnou dokumentací stanoveno něco jiného, pak se za odpovídající provozní prostory a zařízení považuje samostatná kancelář vybavená běžným skříňovým nábytkem, stoly a židlemi a s umyvadlem a dostatečným osvětlením a vytápěním.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umožnit osobám vykonávajícím funkci technického dozoru používání sociálních zařízení, které zhotovitel vybudoval v rámci zařízení staveniště.</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Užívání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užívat staveniště pouze pro účely související s prováděním předmětu plnění a při užívání staveniště je povinen dodržovat veškeré právní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cs="Arial"/>
          <w:bCs/>
          <w:iCs/>
        </w:rPr>
        <w:t xml:space="preserve">Zhotovitel je povinen vypracovat pro staveniště </w:t>
      </w:r>
      <w:r w:rsidRPr="00D57EDE">
        <w:rPr>
          <w:rFonts w:ascii="Arial" w:hAnsi="Arial" w:cs="Arial"/>
          <w:iCs/>
        </w:rPr>
        <w:t>požární řád, poplachové směrnice stavby a provozně dopravní řád stavby</w:t>
      </w:r>
      <w:r w:rsidRPr="00D57EDE">
        <w:rPr>
          <w:rFonts w:ascii="Arial" w:hAnsi="Arial" w:cs="Arial"/>
          <w:bCs/>
          <w:iCs/>
        </w:rPr>
        <w:t xml:space="preserve"> a je povinen je viditelně na staveništi umístit.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udržovat na staveništi pořádek.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zajistí střežení staveniště a v případě potřeby i jeho oplocení nebo jiné vhodné zabezpečení.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není oprávněn, pokud se strany nedohodnou jinak, využívat staveniště k ubytování nebo nocování osob.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w:t>
      </w:r>
      <w:r w:rsidRPr="00D57EDE">
        <w:rPr>
          <w:rFonts w:ascii="Arial" w:hAnsi="Arial"/>
          <w:snapToGrid w:val="0"/>
        </w:rPr>
        <w:lastRenderedPageBreak/>
        <w:t>identifikační tabuli udržovat v aktuálním stavu. Jiné reklamy či identifikační tabule (např. subdodavatelů) lze na staveništi umístit pouze se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cs="Arial"/>
          <w:iCs/>
        </w:rPr>
        <w:t>Za provoz na staveništi odpovídá zhotovitel.</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užívání veřejných prostranství a komunikací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Veškerá potřebná povolení k užívání veřejných ploch, případně rozkopávkám, objízdným trasám nebo překopům veřejných ploch či komunikací zajišťuje zhotovitel a nese veškeré případné poplatky.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bezpečný vstup a vjezd na staveniště a stejně tak i výstup a výjezd z něj.</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bezpečnosti a hygieny a ochrany životního prostředí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na staveništi veškerá bezpečnostní opatření a hygienická opatření a požární ochranu staveniště i prováděného díla, a to v rozsahu a způsobem stanoveným příslušnými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staveniště hasícími prostředky.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vypracovat pro staveniště požární řád, poplachové směrnice stavby a provozně dopravní řád stavby a je povinen je viditelně na staveništi umístit.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bezpečný vstup a vjezd na staveniště a stejně tak i výstup a výjezd. Za provoz na staveništi odpovídá zhotovitel.</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Vyklizení staveniště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odstranit zařízení staveniště a vyklidit staveniště nejpozději do 15 dnů ode dne termínu předání a převzetí díla, pokud se strany nedohodnou jinak (zejména jde-li o ponechání zařízení, nutných pro zabezpečení odstranění vad a nedodělků ve smyslu protokolu o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rsidR="00A66AF3" w:rsidRPr="00D57EDE" w:rsidRDefault="00A66AF3" w:rsidP="00A66AF3">
      <w:pPr>
        <w:pStyle w:val="Zkladntext"/>
        <w:spacing w:line="240" w:lineRule="atLeast"/>
        <w:jc w:val="both"/>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Stavební deník</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Povinnost vést stavební deník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vést ode dne předání a převzetí staveniště o pracích, které provádí, stavební deník.</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Stavební deník musí být v pracovní dny od 7.00 do 17.00 hod. přístupný oprávněným osobám objednatele, případně jiným osobám oprávněným do stavebního deníku zapisovat.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do stavebního deníku se provádí v originále a dvou kopiích. Originál stavebního deníku je zhotovitel povinen předat objednateli po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První kopii obdrží osoba vykonávající funkci technického dozoru objednatele a druhou kopii obdrží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Povinnost vést stavební deník končí nabytím právní moci kolaudačního souhlasu. V případě výskytu kolaudačních vad nebo jiných podmínek kolaudačního souhlasu končí povinnost vést stavební deník až dnem jejich úplného odstranění nebo splnění.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Povinnost archivovat stavební deník po dobu nejméně 10 let ode dne nabytí právní moci kolaudačního souhlasu má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 stavebního deníku je zhotovitel povinen zapisovat veškeré skutečnosti rozhodné pro provádění díla. Zejména je povinen zapisovat údaje podle přílohy č. 5 k vyhlášce 499/2006 Sb.</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Všechny listy stavebního deníku musí být očíslovány.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 stavebním deníku nesmí být vynechána volná místa.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V případě neočekávaných událostí nebo okolností majících zvláštní význam pro další postup stavby pořizuje zhotovitel i příslušnou fotodokumentaci, která se stane součástí stavebního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vedení a zápisu do stavebního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do stavebního deníku provádí zhotovitel formou denních záznamů. Veškeré okolnosti rozhodné pro plnění díla musí být učiněny zhotovitelem v ten den, kdy nastaly.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zhotovitel se zápisem, který učinil do stavebního deníku objednatel nebo jím pověřená osoba vykonávající funkci technického dozoru, případně osoba vykonávající funkci autorského dozoru nebo funkci koordinátora BOZP, musí k tomuto zápisu připojit svoje stanovisko nejpozději do pěti pracovních dnů, jinak se má za to, že se zápisem souhlasí.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případě, že všechny zúčastněné osoby jsou vlastníky elektronického podpisu, lze stavební deník vést elektronickou formou.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Závaznost ujednání ve stavebním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Zápisy ve stavebním deníku se nepovažují za změnu smlouvy, ale slouží jako podklad pro vypracování příslušných dodatků ke smlouvě.</w:t>
      </w:r>
    </w:p>
    <w:p w:rsidR="00A66AF3" w:rsidRPr="00D57EDE" w:rsidRDefault="00A66AF3" w:rsidP="00A66AF3">
      <w:pPr>
        <w:pStyle w:val="Zkladntext"/>
        <w:spacing w:line="240" w:lineRule="atLeast"/>
        <w:jc w:val="both"/>
      </w:pPr>
    </w:p>
    <w:p w:rsidR="00A66AF3" w:rsidRPr="00D57EDE" w:rsidRDefault="00A66AF3" w:rsidP="00A66AF3">
      <w:pPr>
        <w:jc w:val="both"/>
        <w:rPr>
          <w:rFonts w:ascii="Arial" w:hAnsi="Arial"/>
          <w:snapToGrid w:val="0"/>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kontrola a Kontrolní dny</w:t>
      </w:r>
    </w:p>
    <w:p w:rsidR="00A66AF3" w:rsidRPr="00D57EDE" w:rsidRDefault="00A66AF3" w:rsidP="00A66AF3">
      <w:pPr>
        <w:pStyle w:val="Zkladntext"/>
        <w:spacing w:line="240" w:lineRule="atLeast"/>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Kontrola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kontrolovat provádění díla sám nebo prostřednictvím technického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Kontrolní dny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 účely kontroly průběhu provádění díla organizuje objednatel kontrolní dny v termínech nezbytných pro řádné provádění kontroly. Objednatel je povinen oznámit konání kontrolního dne písemně a nejméně pět dnů před jeho konáním, pokud se na termínu kontrolního dne nedohodly zúčastněné strany na předchozím jednání.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Kontrolních dnů jsou povinni se zúčastnit zástupci objednatele včetně osob vykonávajících funkci technického dozoru a případně i autorského dozoru, koordinátora BOZP a zástupci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Vedením kontrolních dnů je pověřen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pořizuje z kontrolního dne zápis o jednání, který předá nejpozději do tří pracovních dnů ode dne konání kontrolního dne všem zúčastněným.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zapsat datum konání kontrolního dne a jeho závěry do stavebního deníku.</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Četnost kontrolních dnů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Kontrolní den se uskuteční nejméně 1x v kalendářním měsíci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má právo stanovit i vyšší četnost kontrolních dnů, pokud to vyžadují okolnosti stavby, zejména prodlení v plnění zhotovitele, technologické návaznosti </w:t>
      </w:r>
      <w:r w:rsidRPr="00D57EDE">
        <w:rPr>
          <w:rFonts w:ascii="Arial" w:hAnsi="Arial"/>
          <w:snapToGrid w:val="0"/>
        </w:rPr>
        <w:lastRenderedPageBreak/>
        <w:t>v provádění apod.. Pokud objednatel rozhodne o častějším konání kontrolních dnů, je zhotovitel povinen na tuto četnost přistoupit.</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Kontrola zakrytých prací a konstrukcí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vyzvat objednatele ke kontrole a prověření prací či konstrukcí, které budou dalším postupem stavebních prací zakryty nebo se stanou nepřístupnými. Zhotovitel je povinen vyzvat objednatele nejméně pět dnů před termínem, v němž budou předmětné práce zakryty (postačí zápis ve stavebním deníku).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objednatel ke kontrole přes včasné písemné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Kontrola čerpání veřejných prostředků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osobou povinnou spolupůsobit při výkonu finanční kontroly v souladu s § 2e) zákona č. 320/2001 Sb., o finanční kontrole.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Jsou-li pro úhradu díla použity finanční prostředky Evropské unie je zhotovitel povinen uchovávat veškeré doklady související s realizací díla a jeho financováním (způsobem dle zákona 563/1991 Sb., o účetnictví, v platném znění) po dobu nejméně 10 let ode dne poslední platby za 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A66AF3" w:rsidRPr="00D57EDE" w:rsidRDefault="00A66AF3" w:rsidP="00A66AF3">
      <w:pPr>
        <w:jc w:val="both"/>
        <w:rPr>
          <w:rFonts w:ascii="Arial" w:hAnsi="Arial"/>
          <w:snapToGrid w:val="0"/>
        </w:rPr>
      </w:pPr>
    </w:p>
    <w:p w:rsidR="00A66AF3" w:rsidRPr="00D57EDE" w:rsidRDefault="00A66AF3" w:rsidP="00A66AF3">
      <w:pPr>
        <w:jc w:val="both"/>
        <w:rPr>
          <w:rFonts w:ascii="Arial" w:hAnsi="Arial"/>
          <w:snapToGrid w:val="0"/>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technický dozor objednatele</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Technický dozor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pro kontrolu díla ustanovit odpovědnou osobu, které jeho jménem jedná a vydává pokyny směřující k řádnému a včasnému dokončení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Osoba, kterou takto objednatel ustanoví, se nazývá technický dozor.</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Identifikace osoby, která vykonává technický dozor je uvedena ve smlouvě nebo v zápise ve stavebním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Oprávnění technického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jedná jménem objednatele a jeho rozhodnutí či pokyny vůči zhotoviteli či jiným účastníkům výstavby se chápou tak, jako by je učinil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není oprávněn schvalovat změnu smlouvy ani jejich částí. Pokud mají rozhodnutí technického dozoru vliv na termíny plnění či sjednanou cenu nebo jsou dle mínění zhotovitele nevhodné, je zhotovitel o těchto skutečnost povinen neprodleně informovat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kontroluje zejména věcnou, časovou, finanční a kvalitativní stránku provádění stavby a zúčastňuje se jako zástupce objednatele všech kontrol na prováděném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Technický dozor je oprávněn nařídit zastavení prací, pokud se podle jeho názoru neprovádí dílo v souladu se smlouvou nebo obchodními podmínkami, popřípadě hrozí-li </w:t>
      </w:r>
      <w:r w:rsidRPr="00D57EDE">
        <w:rPr>
          <w:rFonts w:ascii="Arial" w:hAnsi="Arial"/>
          <w:snapToGrid w:val="0"/>
        </w:rPr>
        <w:lastRenderedPageBreak/>
        <w:t>objednateli z provádění nebezpečí škody, či nejsou-li plněny jakékoliv kvalitativní parametry stavby.</w:t>
      </w:r>
    </w:p>
    <w:p w:rsidR="00A66AF3" w:rsidRPr="00D57EDE" w:rsidRDefault="00A66AF3" w:rsidP="00A66AF3">
      <w:pPr>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Omezení činnosti technického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Technický dozor na stavbě nesmí provádět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Osoba vykonávající Technický dozor na stavbě nesmí být propojená ve smyslu </w:t>
      </w:r>
      <w:r w:rsidRPr="00D57EDE">
        <w:rPr>
          <w:rFonts w:ascii="Arial" w:hAnsi="Arial" w:cs="Arial"/>
        </w:rPr>
        <w:t>§ 71 a násl. zák. č. 90/2012 Sb., o obchodních korporacích se zhotovitelem ani s žádným ze subdodavatelů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zjistí, že technický dozor provádí sám zhotovitel nebo osoba s ním propojená, je povinen tuto skutečnost oznámit neprodleně objednateli.  V takovém případě objednatel sjedná nápravu ustanovením jiného technického dozoru.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Pokud zhotovitel zjistí, že technický dozor provádí osoba propojená s některým ze subdodavatelů zhotovitele, je povinen tuto skutečnost oznámit neprodleně objednateli.  V takovém případě zhotovitel sjedná okamžitou nápravu zabezpečením jiného subdodavatele. Pro předcházení takovému stavu je zhotovitel povinen před uzavřením smlouvy se svým subdodavatelem tuto skutečnost ověřit. </w:t>
      </w:r>
    </w:p>
    <w:p w:rsidR="00A66AF3" w:rsidRPr="00D57EDE" w:rsidRDefault="00A66AF3" w:rsidP="00A66AF3">
      <w:pPr>
        <w:ind w:left="540"/>
        <w:jc w:val="both"/>
        <w:rPr>
          <w:rFonts w:ascii="Arial" w:hAnsi="Arial"/>
          <w:snapToGrid w:val="0"/>
        </w:rPr>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koordinátor bezpečnosti práce</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Koordinátor bezpečnosti práce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Osoba, kterou takto objednatel ustanoví, se nazývá koordinátor bezpečnosti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Identifikace osoby, která je pro výkon funkce koordinátora bezpečnosti práce ustanovena, je uvedena ve smlouvě nebo v zápise ve stavebním deníku.</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Oprávnění koordinátora bezpečnosti práce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jedná jménem objednatele a jeho rozhodnutí či pokyny vůči zhotoviteli či jiným účastníkům výstavby se chápou tak, jako by je učinil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provádět kontrolu stavebních prací a případných dalších činností zhotovitele či jeho subdodavatelů z hlediska provádění v souladu s předpisy týkajícími se bezpečnosti a ochrany zdraví při práci a dále kontrolovat, zda zhotovitel či jeho subdodavatelů dodržují veškeré právní předpisy týkající se bezpečnosti a ochrany zdraví při práci.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Koordinátor bezpečnosti práce má právo upozornit zhotovitele na nedostatky v uplatňování požadavků na bezpečnost a ochranu zdraví při práci zjištěné na staveništi a vyžadovat zjednání nápravy;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stanovit přiměřená opatření k nápravě a vyžadovat jejich splnění,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není oprávněn schvalovat změnu smlouvy ani jejich částí. Pokud mají rozhodnutí koordinátora bezpečnosti práce vliv na termíny plnění či sjednanou cenu nebo jsou dle mínění zhotovitele nevhodné, je zhotovitel o těchto skutečnost povinen neprodleně informovat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se zúčastňuje jako zástupce objednatele všech kontrol na prováděném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Koordinátor bezpečnosti práce je oprávněn provádět další činnosti, pokud mu je stanoví právní předpis.</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Povinnosti Zhotovitele ve vztahu ke koordinátorovi bezpečnosti práce </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t>Zhotovitel je povinen se před zahájením stavebních prací seznámit s plánem bezpečnosti práce,</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t>Zhotovitel je povinen nejpozději do 8 dnů před zahájením prací na staveništi informovat koordinátora o rizicích vznikajících při pracovních nebo technologických postupech, které zvolil,</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snapToGrid w:val="0"/>
        </w:rPr>
        <w:lastRenderedPageBreak/>
        <w:t xml:space="preserve">Zhotovitel je povinen </w:t>
      </w:r>
      <w:r w:rsidRPr="00D57EDE">
        <w:rPr>
          <w:rFonts w:ascii="Arial" w:hAnsi="Arial" w:cs="Arial"/>
        </w:rPr>
        <w:t>poskytovat koordinátorovi bezpečnosti práce součinnost potřebnou pro plnění jeho úkolů po celou dobu svého zapojení do přípravy a provádění stavby, zejména mu včas předávat informace a podklady potřebné pro zhotovení plánu bezpečnosti a jeho změny.</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rPr>
        <w:t>Zhotovitel je povinen vzít v úvahu podněty a pokyny koordinátora bezpečnosti práce.</w:t>
      </w:r>
    </w:p>
    <w:p w:rsidR="00A66AF3" w:rsidRPr="00D57EDE" w:rsidRDefault="00A66AF3" w:rsidP="00A66AF3"/>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Provádění díla a bezpečnost práce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Pokyny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66AF3" w:rsidRPr="00D57EDE" w:rsidRDefault="00A66AF3" w:rsidP="00A66AF3">
      <w:pPr>
        <w:tabs>
          <w:tab w:val="num" w:pos="1855"/>
        </w:tabs>
        <w:ind w:left="540"/>
        <w:jc w:val="both"/>
        <w:rPr>
          <w:rFonts w:ascii="Arial" w:hAnsi="Arial"/>
          <w:snapToGrid w:val="0"/>
        </w:rPr>
      </w:pP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Použité materiály a výrobky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Věci, které jsou potřebné k provedení díla je povinen opatřit zhotovitel, pokud ve smlouvě není výslovně uvedeno, že některé věci opatří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doloží na vyzvání objednatele, nejpozději však v termínu předání a převzetí díla soubor certifikátů rozhodujících materiálů užitých ke zhotovení stavby.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bezpečnosti a hygieny práce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provedení vstupního školení o bezpečnosti a ochraně zdraví při práci a o požární ochraně i u svých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v plné míře zodpovídá za bezpečnost a ochranu zdraví všech osob, které se s jeho vědomím zdržují na staveništi a je povinen zabezpečit jejich vybavení ochrannými pracovními pomůckami.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subdodavatele.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Jestliže se při provádění stavby vyskytují na staveništi nebo v místě provádění stavebních prací rizikové faktory, je zhotovitel povinen pravidelně, a dále bez zbytečného odkladu vždy, pokud dojde ke změně podmínek práce, měřením zjišťovat a kontrolovat jejich hodnoty a zabezpečit,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w:t>
      </w:r>
      <w:r w:rsidRPr="00D57EDE">
        <w:rPr>
          <w:rFonts w:ascii="Arial" w:hAnsi="Arial"/>
          <w:snapToGrid w:val="0"/>
        </w:rPr>
        <w:lastRenderedPageBreak/>
        <w:t>(například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provádět v průběhu provádění díla vlastní dozor a soustavnou kontrolu nad bezpečností práce a požární ochranou na staveništi.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pravidelně kontrolovat stav sousedících objektů a ploch a pravidelně dokumentovat jejich stav, zda nejsou dotčeny vlivem zhotovování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to, že všichni jeho zaměstnanci byli podrobeni vstupní lékařské prohlídce a že jsou zdravotně způsobilí k práci na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zásad ochrany životního prostředí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vést evidenci o všech druzích odpadů vzniklých z jeho činnosti a vést evidenci o způsobu jejich zneškodňování.</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Dodržování podmínek rozhodnutí dotčených orgánů a organizací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Kvalifikace pracovníků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Veškeré odborné práce musí vykonávat pracovníci zhotovitele nebo jeho subdodavatelů mající příslušnou kvalifikaci. Doklad o kvalifikaci pracovníků je zhotovitel na požádání objednatele povinen doložit.</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Odpovědnost Zhotovitele za škodu a povinnost nahradit škodu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i za škodu způsobenou činností těch, kteří pro něj dílo provádějí.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škodu způsobenou okolnostmi, které mají původ v povaze strojů, přístrojů nebo jiných věcí, které zhotovitel použil nebo hodlal použít při provádění díla.</w:t>
      </w:r>
    </w:p>
    <w:p w:rsidR="00A66AF3" w:rsidRPr="00D57EDE" w:rsidRDefault="00A66AF3" w:rsidP="00A66AF3">
      <w:pPr>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Archeologické nálezy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Subdodavatelé (podzhotovitelé)</w:t>
      </w:r>
    </w:p>
    <w:p w:rsidR="00A66AF3" w:rsidRPr="00D57EDE" w:rsidRDefault="00A66AF3" w:rsidP="00A66AF3">
      <w:pPr>
        <w:ind w:left="708"/>
        <w:jc w:val="both"/>
        <w:rPr>
          <w:rFonts w:ascii="Arial" w:hAnsi="Arial"/>
          <w:highlight w:val="yellow"/>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Podmínky, za kterých je možné pověřit realizací díla jinou osobu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Pověřit prováděním části předmětu plnění subdodavatele je zhotovitel oprávněn pouze v případech, kdy takové subdodavatele definoval ve své nabídce v rámci zadávacího řízení. V ostatních případech je zhotovitel oprávněn pověřit provedením části předmětu plnění subdodavatele jen se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činnost svých subdodavatelů tak, jako by dílo prováděl sám.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zabezpečit ve svých subdodavatelských smlouvách splnění všech povinností vyplývajících zhotoviteli ze smlouvy o dílo, a to přiměřeně k povaze a rozsahu jejich subdodávky.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Požádá-li o to objednatel, je zhotovitel povinen poskytnout objednateli údaje o všech svých subdodavatelích, kteří se provádění předmětu plnění podílejí nebo podíleli.</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Změna subdodavatele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Změna subdodavatele, jehož prostřednictvím zhotovitel prokazoval v zadávacím řízení kvalifikaci, je možná pouze po předchozím schválení ze strany objednatele, a to za předpokladu, že nový subdodavatel prokáže před uzavřením smlouvy mezi zhotovitelem a subdodavatelem kvalifikaci v  rozsahu minimálně shodném s rozsahem, kterým kvalifikaci prokazoval původní subdodavatel.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schválení nového subdodavatele při splnění všech smluvených podmínek bez závažného důvodu neodepře.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má právo odmítnout plnění části předmětu plnění subdodavatelem v případech, kdy zhotovitelem uvažovaný subdodavatel prokazatelně v minulosti poskytl objednateli vadné plnění.</w:t>
      </w:r>
    </w:p>
    <w:p w:rsidR="00A66AF3" w:rsidRPr="00D57EDE" w:rsidRDefault="00A66AF3" w:rsidP="00A66AF3">
      <w:pPr>
        <w:pStyle w:val="Zkladntext"/>
        <w:spacing w:line="240" w:lineRule="atLeast"/>
        <w:ind w:left="1056"/>
        <w:jc w:val="both"/>
        <w:rPr>
          <w:rFonts w:ascii="Arial" w:hAnsi="Arial" w:cs="Arial"/>
          <w:highlight w:val="cyan"/>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Seznam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předat objednateli seznam svých subdodavatelů, ve kterém uvede ty subdodavatele, jímž za plnění jejich subdodávky uhradil více než 10% z celkové sjednané ceny. Zhotovitel předloží objednateli tento seznam subdodavatelů nejpozději do 60 dnů od splnění smlouvy. Má-li subdodavatel formu akciové společnosti, je povinností zhotovitele zabezpečit, aby přílohou seznamu subdodavatelů byl i seznam vlastníků akcií, jejichž souhrnná jmenovitá hodnota přesahuje 10% základního kapitálu, vyhotovený ve lhůtě nejdéle 90 dnů před dnem předložení seznamu subdodavatelů.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Seznam subdodavatelů musí obsahovat identifikační údaje subdodavatele (Obchodní firmu, sídlo, IČ) a popis prací či dodávek, které subdodavatel prováděl.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Seznam musí být předán v písemné podobě a v rovněž i v elektronické podobě ve formátu *.pdf.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Porušením povinnosti předat objednateli seznam subdodavatelů se zhotovitel dopouští správního deliktu podle § 120a odst. 1 písm. c) zákona č.137/2006 Sb. o veřejných zakázkách, ve znění pozdějších předpisů.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Vzhledem k tomu, že na včasném předání seznamu subdodavatelů je závislé splnění dalších povinností objednatele, je tato povinnost zajištěna smluvní pokutou.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Věcné omezení prací prováděných subdodavatelsky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má právo ve smlouvě stanovit, že některé druhy prací nebo dodávek nesmí být prováděny subdodavatelem, pokud si takové právo vyhradil v zadávacích podmínkách, na jejichž základě zhotovitel podal svoji nabídku.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objednatel tohoto svého práva využije, je zhotovitel povinen provádět takto stanovené práce nebo dodávky prostřednictvím osob, které jsou vůči němu v pracovněprávním vztahu.</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Kontroly, zkoušky a revize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Kontrolní a zkušební plán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 zahájením prací předložit objednateli kontrolní a zkušební plán zpracovaný na podmínky prováděného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Veškeré zkoušky a kontroly musí vykazovat kladný výsledek, jinak se má za to, že dílo není prováděno v souladu se smlouvou.</w:t>
      </w:r>
    </w:p>
    <w:p w:rsidR="00A66AF3" w:rsidRPr="00D57EDE" w:rsidRDefault="00A66AF3" w:rsidP="00A66AF3">
      <w:pPr>
        <w:ind w:left="141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Individuální vyzkoušení</w:t>
      </w:r>
    </w:p>
    <w:p w:rsidR="00A66AF3" w:rsidRPr="00D57EDE" w:rsidRDefault="00A66AF3" w:rsidP="00A66AF3">
      <w:pPr>
        <w:numPr>
          <w:ilvl w:val="2"/>
          <w:numId w:val="1"/>
        </w:numPr>
        <w:tabs>
          <w:tab w:val="num" w:pos="1260"/>
        </w:tabs>
        <w:suppressAutoHyphens w:val="0"/>
        <w:ind w:left="1260"/>
        <w:jc w:val="both"/>
        <w:rPr>
          <w:rFonts w:ascii="Arial" w:hAnsi="Arial" w:cs="Arial"/>
          <w:snapToGrid w:val="0"/>
        </w:rPr>
      </w:pPr>
      <w:r w:rsidRPr="00D57EDE">
        <w:rPr>
          <w:rFonts w:ascii="Arial" w:hAnsi="Arial" w:cs="Arial"/>
        </w:rPr>
        <w:t xml:space="preserve">Individuálním vyzkoušením se rozumí provedení vyzkoušení jednotlivých elementů (např. ventilátory,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k individuálnímu vyzkoušení každého elementu přizvat objednatele, který má právo se kteréhokoliv individuálního vyzkoušení zúčastnit.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individuálního vyzkoušení je rovněž předání návodu k údržbě a obsluze zkoušeného elementu v českém jazyce a vyžaduje-li to povaha elementu, tak i zaškolení obsluhy.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individuálního vyzkoušení hradí zhotovitel a jsou součástí sjednané ceny.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datu provedení a výsledku individuálního vyzkoušení provede zhotovitel zápis ve stavebním deníku.</w:t>
      </w:r>
    </w:p>
    <w:p w:rsidR="00A66AF3" w:rsidRPr="00D57EDE" w:rsidRDefault="00A66AF3" w:rsidP="00A66AF3">
      <w:pPr>
        <w:ind w:left="708"/>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Komplexní vyzkoušení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předmětem plnění dle smlouvy i dodávka skupiny strojů či zařízení, které plní samy o sobě nebo ve spojení s jinými určitou technologickou funkci, je povinností zhotovitele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Komplexní vyzkoušení musí proběhnout po dobu nejméně 72 hodin.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zahájením komplexního vyzkoušení je zhotovitel povinen vypracovat protokol, který projedná s objednatelem a v němž budou definována kritéria pro posuzování úspěšnosti komplexního vyzkoušení.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ke komplexnímu vyzkoušení strojů a zařízení přizvat objednatele. O výsledku komplexního vyzkoušení pořizuje zhotovitel protokol, který předá objednateli v rámci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provozu zajišťuje zhotovitel. Objednatel má právo přizvat ke zkušebnímu provozu i vlastní odborné pracovníky.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komplexního vyzkoušení hradí s výjimkou surovin, provozních materiálů, energií a mezd pracovníků objednatele zhotovitel. Případná produkce získaná komplexním vyzkoušením náleží objednateli.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komplexního vyzkoušení je rovněž předání návodu k údržbě a obsluze zkoušeného strojů a zařízení v českém jazyce a vyžaduje-li to povaha stroje nebo zařízení, tak i zaškolení obsluhy.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Komplexní vyzkoušení se považuje za úspěšné, pokud po celou dobu zkoušení nebyla shledána žádná vada. V opačném případě komplexní zkoušení pokračuje až do doby dosažení bezvadného stavu.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Kladný výsledek komplexního vyzkoušení je podstatnou podmínkou zahájení zkušebního provozu.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hradí veškeré náklady komplexního vyzkoušení tehdy, pokud nebylo úspěšné z příčin na jeho straně.</w:t>
      </w:r>
    </w:p>
    <w:p w:rsidR="00A66AF3" w:rsidRPr="00D57EDE" w:rsidRDefault="00A66AF3" w:rsidP="00A66AF3">
      <w:pPr>
        <w:ind w:left="708"/>
        <w:jc w:val="both"/>
        <w:rPr>
          <w:rFonts w:ascii="Arial" w:hAnsi="Arial"/>
          <w:b/>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bookmarkStart w:id="2" w:name="_Toc152988819"/>
      <w:r w:rsidRPr="00D57EDE">
        <w:rPr>
          <w:rFonts w:ascii="Arial" w:hAnsi="Arial"/>
          <w:u w:val="single"/>
        </w:rPr>
        <w:t>Zkušební provoz</w:t>
      </w:r>
      <w:bookmarkEnd w:id="2"/>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Zkušební provoz technologického zařízení provádí objednatel na převzatém díle po úspěšném komplexním vyzkoušení zhotovitelem a za součinnosti zhotovitele. Zkušebním provozem se prověřuje, zda zařízení je za předpokládaných provozních a </w:t>
      </w:r>
      <w:r w:rsidRPr="00D57EDE">
        <w:rPr>
          <w:rFonts w:ascii="Arial" w:hAnsi="Arial"/>
          <w:snapToGrid w:val="0"/>
        </w:rPr>
        <w:lastRenderedPageBreak/>
        <w:t xml:space="preserve">výrobních podmínek schopno dosahovat výkonů (parametrů) v kvalitě a množství stanovených v příslušné dokumentaci.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 zahájením zkušebního provozu sjednají smluvní strany dobu zahájení a délku zkušebního provozu (není-li stanovena smlouvou), jakož i kritéria výsledného hodnocení, podmínky, rozsah a technicky nutnou dobu účasti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zkušební provoz v dohodnuté lhůtě neprokáže splnění v projektové dokumentaci stanovených parametrů, smluvní strany sjednají jeho prodloužení. Náklady prodlouženého zkušebního provozu hradí zhotovitel, pokud byl zkušební provoz neúspěšný z příčin ležících na jeho straně.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před zahájením zkušebního provozu předat objednateli provozní řád na zkušební provoz.</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Energie a provozní náplně pro zkušební provoz zajišťuje a hradí objednatel.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Součástí zkušebního provozu je i zaškolení obsluhy objednatele.</w:t>
      </w:r>
    </w:p>
    <w:p w:rsidR="00A66AF3" w:rsidRPr="00D57EDE" w:rsidRDefault="00A66AF3" w:rsidP="00A66AF3">
      <w:pPr>
        <w:tabs>
          <w:tab w:val="num" w:pos="1855"/>
        </w:tabs>
        <w:ind w:left="1260"/>
        <w:jc w:val="both"/>
        <w:rPr>
          <w:rFonts w:ascii="Arial" w:hAnsi="Arial"/>
          <w:snapToGrid w:val="0"/>
        </w:rPr>
      </w:pPr>
    </w:p>
    <w:p w:rsidR="00A66AF3" w:rsidRPr="00D57EDE" w:rsidRDefault="00A66AF3" w:rsidP="00A66AF3">
      <w:pPr>
        <w:ind w:left="708"/>
        <w:jc w:val="both"/>
        <w:rPr>
          <w:rFonts w:ascii="Arial" w:hAnsi="Arial"/>
          <w:b/>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 xml:space="preserve">Předání a převzetí díla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Organizace předání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prvním jednání obě strany dohodnou organizační záležitosti předávacího a přejímacího řízení.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Místem předání a převzetí díla je místo, kde se dílo provádělo.</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k předání a převzetí díla přizvat osoby vykonávající funkci technického a případně i autorského dozoru.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přizvat k předání a převzetí díla i jiné osoby, jejichž účast pokládá za nezbytnou (např. budoucího uživatele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k předání a převzetí díla přizvat na požádání objednatele i své subdodavatele.</w:t>
      </w:r>
    </w:p>
    <w:p w:rsidR="00A66AF3" w:rsidRPr="00D57EDE" w:rsidRDefault="00A66AF3" w:rsidP="00A66AF3">
      <w:pPr>
        <w:pStyle w:val="Zkladntext"/>
        <w:spacing w:line="240" w:lineRule="atLeast"/>
        <w:ind w:left="1056"/>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Protokol o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průběhu předávacího a přejímacího řízení pořídí objednatel zápis (protokol).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Povinným obsahem protokolu jsou:</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údaje o zhotoviteli a objednateli</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popis díla, které je předmětem předání a převzetí</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dohoda o způsobu a termínu vyklizení staveniště</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termín, od kterého počíná běžet záruční lhůta</w:t>
      </w:r>
    </w:p>
    <w:p w:rsidR="00A66AF3" w:rsidRPr="00D57EDE" w:rsidRDefault="00A66AF3" w:rsidP="00A66AF3">
      <w:pPr>
        <w:numPr>
          <w:ilvl w:val="3"/>
          <w:numId w:val="1"/>
        </w:numPr>
        <w:tabs>
          <w:tab w:val="clear" w:pos="2484"/>
          <w:tab w:val="num" w:pos="2340"/>
        </w:tabs>
        <w:suppressAutoHyphens w:val="0"/>
        <w:ind w:hanging="1224"/>
        <w:jc w:val="both"/>
        <w:rPr>
          <w:rFonts w:ascii="Arial" w:hAnsi="Arial"/>
          <w:snapToGrid w:val="0"/>
        </w:rPr>
      </w:pPr>
      <w:r w:rsidRPr="00D57EDE">
        <w:rPr>
          <w:rFonts w:ascii="Arial" w:hAnsi="Arial"/>
          <w:snapToGrid w:val="0"/>
        </w:rPr>
        <w:t xml:space="preserve">prohlášení objednatele, zda dílo přejímá nebo nepřejímá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Obsahuje-li dílo, které je předmětem předání a převzetí vady nebo nedodělky, musí protokol obsahovat i:</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soupis zjištěných vad a nedodělků</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dohodu o způsobu a termínech jejich odstranění, popřípadě o jiném způsobu narovnání</w:t>
      </w:r>
    </w:p>
    <w:p w:rsidR="00A66AF3" w:rsidRPr="00D57EDE" w:rsidRDefault="00A66AF3" w:rsidP="00A66AF3">
      <w:pPr>
        <w:numPr>
          <w:ilvl w:val="3"/>
          <w:numId w:val="1"/>
        </w:numPr>
        <w:tabs>
          <w:tab w:val="clear" w:pos="2484"/>
          <w:tab w:val="num" w:pos="2340"/>
        </w:tabs>
        <w:suppressAutoHyphens w:val="0"/>
        <w:ind w:left="2340"/>
        <w:jc w:val="both"/>
        <w:rPr>
          <w:rFonts w:ascii="Arial" w:hAnsi="Arial"/>
          <w:snapToGrid w:val="0"/>
        </w:rPr>
      </w:pPr>
      <w:r w:rsidRPr="00D57EDE">
        <w:rPr>
          <w:rFonts w:ascii="Arial" w:hAnsi="Arial"/>
          <w:snapToGrid w:val="0"/>
        </w:rPr>
        <w:t>dohodu o zpřístupnění díla nebo jeho částí zhotoviteli za účelem odstranění vad nebo nedodělků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případě, že objednatel odmítá dílo převzít, uvede v protokolu o předání a převzetí díla i důvody, pro které odmítá dílo převzít.</w:t>
      </w:r>
    </w:p>
    <w:p w:rsidR="00A66AF3" w:rsidRPr="00D57EDE" w:rsidRDefault="00A66AF3" w:rsidP="00A66AF3">
      <w:pPr>
        <w:pStyle w:val="Zkladntext"/>
        <w:spacing w:line="240" w:lineRule="atLeast"/>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Vady a nedodělky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w:t>
      </w:r>
      <w:r w:rsidR="00C9030D">
        <w:rPr>
          <w:rFonts w:ascii="Arial" w:hAnsi="Arial"/>
          <w:snapToGrid w:val="0"/>
        </w:rPr>
        <w:t>může, dohodne-li se tak se zhotovitelem,</w:t>
      </w:r>
      <w:r w:rsidRPr="00D57EDE">
        <w:rPr>
          <w:rFonts w:ascii="Arial" w:hAnsi="Arial"/>
          <w:snapToGrid w:val="0"/>
        </w:rPr>
        <w:t xml:space="preserve"> převzít i dílo, které vykazuje drobné vady a nedodělky, které samy o sobě, ani ve spojení s jinými nebrání řádnému užívání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 protokolu o předání a převzetí uvede objednatel soupis těchto vad a nedodělků včetně způsobu a termínu jejich odstranění.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Nedojde-li mezi oběma stranami k dohodě o termínu odstranění vad a nedodělků, pak platí, že vady a nedodělky musí být odstraněny nejpozději do 30 dnů ode dne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 xml:space="preserve">Zhotovitel je povinen ve stanovené lhůtě odstranit vady nebo nedodělky i v případě, kdy podle jeho názoru za vady a nedodělky neodpovídá. Náklady na odstranění v těchto sporných případech nese až do rozhodnutí soudu zhotovitel. </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Doklady nezbytné k předání a převzetí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připravit a doložit u předávacího a přejímacího řízení zejména tyto doklady: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tři vyhotovení dokumentace skutečného provedení stavby a jedno vyhotovení v digitální podobě ve formátech pdf a dwg;</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osvědčení o provedených zkouškách použitých materiálů;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předepsaných měření (např., radon, CO apod.);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o vyzkoušení smontovaného zařízení, o provedených revizních a provozních zkouškách (např. tlakové zkoušky, revize elektroinstalace, plynu, tlakové nádoby, komíny apod.);</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zápisy a výsledky o prověření prací a konstrukcí zakrytých v průběhu prací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seznam strojů a zařízení, které jsou součástí díla, jejich pasporty, záruční listy, návody k obsluze a údržbě v českém jazyce</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stavební deník (případně deníky) a deník(y) víceprací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geodetické zaměření skutečného provedení díla v požadovaném rozsahu a počtu vyhotovení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geometrický plán pro vklad do Katastru nemovitostí v požadovaném rozsahu a počtu vyhotovení, pokud zhotovení díla zakládá povinnost změny nebo zápisu do Katastru nemovitostí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Nedoloží-li zhotovitel požadované doklady, nepovažuje se dílo za dokončené a schopné předání.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připravit a doložit u předávacího a přejímacího řízení zejména tyto doklady: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územní rozhodnutí;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stavební povolení včetně dokladu o jeho nabytí právní moci a včetně všech případných změn a doplňků</w:t>
      </w:r>
    </w:p>
    <w:p w:rsidR="00A66AF3" w:rsidRPr="00D57EDE" w:rsidRDefault="00A66AF3" w:rsidP="00A66AF3">
      <w:pPr>
        <w:ind w:left="1260"/>
        <w:jc w:val="both"/>
        <w:rPr>
          <w:rFonts w:ascii="Arial" w:hAnsi="Arial"/>
          <w:snapToGrid w:val="0"/>
        </w:rPr>
      </w:pPr>
      <w:r w:rsidRPr="00D57EDE">
        <w:rPr>
          <w:rFonts w:ascii="Arial" w:hAnsi="Arial"/>
          <w:snapToGrid w:val="0"/>
        </w:rPr>
        <w:t>Tyto doklady slouží při předání a převzetí díla ke kontrole, zda byly splněny podmínky v nich obsažené.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Publicita dokončené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se na úhradě díla podílí veřejné prostředky, zejména pak finanční prostředky ze zdrojů Evropské unie je zhotoviteli povinen po dokončení vybudovat a umístit prvky publicity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umístit v prostorách stavby na viditelném místě stálou informační tabuli nejpozději v den předání a převzetí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Stálá informační tabule (trvalá pamětní deska) musí mít rozměr dle podmínek poskytovatele dotace. Pamětní deska musí být z</w:t>
      </w:r>
      <w:r w:rsidRPr="00D57EDE">
        <w:rPr>
          <w:rFonts w:ascii="Arial" w:hAnsi="Arial" w:hint="eastAsia"/>
          <w:snapToGrid w:val="0"/>
        </w:rPr>
        <w:t> </w:t>
      </w:r>
      <w:r w:rsidRPr="00D57EDE">
        <w:rPr>
          <w:rFonts w:ascii="Arial" w:hAnsi="Arial"/>
          <w:snapToGrid w:val="0"/>
        </w:rPr>
        <w:t>leštěného kamene, pokud se smluvní strany nedohodnou jinak, a musí obsahovat všechny údaje podle podmínek stanovených poskytovatelem dotace, které objednatel předá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 pamětní desce musí být uveden název stavby. Povinné informace musí zabírat nejméně 25 % plochy pamětní desky. Vše musí být provedeno v čitelné a viditelné formě tak, aby nebyl narušen charakter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Konečnou podobu pamětní desky musí zhotovitel v předstihu nejméně 15 dní před termínem předání a převzetí předložit objednateli k odsouhlasení.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Pamětní deska musí být umístěna na místech přístupných široké veřejnosti (např. v blízkosti příjezdové komunikace, na vstupu do budovy apod.). Konkrétní umístění a konkrétní obsah pamětní desky projedná zhotovitel s objednatelem.</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lastRenderedPageBreak/>
        <w:t>Kolaudace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se zúčastnit kolaudačního řízení, pokud jej přizve stavební úřad. V případě, že se zhotovitel přes řádné pozvání nedostaví, nese veškeré náklady na opakované kolaudační řízení.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poskytnout objednateli pro účely kolaudačního řízení nezbytnou součinnost, zejména dodat včas doklady nezbytné pro řádnou kolaudaci stavby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zaslat bez zbytečného odkladu zhotoviteli kopii kolaudačního souhlasu pokud jsou v něm stanoveny povinnosti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splnit svoje povinnosti, vyplývající z kolaudačního souhlasu ve lhůtě tam stanovené, a nebyla-li lhůta stanovena tak nejpozději do třiceti dnů ode dne doručení kopie kolaudačního souhlasu.</w:t>
      </w:r>
    </w:p>
    <w:p w:rsidR="00A66AF3" w:rsidRPr="00D57EDE" w:rsidRDefault="00A66AF3" w:rsidP="00A66AF3">
      <w:pPr>
        <w:jc w:val="both"/>
        <w:rPr>
          <w:rFonts w:ascii="Arial" w:hAnsi="Arial"/>
          <w:snapToGrid w:val="0"/>
        </w:rPr>
      </w:pPr>
    </w:p>
    <w:p w:rsidR="00A66AF3" w:rsidRPr="00D57EDE" w:rsidRDefault="00A66AF3" w:rsidP="00A66AF3">
      <w:pPr>
        <w:jc w:val="both"/>
        <w:rPr>
          <w:rFonts w:ascii="Arial" w:hAnsi="Arial"/>
          <w:snapToGrid w:val="0"/>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Záruka za jakost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Odpovědnost za vady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odpovídá za vady, jež má dílo v době jeho předání a dále odpovídá za vady díla zjištěné v záruční době.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neodpovídá za vady díla, které byly způsobeny objednatelem nebo vyšší mocí.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odpovídá za kvalitu provedených prací či dodávek jak vlastními pracovníky, tak i za kvalitu prací prováděných jeho subdodavateli.</w:t>
      </w:r>
    </w:p>
    <w:p w:rsidR="00A66AF3" w:rsidRPr="00D57EDE" w:rsidRDefault="00A66AF3" w:rsidP="00A66AF3">
      <w:pPr>
        <w:pStyle w:val="Zkladntext"/>
        <w:spacing w:line="240" w:lineRule="atLeast"/>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Délka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Záruční lhůta je pro celé dílo sjednána v délce </w:t>
      </w:r>
      <w:r w:rsidR="00C92E58">
        <w:rPr>
          <w:rFonts w:ascii="Arial" w:hAnsi="Arial"/>
          <w:snapToGrid w:val="0"/>
          <w:highlight w:val="yellow"/>
        </w:rPr>
        <w:t>……….</w:t>
      </w:r>
      <w:r w:rsidR="00066D11" w:rsidRPr="00C92E58">
        <w:rPr>
          <w:rFonts w:ascii="Arial" w:hAnsi="Arial"/>
          <w:snapToGrid w:val="0"/>
          <w:highlight w:val="yellow"/>
        </w:rPr>
        <w:t xml:space="preserve"> </w:t>
      </w:r>
      <w:r w:rsidRPr="00C92E58">
        <w:rPr>
          <w:rFonts w:ascii="Arial" w:hAnsi="Arial"/>
          <w:snapToGrid w:val="0"/>
          <w:highlight w:val="yellow"/>
        </w:rPr>
        <w:t>měsíců.</w:t>
      </w:r>
      <w:r w:rsidRPr="00D57EDE">
        <w:rPr>
          <w:rFonts w:ascii="Arial" w:hAnsi="Arial"/>
          <w:snapToGrid w:val="0"/>
        </w:rPr>
        <w:t xml:space="preserv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Záruční doba počíná běžet dnem oboustranného podpisu protokolu o předání a převzetí díla, pokud v tomto protokolu objednatel neodmítl dílo převzít.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Záruční lhůta neběží po dobu, po kterou objednatel nemohl předmět díla užívat pro vady díla, za které zhotovitel odpovídá.</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 dobu opravy těch částí díla, které byly v důsledku oprávněné reklamace objednatele zhotovitelem opravovány, neběží záruční lhůta. Záruční lhůta v těchto případech běží pak dále ode dne následujícího po řádném dokončení reklamační opravy.</w:t>
      </w:r>
    </w:p>
    <w:p w:rsidR="00A66AF3" w:rsidRPr="00D57EDE" w:rsidRDefault="00A66AF3" w:rsidP="00A66AF3">
      <w:pPr>
        <w:pStyle w:val="Zkladntext"/>
        <w:spacing w:line="240" w:lineRule="atLeast"/>
        <w:ind w:left="1056"/>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Výjimky ze záruky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bookmarkStart w:id="3" w:name="OLE_LINK2"/>
      <w:r w:rsidRPr="00D57EDE">
        <w:rPr>
          <w:rFonts w:ascii="Arial" w:hAnsi="Arial"/>
          <w:snapToGrid w:val="0"/>
        </w:rPr>
        <w:t>Záruční lhůta pro dodávky strojů a zařízení, na něž výrobce těchto zařízení vystavuje samostatný záruční list, se sjednává v délce lhůty poskytnuté výrobcem, nejméně však v délce 24 měsíců.</w:t>
      </w:r>
      <w:bookmarkEnd w:id="3"/>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uplatnění reklamace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Objednatel je povinen vady písemně reklamovat u zhotovitele bez zbytečného odkladu po jejich zjištění. Oznámení (reklamaci) odešle na adresu zhotovitele uvedenou ve smlouvě. V reklamaci musí být vady popsány nebo uvedeno jak se projevují. Dále v reklamaci objednatel uvede, jakým způsobem požaduje sjednat nápravu.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Právo objednatele vyplývající ze záruky zaniká, pokud objednatel neoznámí vady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je zjistí,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je měl zjistit při vynaložení odborné péče při prohlídce při předání a převzetí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bez zbytečného odkladu poté, kdy mohly být zjištěny později při vynaložení odborné péče nejpozději však do konce záruční doby.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Reklamaci lze uplatnit nejpozději do posledního dne záruční lhůty, přičemž i reklamace odeslaná objednatelem v poslední den záruční lhůty se považuje za včas uplatněnou.</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lastRenderedPageBreak/>
        <w:t>Podmínky 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nejpozději do 10ti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nastoupit neprodleně k odstranění reklamované vady, nejpozději však do 15ti dnů po obdržení reklamace, a to i v případě, že reklamaci neuznává. Náklady na odstranění reklamované vady nese zhotovitel i ve sporných případech až do rozhodnutí soudu.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Nenastoupí-li zhotovitel k odstranění reklamované vady ani do 20ti dnů po obdržení reklamace objednatele je objednatel oprávněn pověřit odstraněním vady jinou odbornou právnickou nebo fyzickou osobu. Veškeré takto vzniklé náklady uhradí objednateli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Jestliže objednatel v reklamaci výslovně uvede, že se jedná o havárii, je zhotovitel povinen nastoupit a zahájit odstraňování vady (havárie) nejpozději do 48 hod po obdržení reklamace (oznámení).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umožnit pracovníkům zhotovitele přístup do prostor nezbytných pro odstranění vady. Pokud tak neučiní, není zhotovitel v prodlení s termínem nastoupení na odstranění vady ani s termínem pro odstranění vady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Lhůty pro odstranění reklamovaných vad</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 odstranění reklamované vady sepíše objednatel protokol, ve kterém potvrdí odstranění vady nebo uvede důvody, pro které odmítá opravu převzít.</w:t>
      </w:r>
    </w:p>
    <w:p w:rsidR="00A66AF3" w:rsidRPr="00D57EDE" w:rsidRDefault="00A66AF3" w:rsidP="00A66AF3">
      <w:pPr>
        <w:pStyle w:val="Zkladntextodsazen2"/>
        <w:jc w:val="both"/>
      </w:pPr>
    </w:p>
    <w:p w:rsidR="00A66AF3" w:rsidRPr="00D57EDE" w:rsidRDefault="00A66AF3" w:rsidP="00A66AF3">
      <w:pPr>
        <w:pStyle w:val="Zkladntextodsazen2"/>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Vlastnictví díla a nebezpečí škody na díle</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Vlastnictví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Vlastníkem zhotovovaného díla je od počátku objednatel. </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Nebezpečí škody na díle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Nebezpečí škody ve smyslu ustanovení § 2624 zák. č. 89/2012 Sb., občanský zákoník (dále jen obč. zák), nese od počátku zhotovitel, a to až do doby řádného předání a převzetí díla mezi zhotovitelem a objednatelem.</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Zajištění závazků Zhotovitele</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Zajištění závazků zhotovitele po dobu realizace díla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lastRenderedPageBreak/>
        <w:t>Pokud smlouva stanoví, že zhotovitel předá objednateli finanční záruku za řádné provedení předmětu plnění ve smyslu ustanovení § 2029 a následujících obč. zák. bude její výše sjednána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Finanční záruka poskytnutá zhotovitelem musí být platná po dobu provádění díla.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 finanční záruky, poskytnuté zhotovitelem musí vyplývat právo objednatele čerpat finanční prostředky v případě, že během provádění díla nesplní zhotovitel své povinnosti vyplývající ze smlouvy nebo v případě, kdy objednateli vznikne ze smlouvy nárok na smluvní pokutu. Pokud tomu tak není, neodpovídá finanční záruka podmínkám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záruku předloží zhotovitel objednateli v originále listiny nejpozději do 30 kalendářních dnů ode dne podpisu smlouvy. 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za řádné provedení díla bude zhotoviteli vrácena (uvolněna) do 30 dnů ode dne protokolárního předání a převzetí díla.</w:t>
      </w:r>
    </w:p>
    <w:p w:rsidR="00A66AF3" w:rsidRPr="00D57EDE" w:rsidRDefault="00A66AF3" w:rsidP="00A66AF3">
      <w:pPr>
        <w:ind w:left="540"/>
        <w:jc w:val="both"/>
        <w:rPr>
          <w:rFonts w:ascii="Arial" w:hAnsi="Arial"/>
          <w:snapToGrid w:val="0"/>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Zajištění závazků zhotovitele po dobu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smlouva stanoví, že zhotovitel předá objednateli finanční záruku ve smyslu ustanovení § 2029 a násl. obč. zák. za řádné plnění záručních podmínek. Výše finanční záruky bude sjednána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poskytnutá zhotovitelem musí být platná po celou dobu sjednané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 finanční záruky poskytnuté zhotovitelem musí vyplývat právo objednatele čerpat finanční prostředky v případě, že během sjednané záruční lhůty zhotovitel neodstraní případné reklamované vady zjištěné objednatelem nebo v případě, kdy objednateli vznikne neplněním záručních podmínek či jiných smluvních povinností zhotovitelem nárok na smluvní pokutu. Pokud tomu tak není, neodpovídá finanční záruka podmínkám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záruku předloží zhotovitel objednateli v originále listiny nejpozději do 30 kalendářních dnů ode dne oboustranného podpisu protokolu o předání a převzetí díla. 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Finanční záruka za řádné plnění záručních podmínek bude zhotoviteli vrácena (uvolněna) do 30 dnů ode dne uplynutí záruční lhůty.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Finační záruku k zajištění závazků zhotovitele vyplývajících z poskytnuté záruky za jakost, může zhotovitel postupně, vždy po uplynutí 12 kalendářních měsíců ze záruční lhůty, nahrazovat novou bankovní zárukou, sníženou o jednu její pětinu v případě, kdy je sjednána záruční doba 60 měsíců (při jiné délce záruční lhůty se snížení výše finanční záruky upraví podle počtu let sjednané záruční lhůty). </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Pojištění díla</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Pojištění zhotovitele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povinen být po celou dobu plnění pojištěn proti škodám způsobeným jeho činností včetně možných škod pracovníků zhotovitele, a to do výše stanovené ve smlouvě.</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Pojištění odpovědnosti za škodu z výkonu podnikatelské činnosti musí pokrývat škody na věcech (vzniklé poškozením, zničením nebo pohřešováním) a na zdraví (úrazem nebo nemocí):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způsobené provozní činností zhotovitele,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způsobené vadným výrobkem,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 xml:space="preserve">vzniklé v souvislosti s poskytovanými pracemi, dodávkami a službami,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lastRenderedPageBreak/>
        <w:t xml:space="preserve">vzniklé v souvislosti s vlastnictvím nemovitosti, </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vzniklé na věcech zaměstnanců.</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Výše pojistné hodnoty je definována smlouvou. Pokud smlouva výši pojistné hodnoty nedefinuje má se na mysli minimální hodnota odpovídající 20% nové ceny, tedy hodnoty díla po jeho úplném dokončení. </w:t>
      </w:r>
    </w:p>
    <w:p w:rsidR="00A66AF3" w:rsidRPr="00D57EDE" w:rsidRDefault="00A66AF3" w:rsidP="00A66AF3">
      <w:pPr>
        <w:ind w:left="1056"/>
        <w:jc w:val="both"/>
        <w:rPr>
          <w:rFonts w:ascii="Arial" w:hAnsi="Arial"/>
        </w:rPr>
      </w:pP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Pojištění díla</w:t>
      </w:r>
    </w:p>
    <w:p w:rsidR="00A66AF3" w:rsidRPr="00D57EDE" w:rsidRDefault="00A66AF3" w:rsidP="00A66AF3">
      <w:pPr>
        <w:numPr>
          <w:ilvl w:val="2"/>
          <w:numId w:val="1"/>
        </w:numPr>
        <w:tabs>
          <w:tab w:val="num" w:pos="1260"/>
        </w:tabs>
        <w:suppressAutoHyphens w:val="0"/>
        <w:ind w:left="1260"/>
        <w:jc w:val="both"/>
        <w:rPr>
          <w:rFonts w:ascii="Arial" w:hAnsi="Arial"/>
        </w:rPr>
      </w:pPr>
      <w:r w:rsidRPr="00D57EDE">
        <w:rPr>
          <w:rFonts w:ascii="Arial" w:hAnsi="Arial"/>
          <w:snapToGrid w:val="0"/>
        </w:rPr>
        <w:t>Zhotovitel je povinen před zahájením prací pojistit dílo proti škodám</w:t>
      </w:r>
      <w:r w:rsidRPr="00D57EDE">
        <w:rPr>
          <w:rFonts w:ascii="Arial" w:hAnsi="Arial"/>
        </w:rPr>
        <w:t xml:space="preserve">, které </w:t>
      </w:r>
      <w:r w:rsidRPr="00D57EDE">
        <w:rPr>
          <w:rFonts w:ascii="Arial" w:hAnsi="Arial"/>
          <w:bCs/>
        </w:rPr>
        <w:t>mohou vzniknout v průběhu zhotovování stavby: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požárem, výbuchem, přímým úderem blesku, nárazem nebo zřícením letadla, jeho části nebo jeho nákladu,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záplavou, povodní, vichřicí, krupobitím, sesouváním půdy, zřícením skal nebo zemin, sesouváním nebo zřícením sněhových lavin, tíhou sněhu nebo námrazy,</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pádem pojištěné věci, nárazem,</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pádem stromů, stožárů a jiných předmětů,</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vodou vytékající z vodovodních zařízení,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z w:val="22"/>
        </w:rPr>
      </w:pPr>
      <w:r w:rsidRPr="00D57EDE">
        <w:rPr>
          <w:rFonts w:ascii="Arial" w:hAnsi="Arial"/>
          <w:snapToGrid w:val="0"/>
        </w:rPr>
        <w:t>neodborným zacházením, nesprávnou obsluhou, úmyslným poškozením, nešikovností, nepozorností a nedbalostí</w:t>
      </w:r>
      <w:r w:rsidRPr="00D57EDE">
        <w:rPr>
          <w:rFonts w:ascii="Arial" w:hAnsi="Arial" w:cs="Arial"/>
          <w:sz w:val="22"/>
          <w:szCs w:val="16"/>
        </w:rPr>
        <w:t>,</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rPr>
      </w:pPr>
      <w:r w:rsidRPr="00D57EDE">
        <w:rPr>
          <w:rFonts w:ascii="Arial" w:hAnsi="Arial" w:cs="Arial"/>
        </w:rPr>
        <w:t>krádeží.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Výše pojistné hodnoty je definována smlouvou. Pokud smlouva výši pojistné hodnoty nedefinuje, má se na mysli jeho nová cena, tedy hodnota díla po jeho úplném dokončení.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Pojištění zaměstnanců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být po celou dobu provádění díla pojištěn pro případ své odpovědnosti za škodu při pracovním úrazu nebo nemoci z povolání svých zaměstnanců.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Pojištění subdodavatelů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Zhotovitel je povinen zabezpečit před zahájením subdodavatelských prací, aby shodné povinnosti související s pojištěním splnili i jeho subdodavatelé v rozsahu odpovídajícím charakteru a rozsahu jejich subdodávky.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Doklady o pojištění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Dokladem o pojištění je platná a účinná pojistná smlouva, u níž zhotovitel řádně a včas uhradil pojistné.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Doklad o pojištění je zhotovitel povinen na požádání předložit objednateli.  Nepředložení kteréhokoliv dokladu o pojištění nejpozději do 10 kalendářních dnů ode dne výzvy objednatele, opravňuje objednatele k odstoupení od smlouvy.</w:t>
      </w:r>
    </w:p>
    <w:p w:rsidR="00A66AF3" w:rsidRPr="00D57EDE" w:rsidRDefault="00A66AF3" w:rsidP="00A66AF3">
      <w:pPr>
        <w:rPr>
          <w:rFonts w:ascii="Arial" w:hAnsi="Arial" w:cs="Arial"/>
          <w:b/>
          <w:sz w:val="22"/>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Povinnosti obou stran při vzniku pojistné události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Při vzniku pojistné události zabezpečuje veškeré úkony vůči svému pojistiteli zhotovitel.</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Objednatel je povinen poskytnout v souvislosti s pojistnou událostí zhotoviteli veškerou součinnost, která je v jeho možnostech</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Náklady na pojištění nese zhotovitel a má je zahrnuty ve sjednané ceně.</w:t>
      </w:r>
    </w:p>
    <w:p w:rsidR="00A66AF3" w:rsidRPr="00D57EDE" w:rsidRDefault="00A66AF3" w:rsidP="00A66AF3">
      <w:pPr>
        <w:ind w:left="708"/>
        <w:jc w:val="both"/>
        <w:rPr>
          <w:rFonts w:ascii="Arial" w:hAnsi="Arial"/>
        </w:rPr>
      </w:pPr>
    </w:p>
    <w:p w:rsidR="00A66AF3" w:rsidRPr="00D57EDE" w:rsidRDefault="00A66AF3" w:rsidP="00A66AF3">
      <w:pPr>
        <w:ind w:left="708"/>
        <w:jc w:val="both"/>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Vyšší moc</w:t>
      </w:r>
    </w:p>
    <w:p w:rsidR="00A66AF3" w:rsidRPr="00D57EDE" w:rsidRDefault="00A66AF3" w:rsidP="00A66AF3">
      <w:pPr>
        <w:jc w:val="both"/>
        <w:rPr>
          <w:rFonts w:ascii="Arial" w:hAnsi="Arial"/>
          <w:u w:val="single"/>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Definice vyšší moci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 vyšší moc se považují okolnosti mající vliv na dílo, které nejsou závislé na zhotoviteli ani na objednateli a které ani zhotovitel ani objednatel nemohou ovlivnit. Jedná se např. o válku, mobilizaci, povstání, živelné pohromy apod.</w:t>
      </w:r>
    </w:p>
    <w:p w:rsidR="00A66AF3" w:rsidRPr="00D57EDE" w:rsidRDefault="00A66AF3" w:rsidP="00A66AF3">
      <w:pPr>
        <w:pStyle w:val="Zkladntext"/>
        <w:spacing w:line="240" w:lineRule="atLeast"/>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Práva a povinnosti při vzniku vyšší moci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Pokud se provádění předmětu plnění za sjednaných podmínek stane nemožným v důsledku vzniku vyšší moci, strana, která se bude chtít na vyšší moc odvolat, požádá </w:t>
      </w:r>
      <w:r w:rsidRPr="00D57EDE">
        <w:rPr>
          <w:rFonts w:ascii="Arial" w:hAnsi="Arial"/>
          <w:snapToGrid w:val="0"/>
        </w:rPr>
        <w:lastRenderedPageBreak/>
        <w:t>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66AF3" w:rsidRPr="00D57EDE" w:rsidRDefault="00A66AF3" w:rsidP="00A66AF3">
      <w:pPr>
        <w:pStyle w:val="Zkladntext"/>
        <w:spacing w:line="240" w:lineRule="atLeast"/>
        <w:jc w:val="both"/>
      </w:pPr>
    </w:p>
    <w:p w:rsidR="00A66AF3" w:rsidRPr="00D57EDE" w:rsidRDefault="00A66AF3" w:rsidP="00A66AF3">
      <w:pPr>
        <w:pStyle w:val="Zkladntext"/>
        <w:spacing w:line="240" w:lineRule="atLeast"/>
        <w:jc w:val="both"/>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Změna smlouvy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Forma změny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Jakákoliv změna smlouvy musí mít písemnou formu a musí být podepsána osobami oprávněnými za objednatele a zhotovitele jednat a podepisovat nebo osobami jimi zmocněnými.</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Změny smlouvy se sjednávají jako dodatek ke smlouvě s číselným označením podle pořadového čísla dodatku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Předloží-li některá ze smluvních stran návrh na změnu smlouvy formou písemného dodatku ke smlouvě, je druhá smluvní strana povinna se k návrhu vyjádřit nejpozději do 15 dnů ode dne následujícího po doručení návrhu dodatku ke smlouvě.</w:t>
      </w:r>
    </w:p>
    <w:p w:rsidR="00A66AF3" w:rsidRPr="00D57EDE" w:rsidRDefault="00A66AF3" w:rsidP="00A66AF3">
      <w:pPr>
        <w:pStyle w:val="Zkladntext"/>
        <w:spacing w:line="240" w:lineRule="atLeast"/>
        <w:jc w:val="both"/>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Převod práv a povinností ze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Zhotovitel je oprávněn převést svoje práva a povinnosti z této smlouvy vyplývající na jinou osobu pouze s písemným souhlasem objednatele.</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Vzhledem k tomu, že tyto obchodní podmínky se vztahují ke stavbám či stavebním pracím, které byly či jsou předmětem veřejné zakázky ve smyslu zákona č. 137/2006 Sb., o veřejných zakázkách není objednatel oprávněn převést svoje práva a povinnosti z této smlouvy vyplývající na jinou osobu.</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Odstoupení od smlouvy</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Důvody opravňující k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Nastanou-li u některé ze smluvních stran skutečnosti bránící řádnému plnění smlouvy je tato smluvní strana povinna to bez zbytečného odkladu oznámit druhé smluvní straně a vyvolat jednání zástupců oprávněných k popisu smlouvy.</w:t>
      </w:r>
    </w:p>
    <w:p w:rsidR="00A66AF3" w:rsidRPr="00D57EDE" w:rsidRDefault="00A66AF3" w:rsidP="00A66AF3">
      <w:pPr>
        <w:ind w:left="708"/>
        <w:jc w:val="both"/>
        <w:rPr>
          <w:rFonts w:ascii="Arial" w:hAnsi="Arial" w:cs="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Způsob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Je-li důvodem k odstoupení od smlouvy neplnění smluvních povinností jednou ze smluvních stran, je druhá strana, která hodlá od smlouvy odstoupit, povinna poskytnout druhé straně přiměřenou lhůtu k nápravě. Teprve poté, co smluvní povinnost nebyla splněna ni v této dodatečně poskytnuté lhůtě je možné od smlouvy odstoupit.</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A66AF3" w:rsidRPr="00D57EDE" w:rsidRDefault="00A66AF3" w:rsidP="00A66AF3">
      <w:pPr>
        <w:ind w:left="1056"/>
        <w:jc w:val="both"/>
        <w:rPr>
          <w:rFonts w:ascii="Arial" w:hAnsi="Arial" w:cs="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Den účinnosti odstoupení</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A66AF3" w:rsidRPr="00D57EDE" w:rsidRDefault="00A66AF3" w:rsidP="00A66AF3">
      <w:pPr>
        <w:ind w:left="1056"/>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Důsledky odstoupení od smlouvy</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Odstoupí-li některá ze stran od smlouvy na základě ujednání z této smlouvy vyplývajících, pak povinnosti obou stran jsou následující: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lastRenderedPageBreak/>
        <w:t>Zhotovitel provede soupis všech provedených prací oceněný dle způsobu, kterým je stanovena cena díla</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provede finanční vyčíslení provedených prací, popřípadě poskytnutých záloh a zpracuje „dílčí konečnou fakturu“</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odveze veškerý svůj nezabudovaný materiál, pokud se strany nedohodnou jinak</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Zhotovitel vyzve objednatele k „dílčímu předání díla“ a objednatel je povinen do tří dnů od obdržení vyzvání zahájit „dílčí přejímací řízení“</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po dílčím předání provedených prací sjednají obě strany písemné zrušení smlouvy</w:t>
      </w:r>
    </w:p>
    <w:p w:rsidR="00A66AF3"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strana, která důvodné odstoupení od smlouvy zapříčinila je povinna uhradit druhé straně veškeré náklady jí vzniklé z důvodů odstoupení od smlouvy</w:t>
      </w:r>
      <w:r>
        <w:rPr>
          <w:rFonts w:ascii="Arial" w:hAnsi="Arial"/>
          <w:snapToGrid w:val="0"/>
        </w:rPr>
        <w:t xml:space="preserve"> </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r w:rsidRPr="00D57EDE">
        <w:rPr>
          <w:rFonts w:ascii="Arial" w:hAnsi="Arial"/>
          <w:b/>
          <w:caps/>
        </w:rPr>
        <w:t>Řešení sporů</w:t>
      </w:r>
    </w:p>
    <w:p w:rsidR="00A66AF3" w:rsidRPr="00D57EDE" w:rsidRDefault="00A66AF3" w:rsidP="00A66AF3">
      <w:pPr>
        <w:ind w:left="708"/>
        <w:jc w:val="both"/>
        <w:rPr>
          <w:rFonts w:ascii="Arial" w:hAnsi="Arial"/>
        </w:rPr>
      </w:pP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Příslušnost soudu</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Jakýkoliv spor vzniklý ze smlouvy, pokud se jej nepodaří urovnat jednáním mezi smluvními stranami, bude rozhodnut k tomu věcně a místně příslušným soudem, přičemž soudem místně příslušným k rozhodnutí je soud určený podle sídla objednatele.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Volba práva</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Právní vztahy, včetně otázek platnosti a následků neplatnosti se řídí českým právem.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Ve věcech smlouvou ani obchodními podmínkami výslovně neupravených se bude smluvní vztah řídit ustanoveními obecně závazných právních předpisů, zejména občanským zákoníkem a předpisy souvisejícími.</w:t>
      </w: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numPr>
          <w:ilvl w:val="0"/>
          <w:numId w:val="1"/>
        </w:numPr>
        <w:pBdr>
          <w:top w:val="single" w:sz="4" w:space="1" w:color="auto"/>
          <w:left w:val="single" w:sz="4" w:space="16" w:color="auto"/>
          <w:bottom w:val="single" w:sz="4" w:space="1" w:color="auto"/>
          <w:right w:val="single" w:sz="4" w:space="4" w:color="auto"/>
        </w:pBdr>
        <w:shd w:val="clear" w:color="auto" w:fill="CCFFFF"/>
        <w:suppressAutoHyphens w:val="0"/>
        <w:jc w:val="both"/>
        <w:rPr>
          <w:rFonts w:ascii="Arial" w:hAnsi="Arial"/>
          <w:b/>
          <w:caps/>
        </w:rPr>
      </w:pPr>
      <w:bookmarkStart w:id="4" w:name="_Toc152988861"/>
      <w:r w:rsidRPr="00D57EDE">
        <w:rPr>
          <w:rFonts w:ascii="Arial" w:hAnsi="Arial"/>
          <w:b/>
          <w:caps/>
        </w:rPr>
        <w:t xml:space="preserve">důvěrnost informací a duševní vlastnictví </w:t>
      </w:r>
    </w:p>
    <w:p w:rsidR="00A66AF3" w:rsidRPr="00D57EDE" w:rsidRDefault="00A66AF3" w:rsidP="00A66AF3">
      <w:pPr>
        <w:ind w:left="708"/>
        <w:jc w:val="both"/>
        <w:rPr>
          <w:rFonts w:ascii="Arial" w:hAnsi="Arial"/>
        </w:rPr>
      </w:pPr>
    </w:p>
    <w:p w:rsidR="00A66AF3" w:rsidRPr="00D57EDE" w:rsidRDefault="00A66AF3" w:rsidP="00A66AF3">
      <w:pPr>
        <w:numPr>
          <w:ilvl w:val="1"/>
          <w:numId w:val="1"/>
        </w:numPr>
        <w:tabs>
          <w:tab w:val="clear" w:pos="1428"/>
          <w:tab w:val="num" w:pos="540"/>
        </w:tabs>
        <w:suppressAutoHyphens w:val="0"/>
        <w:ind w:left="540" w:hanging="540"/>
        <w:jc w:val="both"/>
        <w:rPr>
          <w:rFonts w:ascii="Arial" w:hAnsi="Arial"/>
          <w:u w:val="single"/>
        </w:rPr>
      </w:pPr>
      <w:r w:rsidRPr="00D57EDE">
        <w:rPr>
          <w:rFonts w:ascii="Arial" w:hAnsi="Arial"/>
          <w:u w:val="single"/>
        </w:rPr>
        <w:t xml:space="preserve">Důvěrné informace </w:t>
      </w:r>
    </w:p>
    <w:bookmarkEnd w:id="4"/>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Veškeré informace a dokumenty týkající se plnění předmětu smlouvy, s nimiž bude zhotovitel přicházet v průběhu provádění díla do styku, jsou považovány za důvěrné a nesmějí být sdělovány nikomu kromě objednatele a - podle dohody s ním – dalším povolaným osobám, např. subdodavatelům. Tyto informace nebudou použity k jiným účelům než k provádění díla podle smlouvy a příslušné dokumentace. </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Za důvěrné informace se nepovažují informace, které:</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jsou veřejně přístupné nebo známé v době jejich užití nebo zpřístupnění, pokud jejich veřejná přístupnost či známost nenastala v důsledku porušení zákonné (tj. uložené právními předpisy) či smluvní povinnosti, nebo</w:t>
      </w:r>
    </w:p>
    <w:p w:rsidR="00A66AF3" w:rsidRPr="00D57EDE" w:rsidRDefault="00A66AF3" w:rsidP="00A66AF3">
      <w:pPr>
        <w:numPr>
          <w:ilvl w:val="3"/>
          <w:numId w:val="1"/>
        </w:numPr>
        <w:tabs>
          <w:tab w:val="clear" w:pos="2484"/>
          <w:tab w:val="num" w:pos="2160"/>
        </w:tabs>
        <w:suppressAutoHyphens w:val="0"/>
        <w:ind w:left="2160" w:hanging="900"/>
        <w:jc w:val="both"/>
        <w:rPr>
          <w:rFonts w:ascii="Arial" w:hAnsi="Arial"/>
          <w:snapToGrid w:val="0"/>
        </w:rPr>
      </w:pPr>
      <w:r w:rsidRPr="00D57EDE">
        <w:rPr>
          <w:rFonts w:ascii="Arial" w:hAnsi="Arial"/>
          <w:snapToGrid w:val="0"/>
        </w:rPr>
        <w:t>jsou poskytnuty smluvní straně třetí osobou nijak nezúčastněnou na zhotovení stavby, která má právo s takovou informací volně nakládat a poskytnout ji třetím osobám.</w:t>
      </w:r>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 xml:space="preserve">V souvislosti s důvěrností informací bere zhotovitel na vědomí, že je zákonnou povinností objednatele uveřejnit na profilu zadavatele celé znění smlouvy včetně všech jejich případných dodatků a po splnění smlouvy je objednatel povinen na profilu zadavatele uveřejnit skutečně uhrazenou cenu a seznam subdodavatelů. Splnění této zákonné povinnosti není porušením důvěrnosti informací. </w:t>
      </w:r>
    </w:p>
    <w:p w:rsidR="00A66AF3" w:rsidRPr="00D57EDE" w:rsidRDefault="00A66AF3" w:rsidP="00A66AF3">
      <w:pPr>
        <w:ind w:left="540"/>
        <w:jc w:val="both"/>
        <w:rPr>
          <w:rFonts w:ascii="Arial" w:hAnsi="Arial"/>
          <w:snapToGrid w:val="0"/>
        </w:rPr>
      </w:pPr>
    </w:p>
    <w:p w:rsidR="00A66AF3" w:rsidRPr="00D57EDE" w:rsidRDefault="00A66AF3" w:rsidP="00A66AF3">
      <w:pPr>
        <w:numPr>
          <w:ilvl w:val="1"/>
          <w:numId w:val="1"/>
        </w:numPr>
        <w:tabs>
          <w:tab w:val="clear" w:pos="1428"/>
          <w:tab w:val="num" w:pos="540"/>
          <w:tab w:val="num" w:pos="1260"/>
        </w:tabs>
        <w:suppressAutoHyphens w:val="0"/>
        <w:ind w:left="540" w:hanging="540"/>
        <w:jc w:val="both"/>
        <w:rPr>
          <w:rFonts w:ascii="Arial" w:hAnsi="Arial"/>
          <w:u w:val="single"/>
        </w:rPr>
      </w:pPr>
      <w:bookmarkStart w:id="5" w:name="_Toc152988863"/>
      <w:r w:rsidRPr="00D57EDE">
        <w:rPr>
          <w:rFonts w:ascii="Arial" w:hAnsi="Arial"/>
          <w:u w:val="single"/>
        </w:rPr>
        <w:t>Duševní vlastnictví</w:t>
      </w:r>
      <w:bookmarkEnd w:id="5"/>
    </w:p>
    <w:p w:rsidR="00A66AF3" w:rsidRPr="00D57EDE" w:rsidRDefault="00A66AF3" w:rsidP="00A66AF3">
      <w:pPr>
        <w:numPr>
          <w:ilvl w:val="2"/>
          <w:numId w:val="1"/>
        </w:numPr>
        <w:tabs>
          <w:tab w:val="num" w:pos="1260"/>
        </w:tabs>
        <w:suppressAutoHyphens w:val="0"/>
        <w:ind w:left="1260"/>
        <w:jc w:val="both"/>
        <w:rPr>
          <w:rFonts w:ascii="Arial" w:hAnsi="Arial"/>
          <w:snapToGrid w:val="0"/>
        </w:rPr>
      </w:pPr>
      <w:r w:rsidRPr="00D57EDE">
        <w:rPr>
          <w:rFonts w:ascii="Arial" w:hAnsi="Arial"/>
          <w:snapToGrid w:val="0"/>
        </w:rPr>
        <w:t>Pokud zhotovitel při zhotovování stavby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rsidR="00A66AF3" w:rsidRPr="00D57EDE" w:rsidRDefault="00A66AF3" w:rsidP="00A66AF3">
      <w:pPr>
        <w:ind w:left="540"/>
        <w:jc w:val="both"/>
        <w:rPr>
          <w:rFonts w:ascii="Arial" w:hAnsi="Arial"/>
          <w:snapToGrid w:val="0"/>
        </w:rPr>
      </w:pP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pStyle w:val="Zkladntext"/>
        <w:spacing w:line="240" w:lineRule="atLeast"/>
        <w:rPr>
          <w:rFonts w:ascii="Arial" w:hAnsi="Arial"/>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Pr="00D57EDE" w:rsidRDefault="00A66AF3" w:rsidP="00A66AF3">
      <w:pPr>
        <w:rPr>
          <w:rFonts w:ascii="Arial" w:hAnsi="Arial"/>
          <w:b/>
          <w:i/>
          <w:sz w:val="22"/>
          <w:szCs w:val="22"/>
        </w:rPr>
      </w:pPr>
    </w:p>
    <w:p w:rsidR="00A66AF3" w:rsidRDefault="00A66AF3" w:rsidP="00A66AF3"/>
    <w:p w:rsidR="00515F5F" w:rsidRDefault="00515F5F"/>
    <w:sectPr w:rsidR="00515F5F" w:rsidSect="00515F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E6" w:rsidRDefault="00AB48E6">
      <w:r>
        <w:separator/>
      </w:r>
    </w:p>
  </w:endnote>
  <w:endnote w:type="continuationSeparator" w:id="0">
    <w:p w:rsidR="00AB48E6" w:rsidRDefault="00AB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EB" w:rsidRDefault="00AB48E6">
    <w:pPr>
      <w:pStyle w:val="Zpat"/>
      <w:jc w:val="right"/>
    </w:pPr>
  </w:p>
  <w:p w:rsidR="004653EB" w:rsidRDefault="00A66AF3">
    <w:pPr>
      <w:pStyle w:val="Zpat"/>
      <w:jc w:val="right"/>
      <w:rPr>
        <w:b/>
        <w:sz w:val="24"/>
        <w:szCs w:val="24"/>
      </w:rPr>
    </w:pPr>
    <w:r>
      <w:t xml:space="preserve">Stránka </w:t>
    </w:r>
    <w:r w:rsidR="003B17CA">
      <w:rPr>
        <w:b/>
        <w:sz w:val="24"/>
        <w:szCs w:val="24"/>
      </w:rPr>
      <w:fldChar w:fldCharType="begin"/>
    </w:r>
    <w:r>
      <w:rPr>
        <w:b/>
      </w:rPr>
      <w:instrText>PAGE</w:instrText>
    </w:r>
    <w:r w:rsidR="003B17CA">
      <w:rPr>
        <w:b/>
        <w:sz w:val="24"/>
        <w:szCs w:val="24"/>
      </w:rPr>
      <w:fldChar w:fldCharType="separate"/>
    </w:r>
    <w:r w:rsidR="00F1396B">
      <w:rPr>
        <w:b/>
        <w:noProof/>
      </w:rPr>
      <w:t>1</w:t>
    </w:r>
    <w:r w:rsidR="003B17CA">
      <w:rPr>
        <w:b/>
        <w:sz w:val="24"/>
        <w:szCs w:val="24"/>
      </w:rPr>
      <w:fldChar w:fldCharType="end"/>
    </w:r>
    <w:r>
      <w:t xml:space="preserve"> z </w:t>
    </w:r>
    <w:r w:rsidR="003B17CA">
      <w:rPr>
        <w:b/>
        <w:sz w:val="24"/>
        <w:szCs w:val="24"/>
      </w:rPr>
      <w:fldChar w:fldCharType="begin"/>
    </w:r>
    <w:r>
      <w:rPr>
        <w:b/>
      </w:rPr>
      <w:instrText>NUMPAGES</w:instrText>
    </w:r>
    <w:r w:rsidR="003B17CA">
      <w:rPr>
        <w:b/>
        <w:sz w:val="24"/>
        <w:szCs w:val="24"/>
      </w:rPr>
      <w:fldChar w:fldCharType="separate"/>
    </w:r>
    <w:r w:rsidR="00F1396B">
      <w:rPr>
        <w:b/>
        <w:noProof/>
      </w:rPr>
      <w:t>28</w:t>
    </w:r>
    <w:r w:rsidR="003B17CA">
      <w:rPr>
        <w:b/>
        <w:sz w:val="24"/>
        <w:szCs w:val="24"/>
      </w:rPr>
      <w:fldChar w:fldCharType="end"/>
    </w:r>
  </w:p>
  <w:p w:rsidR="003B573D" w:rsidRDefault="003B573D">
    <w:pPr>
      <w:pStyle w:val="Zpat"/>
      <w:jc w:val="right"/>
      <w:rPr>
        <w:b/>
        <w:sz w:val="24"/>
        <w:szCs w:val="24"/>
      </w:rPr>
    </w:pPr>
  </w:p>
  <w:p w:rsidR="004653EB" w:rsidRDefault="00AB48E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E6" w:rsidRDefault="00AB48E6">
      <w:r>
        <w:separator/>
      </w:r>
    </w:p>
  </w:footnote>
  <w:footnote w:type="continuationSeparator" w:id="0">
    <w:p w:rsidR="00AB48E6" w:rsidRDefault="00AB4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6AF3"/>
    <w:rsid w:val="00066D11"/>
    <w:rsid w:val="000909E3"/>
    <w:rsid w:val="00310E72"/>
    <w:rsid w:val="003B17CA"/>
    <w:rsid w:val="003B573D"/>
    <w:rsid w:val="00485F1A"/>
    <w:rsid w:val="00515F5F"/>
    <w:rsid w:val="00634109"/>
    <w:rsid w:val="007861C5"/>
    <w:rsid w:val="007D01AF"/>
    <w:rsid w:val="00A66AF3"/>
    <w:rsid w:val="00AB48E6"/>
    <w:rsid w:val="00B26443"/>
    <w:rsid w:val="00C9030D"/>
    <w:rsid w:val="00C92E58"/>
    <w:rsid w:val="00D61169"/>
    <w:rsid w:val="00E81960"/>
    <w:rsid w:val="00F139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539" w:right="-289"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AF3"/>
    <w:pPr>
      <w:suppressAutoHyphens/>
      <w:ind w:left="0" w:right="0" w:firstLine="0"/>
      <w:jc w:val="left"/>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66AF3"/>
    <w:rPr>
      <w:sz w:val="16"/>
    </w:rPr>
  </w:style>
  <w:style w:type="character" w:customStyle="1" w:styleId="ZkladntextChar">
    <w:name w:val="Základní text Char"/>
    <w:basedOn w:val="Standardnpsmoodstavce"/>
    <w:link w:val="Zkladntext"/>
    <w:rsid w:val="00A66AF3"/>
    <w:rPr>
      <w:rFonts w:ascii="Times New Roman" w:eastAsia="Times New Roman" w:hAnsi="Times New Roman" w:cs="Times New Roman"/>
      <w:sz w:val="16"/>
      <w:szCs w:val="20"/>
      <w:lang w:eastAsia="ar-SA"/>
    </w:rPr>
  </w:style>
  <w:style w:type="paragraph" w:styleId="Zkladntextodsazen2">
    <w:name w:val="Body Text Indent 2"/>
    <w:basedOn w:val="Normln"/>
    <w:link w:val="Zkladntextodsazen2Char1"/>
    <w:rsid w:val="00A66AF3"/>
    <w:pPr>
      <w:suppressAutoHyphens w:val="0"/>
      <w:ind w:left="708"/>
    </w:pPr>
    <w:rPr>
      <w:rFonts w:ascii="Arial" w:hAnsi="Arial"/>
      <w:sz w:val="24"/>
      <w:szCs w:val="24"/>
    </w:rPr>
  </w:style>
  <w:style w:type="character" w:customStyle="1" w:styleId="Zkladntextodsazen2Char">
    <w:name w:val="Základní text odsazený 2 Char"/>
    <w:basedOn w:val="Standardnpsmoodstavce"/>
    <w:uiPriority w:val="99"/>
    <w:semiHidden/>
    <w:rsid w:val="00A66AF3"/>
    <w:rPr>
      <w:rFonts w:ascii="Times New Roman" w:eastAsia="Times New Roman" w:hAnsi="Times New Roman" w:cs="Times New Roman"/>
      <w:sz w:val="20"/>
      <w:szCs w:val="20"/>
      <w:lang w:eastAsia="ar-SA"/>
    </w:rPr>
  </w:style>
  <w:style w:type="character" w:customStyle="1" w:styleId="Zkladntextodsazen2Char1">
    <w:name w:val="Základní text odsazený 2 Char1"/>
    <w:link w:val="Zkladntextodsazen2"/>
    <w:rsid w:val="00A66AF3"/>
    <w:rPr>
      <w:rFonts w:ascii="Arial" w:eastAsia="Times New Roman" w:hAnsi="Arial" w:cs="Times New Roman"/>
      <w:sz w:val="24"/>
      <w:szCs w:val="24"/>
    </w:rPr>
  </w:style>
  <w:style w:type="paragraph" w:customStyle="1" w:styleId="Smlouva">
    <w:name w:val="Smlouva"/>
    <w:rsid w:val="00A66AF3"/>
    <w:pPr>
      <w:widowControl w:val="0"/>
      <w:spacing w:after="120"/>
      <w:ind w:left="0" w:right="0" w:firstLine="0"/>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66AF3"/>
    <w:pPr>
      <w:numPr>
        <w:ilvl w:val="1"/>
        <w:numId w:val="2"/>
      </w:numPr>
      <w:ind w:right="0"/>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66AF3"/>
    <w:pPr>
      <w:numPr>
        <w:numId w:val="2"/>
      </w:numPr>
      <w:suppressAutoHyphens w:val="0"/>
      <w:spacing w:before="360" w:after="360"/>
      <w:jc w:val="center"/>
    </w:pPr>
    <w:rPr>
      <w:b/>
      <w:snapToGrid w:val="0"/>
      <w:color w:val="0000FF"/>
      <w:sz w:val="28"/>
      <w:lang w:eastAsia="cs-CZ"/>
    </w:rPr>
  </w:style>
  <w:style w:type="paragraph" w:customStyle="1" w:styleId="Bodsmlouvy-211">
    <w:name w:val="Bod smlouvy - 2.1.1"/>
    <w:basedOn w:val="Bodsmlouvy-21"/>
    <w:rsid w:val="00A66AF3"/>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A66AF3"/>
    <w:pPr>
      <w:spacing w:before="600"/>
    </w:pPr>
    <w:rPr>
      <w:bCs/>
    </w:rPr>
  </w:style>
  <w:style w:type="paragraph" w:styleId="Zpat">
    <w:name w:val="footer"/>
    <w:basedOn w:val="Normln"/>
    <w:link w:val="ZpatChar"/>
    <w:uiPriority w:val="99"/>
    <w:unhideWhenUsed/>
    <w:rsid w:val="00A66AF3"/>
    <w:pPr>
      <w:tabs>
        <w:tab w:val="center" w:pos="4536"/>
        <w:tab w:val="right" w:pos="9072"/>
      </w:tabs>
    </w:pPr>
  </w:style>
  <w:style w:type="character" w:customStyle="1" w:styleId="ZpatChar">
    <w:name w:val="Zápatí Char"/>
    <w:basedOn w:val="Standardnpsmoodstavce"/>
    <w:link w:val="Zpat"/>
    <w:uiPriority w:val="99"/>
    <w:rsid w:val="00A66AF3"/>
    <w:rPr>
      <w:rFonts w:ascii="Times New Roman" w:eastAsia="Times New Roman" w:hAnsi="Times New Roman" w:cs="Times New Roman"/>
      <w:sz w:val="20"/>
      <w:szCs w:val="20"/>
      <w:lang w:eastAsia="ar-SA"/>
    </w:rPr>
  </w:style>
  <w:style w:type="character" w:customStyle="1" w:styleId="nowrap">
    <w:name w:val="nowrap"/>
    <w:basedOn w:val="Standardnpsmoodstavce"/>
    <w:rsid w:val="00A66AF3"/>
  </w:style>
  <w:style w:type="paragraph" w:styleId="Zhlav">
    <w:name w:val="header"/>
    <w:basedOn w:val="Normln"/>
    <w:link w:val="ZhlavChar"/>
    <w:uiPriority w:val="99"/>
    <w:unhideWhenUsed/>
    <w:rsid w:val="00C9030D"/>
    <w:pPr>
      <w:tabs>
        <w:tab w:val="center" w:pos="4536"/>
        <w:tab w:val="right" w:pos="9072"/>
      </w:tabs>
    </w:pPr>
  </w:style>
  <w:style w:type="character" w:customStyle="1" w:styleId="ZhlavChar">
    <w:name w:val="Záhlaví Char"/>
    <w:basedOn w:val="Standardnpsmoodstavce"/>
    <w:link w:val="Zhlav"/>
    <w:uiPriority w:val="99"/>
    <w:rsid w:val="00C9030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13160</Words>
  <Characters>77650</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sehnal</dc:creator>
  <cp:lastModifiedBy>Spikl</cp:lastModifiedBy>
  <cp:revision>13</cp:revision>
  <cp:lastPrinted>2017-03-31T10:46:00Z</cp:lastPrinted>
  <dcterms:created xsi:type="dcterms:W3CDTF">2014-10-08T06:42:00Z</dcterms:created>
  <dcterms:modified xsi:type="dcterms:W3CDTF">2017-03-31T10:48:00Z</dcterms:modified>
</cp:coreProperties>
</file>