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453B9" w14:textId="77777777" w:rsidR="0082248E" w:rsidRPr="000B5DCF" w:rsidRDefault="0082248E" w:rsidP="0082248E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0B5DCF">
        <w:rPr>
          <w:rFonts w:eastAsia="Times New Roman"/>
          <w:sz w:val="20"/>
          <w:szCs w:val="20"/>
          <w:lang w:eastAsia="cs-CZ"/>
        </w:rPr>
        <w:t>Společnost:</w:t>
      </w:r>
      <w:r w:rsidRPr="000B5DCF">
        <w:rPr>
          <w:rFonts w:eastAsia="Times New Roman"/>
          <w:sz w:val="20"/>
          <w:szCs w:val="20"/>
          <w:lang w:eastAsia="cs-CZ"/>
        </w:rPr>
        <w:tab/>
      </w:r>
      <w:r w:rsidRPr="000B5DCF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0B5DCF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2CEC9F26" w14:textId="77777777" w:rsidR="0082248E" w:rsidRPr="000B5DCF" w:rsidRDefault="0082248E" w:rsidP="0082248E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0B5DCF">
        <w:rPr>
          <w:rFonts w:eastAsia="Times New Roman"/>
          <w:sz w:val="20"/>
          <w:szCs w:val="20"/>
          <w:lang w:eastAsia="cs-CZ"/>
        </w:rPr>
        <w:t>IČ</w:t>
      </w:r>
      <w:r>
        <w:rPr>
          <w:rFonts w:eastAsia="Times New Roman"/>
          <w:sz w:val="20"/>
          <w:szCs w:val="20"/>
          <w:lang w:eastAsia="cs-CZ"/>
        </w:rPr>
        <w:t>O</w:t>
      </w:r>
      <w:r w:rsidRPr="000B5DCF">
        <w:rPr>
          <w:rFonts w:eastAsia="Times New Roman"/>
          <w:sz w:val="20"/>
          <w:szCs w:val="20"/>
          <w:lang w:eastAsia="cs-CZ"/>
        </w:rPr>
        <w:t>:</w:t>
      </w:r>
      <w:r w:rsidRPr="000B5DCF">
        <w:rPr>
          <w:rFonts w:eastAsia="Times New Roman"/>
          <w:sz w:val="20"/>
          <w:szCs w:val="20"/>
          <w:lang w:eastAsia="cs-CZ"/>
        </w:rPr>
        <w:tab/>
        <w:t>272 56 456</w:t>
      </w:r>
    </w:p>
    <w:p w14:paraId="0CA23E76" w14:textId="77777777" w:rsidR="0082248E" w:rsidRPr="000B5DCF" w:rsidRDefault="0082248E" w:rsidP="0082248E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0B5DCF">
        <w:rPr>
          <w:rFonts w:eastAsia="Times New Roman"/>
          <w:sz w:val="20"/>
          <w:szCs w:val="20"/>
          <w:lang w:eastAsia="cs-CZ"/>
        </w:rPr>
        <w:t xml:space="preserve">DIČ: </w:t>
      </w:r>
      <w:r w:rsidRPr="000B5DCF">
        <w:rPr>
          <w:rFonts w:eastAsia="Times New Roman"/>
          <w:sz w:val="20"/>
          <w:szCs w:val="20"/>
          <w:lang w:eastAsia="cs-CZ"/>
        </w:rPr>
        <w:tab/>
        <w:t>CZ27256456</w:t>
      </w:r>
    </w:p>
    <w:p w14:paraId="4742FD8C" w14:textId="77777777" w:rsidR="0082248E" w:rsidRPr="000B5DCF" w:rsidRDefault="0082248E" w:rsidP="0082248E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0B5DCF">
        <w:rPr>
          <w:rFonts w:eastAsia="Times New Roman"/>
          <w:sz w:val="20"/>
          <w:szCs w:val="20"/>
          <w:lang w:eastAsia="cs-CZ"/>
        </w:rPr>
        <w:t>Se sídlem:</w:t>
      </w:r>
      <w:r w:rsidRPr="000B5DCF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7005C50A" w14:textId="77777777" w:rsidR="0082248E" w:rsidRPr="00277156" w:rsidRDefault="0082248E" w:rsidP="0082248E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277156">
        <w:rPr>
          <w:rFonts w:eastAsia="Times New Roman"/>
          <w:sz w:val="20"/>
          <w:szCs w:val="20"/>
          <w:lang w:eastAsia="cs-CZ"/>
        </w:rPr>
        <w:t>Zastoupená:</w:t>
      </w:r>
      <w:r w:rsidRPr="00277156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14:paraId="28650107" w14:textId="77777777" w:rsidR="0082248E" w:rsidRPr="00277156" w:rsidRDefault="0082248E" w:rsidP="0082248E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Mgr. Daniel Marek</w:t>
      </w:r>
      <w:r w:rsidRPr="00277156">
        <w:rPr>
          <w:rFonts w:eastAsia="Times New Roman"/>
          <w:sz w:val="20"/>
          <w:szCs w:val="20"/>
          <w:lang w:eastAsia="cs-CZ"/>
        </w:rPr>
        <w:t>, místopředseda představenstva</w:t>
      </w:r>
    </w:p>
    <w:p w14:paraId="45E52EB4" w14:textId="77777777" w:rsidR="0082248E" w:rsidRPr="000B5DCF" w:rsidRDefault="0082248E" w:rsidP="0082248E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0B5DCF">
        <w:rPr>
          <w:rFonts w:eastAsia="Times New Roman"/>
          <w:sz w:val="20"/>
          <w:szCs w:val="20"/>
          <w:lang w:eastAsia="cs-CZ"/>
        </w:rPr>
        <w:t>Bankovní spojení:</w:t>
      </w:r>
      <w:r w:rsidRPr="000B5DCF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043D7BF9" w14:textId="77777777" w:rsidR="0082248E" w:rsidRPr="000B5DCF" w:rsidRDefault="0082248E" w:rsidP="0082248E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0B5DCF">
        <w:rPr>
          <w:rFonts w:eastAsia="Times New Roman"/>
          <w:sz w:val="20"/>
          <w:szCs w:val="20"/>
          <w:lang w:eastAsia="cs-CZ"/>
        </w:rPr>
        <w:t>Číslo účtu:</w:t>
      </w:r>
      <w:r w:rsidRPr="000B5DCF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45C9A4FF" w14:textId="77777777" w:rsidR="0082248E" w:rsidRPr="000B5DCF" w:rsidRDefault="0082248E" w:rsidP="0082248E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0B5DCF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63CBA48C" w14:textId="77777777" w:rsidR="0082248E" w:rsidRDefault="0082248E" w:rsidP="0082248E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16748DDE" w14:textId="77777777" w:rsidR="0082248E" w:rsidRPr="000B5DCF" w:rsidRDefault="0082248E" w:rsidP="0082248E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0B5DCF">
        <w:rPr>
          <w:rFonts w:eastAsia="Times New Roman"/>
          <w:sz w:val="20"/>
          <w:szCs w:val="20"/>
          <w:lang w:eastAsia="cs-CZ"/>
        </w:rPr>
        <w:t>dále též jako „</w:t>
      </w:r>
      <w:r w:rsidRPr="000B5DCF">
        <w:rPr>
          <w:rFonts w:eastAsia="Times New Roman"/>
          <w:b/>
          <w:sz w:val="20"/>
          <w:szCs w:val="20"/>
          <w:lang w:eastAsia="cs-CZ"/>
        </w:rPr>
        <w:t>Objednatel</w:t>
      </w:r>
      <w:r w:rsidRPr="000B5DCF">
        <w:rPr>
          <w:rFonts w:eastAsia="Times New Roman"/>
          <w:sz w:val="20"/>
          <w:szCs w:val="20"/>
          <w:lang w:eastAsia="cs-CZ"/>
        </w:rPr>
        <w:t>“ na straně jedné,</w:t>
      </w:r>
    </w:p>
    <w:p w14:paraId="10732C8F" w14:textId="77777777" w:rsidR="0082248E" w:rsidRPr="000B5DCF" w:rsidRDefault="0082248E" w:rsidP="0082248E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2D811230" w14:textId="77777777" w:rsidR="0082248E" w:rsidRPr="000B5DCF" w:rsidRDefault="0082248E" w:rsidP="0082248E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0B5DCF">
        <w:rPr>
          <w:rFonts w:eastAsia="Times New Roman"/>
          <w:sz w:val="20"/>
          <w:szCs w:val="20"/>
          <w:lang w:eastAsia="cs-CZ"/>
        </w:rPr>
        <w:t>a</w:t>
      </w:r>
    </w:p>
    <w:p w14:paraId="4BA383AB" w14:textId="77777777" w:rsidR="0082248E" w:rsidRPr="000B5DCF" w:rsidRDefault="0082248E" w:rsidP="0082248E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tbl>
      <w:tblPr>
        <w:tblStyle w:val="Mkatabulky"/>
        <w:tblW w:w="5078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1"/>
        <w:gridCol w:w="6869"/>
      </w:tblGrid>
      <w:tr w:rsidR="0082248E" w:rsidRPr="009B378C" w14:paraId="7375FE55" w14:textId="77777777" w:rsidTr="00D31C81">
        <w:tc>
          <w:tcPr>
            <w:tcW w:w="1385" w:type="pct"/>
          </w:tcPr>
          <w:p w14:paraId="5AFF14DB" w14:textId="77777777" w:rsidR="0082248E" w:rsidRPr="009B378C" w:rsidRDefault="0082248E" w:rsidP="00D31C81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Společnost</w:t>
            </w:r>
            <w:r w:rsidRPr="009B378C">
              <w:rPr>
                <w:rFonts w:eastAsia="Times New Roman"/>
              </w:rPr>
              <w:t>:</w:t>
            </w:r>
          </w:p>
        </w:tc>
        <w:tc>
          <w:tcPr>
            <w:tcW w:w="3615" w:type="pct"/>
          </w:tcPr>
          <w:p w14:paraId="06CFF851" w14:textId="77777777" w:rsidR="0082248E" w:rsidRPr="008F53FD" w:rsidRDefault="0082248E" w:rsidP="00642B0B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b/>
              </w:rPr>
            </w:pPr>
            <w:r w:rsidRPr="008F53FD">
              <w:rPr>
                <w:rFonts w:eastAsia="Times New Roman"/>
                <w:b/>
              </w:rPr>
              <w:t>SoPHIS a.s.</w:t>
            </w:r>
          </w:p>
        </w:tc>
      </w:tr>
      <w:tr w:rsidR="0082248E" w:rsidRPr="009B378C" w14:paraId="1DECE7E2" w14:textId="77777777" w:rsidTr="00D31C81">
        <w:tc>
          <w:tcPr>
            <w:tcW w:w="1385" w:type="pct"/>
          </w:tcPr>
          <w:p w14:paraId="10AB0AF4" w14:textId="77777777" w:rsidR="0082248E" w:rsidRPr="009B378C" w:rsidRDefault="0082248E" w:rsidP="00D31C81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9B378C">
              <w:rPr>
                <w:rFonts w:eastAsia="Times New Roman"/>
              </w:rPr>
              <w:t>IČ</w:t>
            </w:r>
            <w:r>
              <w:rPr>
                <w:rFonts w:eastAsia="Times New Roman"/>
              </w:rPr>
              <w:t>O</w:t>
            </w:r>
            <w:r w:rsidRPr="009B378C">
              <w:rPr>
                <w:rFonts w:eastAsia="Times New Roman"/>
              </w:rPr>
              <w:t>:</w:t>
            </w:r>
          </w:p>
        </w:tc>
        <w:tc>
          <w:tcPr>
            <w:tcW w:w="3615" w:type="pct"/>
          </w:tcPr>
          <w:p w14:paraId="0CCFE0BA" w14:textId="77777777" w:rsidR="0082248E" w:rsidRPr="009B378C" w:rsidRDefault="0082248E" w:rsidP="00642B0B">
            <w:pPr>
              <w:spacing w:after="0" w:line="240" w:lineRule="auto"/>
              <w:ind w:left="2127" w:hanging="2127"/>
              <w:jc w:val="both"/>
              <w:rPr>
                <w:rFonts w:eastAsia="Times New Roman"/>
              </w:rPr>
            </w:pPr>
            <w:r w:rsidRPr="00251386">
              <w:rPr>
                <w:rFonts w:eastAsia="Times New Roman"/>
              </w:rPr>
              <w:t>263</w:t>
            </w:r>
            <w:r>
              <w:rPr>
                <w:rFonts w:eastAsia="Times New Roman"/>
              </w:rPr>
              <w:t xml:space="preserve"> </w:t>
            </w:r>
            <w:r w:rsidRPr="00251386">
              <w:rPr>
                <w:rFonts w:eastAsia="Times New Roman"/>
              </w:rPr>
              <w:t>05</w:t>
            </w:r>
            <w:r>
              <w:rPr>
                <w:rFonts w:eastAsia="Times New Roman"/>
              </w:rPr>
              <w:t xml:space="preserve"> </w:t>
            </w:r>
            <w:r w:rsidRPr="00251386">
              <w:rPr>
                <w:rFonts w:eastAsia="Times New Roman"/>
              </w:rPr>
              <w:t>879</w:t>
            </w:r>
          </w:p>
        </w:tc>
      </w:tr>
      <w:tr w:rsidR="0082248E" w:rsidRPr="009B378C" w14:paraId="0128ACA0" w14:textId="77777777" w:rsidTr="00D31C81">
        <w:tc>
          <w:tcPr>
            <w:tcW w:w="1385" w:type="pct"/>
          </w:tcPr>
          <w:p w14:paraId="2488984E" w14:textId="77777777" w:rsidR="0082248E" w:rsidRPr="009B378C" w:rsidRDefault="0082248E" w:rsidP="00D31C81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9B378C">
              <w:rPr>
                <w:rFonts w:eastAsia="Times New Roman"/>
              </w:rPr>
              <w:t>DIČ:</w:t>
            </w:r>
          </w:p>
        </w:tc>
        <w:tc>
          <w:tcPr>
            <w:tcW w:w="3615" w:type="pct"/>
          </w:tcPr>
          <w:p w14:paraId="27479B97" w14:textId="77777777" w:rsidR="0082248E" w:rsidRPr="009B378C" w:rsidRDefault="0082248E" w:rsidP="00642B0B">
            <w:pPr>
              <w:spacing w:after="0" w:line="240" w:lineRule="auto"/>
              <w:ind w:left="2127" w:hanging="2127"/>
              <w:jc w:val="both"/>
              <w:rPr>
                <w:rFonts w:eastAsia="Times New Roman"/>
              </w:rPr>
            </w:pPr>
            <w:r w:rsidRPr="00251386">
              <w:rPr>
                <w:rFonts w:eastAsia="Times New Roman"/>
              </w:rPr>
              <w:t>CZ26305879</w:t>
            </w:r>
          </w:p>
        </w:tc>
      </w:tr>
      <w:tr w:rsidR="0082248E" w:rsidRPr="009B378C" w14:paraId="4F98B8E7" w14:textId="77777777" w:rsidTr="00D31C81">
        <w:tc>
          <w:tcPr>
            <w:tcW w:w="1385" w:type="pct"/>
          </w:tcPr>
          <w:p w14:paraId="10733584" w14:textId="77777777" w:rsidR="0082248E" w:rsidRPr="009B378C" w:rsidRDefault="0082248E" w:rsidP="00D31C81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Se sídlem:</w:t>
            </w:r>
          </w:p>
        </w:tc>
        <w:tc>
          <w:tcPr>
            <w:tcW w:w="3615" w:type="pct"/>
          </w:tcPr>
          <w:p w14:paraId="2ED8D60F" w14:textId="77777777" w:rsidR="0082248E" w:rsidRPr="009B378C" w:rsidRDefault="0082248E" w:rsidP="00642B0B">
            <w:pPr>
              <w:spacing w:after="0" w:line="240" w:lineRule="auto"/>
              <w:ind w:left="2127" w:hanging="2127"/>
              <w:jc w:val="both"/>
              <w:rPr>
                <w:rFonts w:eastAsia="Times New Roman"/>
              </w:rPr>
            </w:pPr>
            <w:r w:rsidRPr="00251386">
              <w:rPr>
                <w:rFonts w:eastAsia="Times New Roman"/>
              </w:rPr>
              <w:t>Malostranská 646/36, Starý Lískovec, 625 00 Brno</w:t>
            </w:r>
          </w:p>
        </w:tc>
      </w:tr>
      <w:tr w:rsidR="0082248E" w:rsidRPr="009B378C" w14:paraId="3CF9A5C2" w14:textId="77777777" w:rsidTr="00D31C81">
        <w:tc>
          <w:tcPr>
            <w:tcW w:w="1385" w:type="pct"/>
          </w:tcPr>
          <w:p w14:paraId="30FA67FF" w14:textId="77777777" w:rsidR="0082248E" w:rsidRPr="009B378C" w:rsidRDefault="0082248E" w:rsidP="00D31C81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9B378C">
              <w:rPr>
                <w:rFonts w:eastAsia="Times New Roman"/>
              </w:rPr>
              <w:t>Zastoupená:</w:t>
            </w:r>
          </w:p>
        </w:tc>
        <w:tc>
          <w:tcPr>
            <w:tcW w:w="3615" w:type="pct"/>
          </w:tcPr>
          <w:p w14:paraId="11747D5A" w14:textId="77777777" w:rsidR="0082248E" w:rsidRPr="009B378C" w:rsidRDefault="0082248E" w:rsidP="00642B0B">
            <w:pPr>
              <w:spacing w:after="0" w:line="240" w:lineRule="auto"/>
              <w:ind w:left="2127" w:hanging="21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Ing. Radek Uchytil, Ph.D., předseda představenstva</w:t>
            </w:r>
          </w:p>
        </w:tc>
      </w:tr>
      <w:tr w:rsidR="0082248E" w:rsidRPr="009B378C" w14:paraId="00103B87" w14:textId="77777777" w:rsidTr="00D31C81">
        <w:tc>
          <w:tcPr>
            <w:tcW w:w="1385" w:type="pct"/>
          </w:tcPr>
          <w:p w14:paraId="5058E8EE" w14:textId="77777777" w:rsidR="0082248E" w:rsidRPr="009B378C" w:rsidRDefault="0082248E" w:rsidP="00D31C81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9B378C">
              <w:rPr>
                <w:rFonts w:eastAsia="Times New Roman"/>
              </w:rPr>
              <w:t>Bankovní spojení:</w:t>
            </w:r>
          </w:p>
        </w:tc>
        <w:tc>
          <w:tcPr>
            <w:tcW w:w="3615" w:type="pct"/>
          </w:tcPr>
          <w:p w14:paraId="7DECCA0C" w14:textId="77777777" w:rsidR="0082248E" w:rsidRPr="009B378C" w:rsidRDefault="0082248E" w:rsidP="00642B0B">
            <w:pPr>
              <w:spacing w:after="0" w:line="240" w:lineRule="auto"/>
              <w:ind w:left="2127" w:hanging="21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FIO banka a.s.</w:t>
            </w:r>
          </w:p>
        </w:tc>
      </w:tr>
      <w:tr w:rsidR="0082248E" w:rsidRPr="009B378C" w14:paraId="5620E525" w14:textId="77777777" w:rsidTr="00D31C81">
        <w:tc>
          <w:tcPr>
            <w:tcW w:w="1385" w:type="pct"/>
          </w:tcPr>
          <w:p w14:paraId="09C8659D" w14:textId="77777777" w:rsidR="0082248E" w:rsidRPr="009B378C" w:rsidRDefault="0082248E" w:rsidP="00D31C81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9B378C">
              <w:rPr>
                <w:rFonts w:eastAsia="Times New Roman"/>
              </w:rPr>
              <w:t>Číslo účtu:</w:t>
            </w:r>
          </w:p>
        </w:tc>
        <w:tc>
          <w:tcPr>
            <w:tcW w:w="3615" w:type="pct"/>
          </w:tcPr>
          <w:p w14:paraId="67EEFB05" w14:textId="77777777" w:rsidR="0082248E" w:rsidRPr="009B378C" w:rsidRDefault="0082248E" w:rsidP="00642B0B">
            <w:pPr>
              <w:spacing w:after="0" w:line="240" w:lineRule="auto"/>
              <w:ind w:left="2127" w:hanging="21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2800070620/2010</w:t>
            </w:r>
          </w:p>
        </w:tc>
      </w:tr>
      <w:tr w:rsidR="0082248E" w:rsidRPr="009B378C" w14:paraId="732431BC" w14:textId="77777777" w:rsidTr="00D31C81">
        <w:tc>
          <w:tcPr>
            <w:tcW w:w="5000" w:type="pct"/>
            <w:gridSpan w:val="2"/>
          </w:tcPr>
          <w:p w14:paraId="4703AD82" w14:textId="77777777" w:rsidR="0082248E" w:rsidRPr="009B378C" w:rsidRDefault="0082248E" w:rsidP="00D31C81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0B5DCF">
              <w:rPr>
                <w:rFonts w:eastAsia="Times New Roman"/>
              </w:rPr>
              <w:t xml:space="preserve">Zapsaná v obchodním rejstříku </w:t>
            </w:r>
            <w:r>
              <w:rPr>
                <w:rFonts w:eastAsia="Times New Roman"/>
              </w:rPr>
              <w:t>Krajského soudu v Brně, oddíl B</w:t>
            </w:r>
            <w:r w:rsidRPr="00277156">
              <w:rPr>
                <w:rFonts w:eastAsia="Times New Roman"/>
              </w:rPr>
              <w:t xml:space="preserve">, vložka </w:t>
            </w:r>
            <w:r>
              <w:rPr>
                <w:rFonts w:eastAsia="Times New Roman"/>
              </w:rPr>
              <w:t>3831</w:t>
            </w:r>
          </w:p>
        </w:tc>
      </w:tr>
    </w:tbl>
    <w:p w14:paraId="4E94ED83" w14:textId="77777777" w:rsidR="0082248E" w:rsidRDefault="0082248E" w:rsidP="0082248E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426889F0" w14:textId="77777777" w:rsidR="0082248E" w:rsidRDefault="0082248E" w:rsidP="0082248E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0B5DCF">
        <w:rPr>
          <w:rFonts w:eastAsia="Times New Roman"/>
          <w:sz w:val="20"/>
          <w:szCs w:val="20"/>
          <w:lang w:eastAsia="cs-CZ"/>
        </w:rPr>
        <w:t>dále též jako „</w:t>
      </w:r>
      <w:r w:rsidRPr="000B5DCF">
        <w:rPr>
          <w:rFonts w:eastAsia="Times New Roman"/>
          <w:b/>
          <w:sz w:val="20"/>
          <w:szCs w:val="20"/>
          <w:lang w:eastAsia="cs-CZ"/>
        </w:rPr>
        <w:t>Zhotovitel</w:t>
      </w:r>
      <w:r w:rsidRPr="000B5DCF">
        <w:rPr>
          <w:rFonts w:eastAsia="Times New Roman"/>
          <w:sz w:val="20"/>
          <w:szCs w:val="20"/>
          <w:lang w:eastAsia="cs-CZ"/>
        </w:rPr>
        <w:t>“ na straně druhé,</w:t>
      </w:r>
    </w:p>
    <w:p w14:paraId="3F80A3BD" w14:textId="4D47D205" w:rsidR="0082248E" w:rsidRDefault="0082248E" w:rsidP="0082248E">
      <w:pPr>
        <w:pStyle w:val="Standard"/>
        <w:spacing w:after="0" w:line="100" w:lineRule="atLeast"/>
        <w:ind w:left="2127" w:hanging="2127"/>
        <w:jc w:val="both"/>
      </w:pPr>
      <w:r>
        <w:rPr>
          <w:rFonts w:eastAsia="Times New Roman"/>
          <w:sz w:val="20"/>
          <w:szCs w:val="20"/>
        </w:rPr>
        <w:t xml:space="preserve">objednatel a zhotovitel společně také jako </w:t>
      </w:r>
      <w:r w:rsidRPr="00A528C7">
        <w:rPr>
          <w:rFonts w:eastAsia="Times New Roman"/>
          <w:b/>
          <w:bCs/>
          <w:sz w:val="20"/>
          <w:szCs w:val="20"/>
        </w:rPr>
        <w:t>„</w:t>
      </w:r>
      <w:r w:rsidR="00A528C7" w:rsidRPr="00A528C7">
        <w:rPr>
          <w:rFonts w:eastAsia="Times New Roman"/>
          <w:b/>
          <w:bCs/>
          <w:sz w:val="20"/>
          <w:szCs w:val="20"/>
        </w:rPr>
        <w:t>účastníci dohody“</w:t>
      </w:r>
      <w:r w:rsidR="00A528C7">
        <w:rPr>
          <w:rFonts w:eastAsia="Times New Roman"/>
          <w:sz w:val="20"/>
          <w:szCs w:val="20"/>
        </w:rPr>
        <w:t xml:space="preserve"> nebo </w:t>
      </w:r>
      <w:r w:rsidR="00A528C7" w:rsidRPr="00A528C7">
        <w:rPr>
          <w:rFonts w:eastAsia="Times New Roman"/>
          <w:b/>
          <w:bCs/>
          <w:sz w:val="20"/>
          <w:szCs w:val="20"/>
        </w:rPr>
        <w:t>„</w:t>
      </w:r>
      <w:r w:rsidRPr="00A528C7">
        <w:rPr>
          <w:rFonts w:eastAsia="Times New Roman"/>
          <w:b/>
          <w:bCs/>
          <w:sz w:val="20"/>
          <w:szCs w:val="20"/>
        </w:rPr>
        <w:t>smluvní strany“</w:t>
      </w:r>
    </w:p>
    <w:p w14:paraId="4516648C" w14:textId="77777777" w:rsidR="0082248E" w:rsidRDefault="0082248E" w:rsidP="0082248E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071C355D" w14:textId="77777777" w:rsidR="0082248E" w:rsidRDefault="0082248E" w:rsidP="0082248E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A8B138F" w14:textId="7E3C0AD5" w:rsidR="0082248E" w:rsidRDefault="0082248E" w:rsidP="0082248E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0B5DCF">
        <w:rPr>
          <w:rFonts w:eastAsia="Times New Roman"/>
          <w:sz w:val="20"/>
          <w:szCs w:val="20"/>
          <w:lang w:eastAsia="cs-CZ"/>
        </w:rPr>
        <w:t xml:space="preserve">se níže uvedeného dne, měsíce a roku dohodli </w:t>
      </w:r>
      <w:r w:rsidR="00A528C7">
        <w:rPr>
          <w:rFonts w:eastAsia="Times New Roman"/>
          <w:sz w:val="20"/>
          <w:szCs w:val="20"/>
          <w:lang w:eastAsia="cs-CZ"/>
        </w:rPr>
        <w:t>ve smyslu ust.</w:t>
      </w:r>
      <w:r w:rsidRPr="000B5DCF">
        <w:rPr>
          <w:rFonts w:eastAsia="Times New Roman"/>
          <w:sz w:val="20"/>
          <w:szCs w:val="20"/>
          <w:lang w:eastAsia="cs-CZ"/>
        </w:rPr>
        <w:t xml:space="preserve"> § </w:t>
      </w:r>
      <w:r w:rsidR="00A528C7">
        <w:rPr>
          <w:rFonts w:eastAsia="Times New Roman"/>
          <w:sz w:val="20"/>
          <w:szCs w:val="20"/>
          <w:lang w:eastAsia="cs-CZ"/>
        </w:rPr>
        <w:t>1903</w:t>
      </w:r>
      <w:r w:rsidRPr="000B5DCF">
        <w:rPr>
          <w:rFonts w:eastAsia="Times New Roman"/>
          <w:sz w:val="20"/>
          <w:szCs w:val="20"/>
          <w:lang w:eastAsia="cs-CZ"/>
        </w:rPr>
        <w:t xml:space="preserve"> a násl. zákona č. 89/2012, občanský zákoník, jak stanoví tato:</w:t>
      </w:r>
    </w:p>
    <w:p w14:paraId="25385E4C" w14:textId="77777777" w:rsidR="0082248E" w:rsidRDefault="0082248E" w:rsidP="0082248E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7E8652E3" w14:textId="77777777" w:rsidR="0082248E" w:rsidRDefault="0082248E" w:rsidP="0082248E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0226C109" w14:textId="662DE1F7" w:rsidR="0082248E" w:rsidRPr="0016146E" w:rsidRDefault="00A528C7" w:rsidP="0082248E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>dohoda o narovnání</w:t>
      </w:r>
    </w:p>
    <w:p w14:paraId="23C81F68" w14:textId="77777777" w:rsidR="0082248E" w:rsidRDefault="0082248E" w:rsidP="0082248E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>dále jen „</w:t>
      </w:r>
      <w:r>
        <w:rPr>
          <w:rFonts w:eastAsia="Times New Roman"/>
          <w:snapToGrid w:val="0"/>
          <w:sz w:val="20"/>
          <w:szCs w:val="20"/>
          <w:lang w:eastAsia="cs-CZ"/>
        </w:rPr>
        <w:t>dohoda</w:t>
      </w:r>
      <w:r w:rsidRPr="0016146E">
        <w:rPr>
          <w:rFonts w:eastAsia="Times New Roman"/>
          <w:snapToGrid w:val="0"/>
          <w:sz w:val="20"/>
          <w:szCs w:val="20"/>
          <w:lang w:eastAsia="cs-CZ"/>
        </w:rPr>
        <w:t>“</w:t>
      </w:r>
    </w:p>
    <w:p w14:paraId="4F69A7E8" w14:textId="77777777" w:rsidR="0082248E" w:rsidRDefault="0082248E" w:rsidP="0082248E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235B58EF" w14:textId="77777777" w:rsidR="0082248E" w:rsidRPr="0016146E" w:rsidRDefault="0082248E" w:rsidP="0082248E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Úvodní ustanovení</w:t>
      </w:r>
    </w:p>
    <w:p w14:paraId="5E40D7F2" w14:textId="6A2BEF1F" w:rsidR="00C47A61" w:rsidRDefault="00C47A61" w:rsidP="0082248E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Na základě Smlouvy o dílo ze dne 30.6.2006 </w:t>
      </w:r>
      <w:r w:rsidR="00CA74C1">
        <w:rPr>
          <w:rFonts w:ascii="Verdana" w:hAnsi="Verdana"/>
          <w:sz w:val="20"/>
          <w:lang w:eastAsia="cs-CZ"/>
        </w:rPr>
        <w:t xml:space="preserve">(dále jen </w:t>
      </w:r>
      <w:r w:rsidR="00CA74C1" w:rsidRPr="003D1404">
        <w:rPr>
          <w:rFonts w:ascii="Verdana" w:hAnsi="Verdana"/>
          <w:b/>
          <w:bCs/>
          <w:sz w:val="20"/>
          <w:lang w:eastAsia="cs-CZ"/>
        </w:rPr>
        <w:t>„Smlouva o dílo“</w:t>
      </w:r>
      <w:r w:rsidR="00CA74C1">
        <w:rPr>
          <w:rFonts w:ascii="Verdana" w:hAnsi="Verdana"/>
          <w:sz w:val="20"/>
          <w:lang w:eastAsia="cs-CZ"/>
        </w:rPr>
        <w:t>)</w:t>
      </w:r>
      <w:r w:rsidR="00725532">
        <w:rPr>
          <w:rFonts w:ascii="Verdana" w:hAnsi="Verdana"/>
          <w:sz w:val="20"/>
          <w:lang w:eastAsia="cs-CZ"/>
        </w:rPr>
        <w:t>, která je přílohou č. 1 této dohody,</w:t>
      </w:r>
      <w:r w:rsidR="00CA74C1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byly Objednateli dodány a nainstalovány počítačové programy software PharmaX</w:t>
      </w:r>
      <w:r w:rsidR="00BA093F">
        <w:rPr>
          <w:rFonts w:ascii="Verdana" w:hAnsi="Verdana"/>
          <w:sz w:val="20"/>
          <w:lang w:eastAsia="cs-CZ"/>
        </w:rPr>
        <w:t xml:space="preserve"> (dále je </w:t>
      </w:r>
      <w:r w:rsidR="00BA093F" w:rsidRPr="00BA093F">
        <w:rPr>
          <w:rFonts w:ascii="Verdana" w:hAnsi="Verdana"/>
          <w:b/>
          <w:bCs/>
          <w:sz w:val="20"/>
          <w:lang w:eastAsia="cs-CZ"/>
        </w:rPr>
        <w:t>„software“</w:t>
      </w:r>
      <w:r w:rsidR="00BA093F">
        <w:rPr>
          <w:rFonts w:ascii="Verdana" w:hAnsi="Verdana"/>
          <w:sz w:val="20"/>
          <w:lang w:eastAsia="cs-CZ"/>
        </w:rPr>
        <w:t>) a na základě poskytnuté licence mu bylo umožněno software užívat.</w:t>
      </w:r>
      <w:r w:rsidR="00BA093F" w:rsidRPr="00BA093F">
        <w:t xml:space="preserve"> </w:t>
      </w:r>
      <w:r w:rsidR="00BA093F" w:rsidRPr="00BA093F">
        <w:rPr>
          <w:rFonts w:ascii="Verdana" w:hAnsi="Verdana"/>
          <w:sz w:val="20"/>
          <w:lang w:eastAsia="cs-CZ"/>
        </w:rPr>
        <w:t xml:space="preserve">Součástí plnění zhotovitele dle smlouvy o dílo bylo také poskytnutí bezplatného záručního </w:t>
      </w:r>
      <w:proofErr w:type="gramStart"/>
      <w:r w:rsidR="00BA093F" w:rsidRPr="00BA093F">
        <w:rPr>
          <w:rFonts w:ascii="Verdana" w:hAnsi="Verdana"/>
          <w:sz w:val="20"/>
          <w:lang w:eastAsia="cs-CZ"/>
        </w:rPr>
        <w:t>servisu - údržby</w:t>
      </w:r>
      <w:proofErr w:type="gramEnd"/>
      <w:r w:rsidR="00BA093F" w:rsidRPr="00BA093F">
        <w:rPr>
          <w:rFonts w:ascii="Verdana" w:hAnsi="Verdana"/>
          <w:sz w:val="20"/>
          <w:lang w:eastAsia="cs-CZ"/>
        </w:rPr>
        <w:t xml:space="preserve"> software po dobu trvání záruky v délce 12 měsíců.</w:t>
      </w:r>
      <w:r w:rsidR="00BA093F">
        <w:rPr>
          <w:rFonts w:ascii="Verdana" w:hAnsi="Verdana"/>
          <w:sz w:val="20"/>
          <w:lang w:eastAsia="cs-CZ"/>
        </w:rPr>
        <w:t xml:space="preserve"> Po uplynutí záruční doby byl</w:t>
      </w:r>
      <w:r w:rsidR="00EC0EC7">
        <w:rPr>
          <w:rFonts w:ascii="Verdana" w:hAnsi="Verdana"/>
          <w:sz w:val="20"/>
          <w:lang w:eastAsia="cs-CZ"/>
        </w:rPr>
        <w:t>y servisní služby k instalovanému počítačovému systému – softwaru PharmaX poskytovány na základě Smlouvy o poskytování pozáručního servisu uzavřené mezi smluvními stranami dne 30.6.2006</w:t>
      </w:r>
      <w:r w:rsidR="00CA74C1">
        <w:rPr>
          <w:rFonts w:ascii="Verdana" w:hAnsi="Verdana"/>
          <w:sz w:val="20"/>
          <w:lang w:eastAsia="cs-CZ"/>
        </w:rPr>
        <w:t xml:space="preserve"> (dále jen </w:t>
      </w:r>
      <w:r w:rsidR="00CA74C1" w:rsidRPr="00CA74C1">
        <w:rPr>
          <w:rFonts w:ascii="Verdana" w:hAnsi="Verdana"/>
          <w:b/>
          <w:bCs/>
          <w:sz w:val="20"/>
          <w:lang w:eastAsia="cs-CZ"/>
        </w:rPr>
        <w:t>„</w:t>
      </w:r>
      <w:r w:rsidR="00CA74C1">
        <w:rPr>
          <w:rFonts w:ascii="Verdana" w:hAnsi="Verdana"/>
          <w:b/>
          <w:bCs/>
          <w:sz w:val="20"/>
          <w:lang w:eastAsia="cs-CZ"/>
        </w:rPr>
        <w:t xml:space="preserve">Servisní </w:t>
      </w:r>
      <w:r w:rsidR="002A41AB">
        <w:rPr>
          <w:rFonts w:ascii="Verdana" w:hAnsi="Verdana"/>
          <w:b/>
          <w:bCs/>
          <w:sz w:val="20"/>
          <w:lang w:eastAsia="cs-CZ"/>
        </w:rPr>
        <w:t>s</w:t>
      </w:r>
      <w:r w:rsidR="00CA74C1" w:rsidRPr="00CA74C1">
        <w:rPr>
          <w:rFonts w:ascii="Verdana" w:hAnsi="Verdana"/>
          <w:b/>
          <w:bCs/>
          <w:sz w:val="20"/>
          <w:lang w:eastAsia="cs-CZ"/>
        </w:rPr>
        <w:t>mlouva“</w:t>
      </w:r>
      <w:r w:rsidR="00CA74C1">
        <w:rPr>
          <w:rFonts w:ascii="Verdana" w:hAnsi="Verdana"/>
          <w:sz w:val="20"/>
          <w:lang w:eastAsia="cs-CZ"/>
        </w:rPr>
        <w:t>)</w:t>
      </w:r>
      <w:r w:rsidR="00EC0EC7">
        <w:rPr>
          <w:rFonts w:ascii="Verdana" w:hAnsi="Verdana"/>
          <w:sz w:val="20"/>
          <w:lang w:eastAsia="cs-CZ"/>
        </w:rPr>
        <w:t>, a to po dobu určitou 10 let</w:t>
      </w:r>
      <w:r w:rsidR="001A5CEF" w:rsidRPr="001A5CEF">
        <w:rPr>
          <w:rFonts w:ascii="Verdana" w:hAnsi="Verdana"/>
          <w:sz w:val="20"/>
          <w:lang w:eastAsia="cs-CZ"/>
        </w:rPr>
        <w:t xml:space="preserve"> </w:t>
      </w:r>
      <w:r w:rsidR="001A5CEF">
        <w:rPr>
          <w:rFonts w:ascii="Verdana" w:hAnsi="Verdana"/>
          <w:sz w:val="20"/>
          <w:lang w:eastAsia="cs-CZ"/>
        </w:rPr>
        <w:t>od data zahájení poskytování pozáručních servisních služeb dle Čl. V. Smlouvy o dílo</w:t>
      </w:r>
      <w:r w:rsidR="00EC0EC7">
        <w:rPr>
          <w:rFonts w:ascii="Verdana" w:hAnsi="Verdana"/>
          <w:sz w:val="20"/>
          <w:lang w:eastAsia="cs-CZ"/>
        </w:rPr>
        <w:t xml:space="preserve">. </w:t>
      </w:r>
      <w:r w:rsidR="00725532">
        <w:rPr>
          <w:rFonts w:ascii="Verdana" w:hAnsi="Verdana"/>
          <w:sz w:val="20"/>
          <w:lang w:eastAsia="cs-CZ"/>
        </w:rPr>
        <w:t>Servisní smlouva je přílohou č. 2 této dohody.</w:t>
      </w:r>
    </w:p>
    <w:p w14:paraId="7EED9711" w14:textId="73FF2A85" w:rsidR="00CA74C1" w:rsidRDefault="00CA74C1" w:rsidP="0082248E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Cena za pozáruční servis byla smluvními stranami dle Čl. VI. Servisní smlouvy stanovena paušálním servisním poplatkem, a to na základě Čl. VI. bodu 1) Smlouvy o dílo, ve výši 20</w:t>
      </w:r>
      <w:r w:rsidR="002958DB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% z ceny software a dalších (přiobjednaných, rozšiřujících) modulů na </w:t>
      </w:r>
      <w:r>
        <w:rPr>
          <w:rFonts w:ascii="Verdana" w:hAnsi="Verdana"/>
          <w:sz w:val="20"/>
          <w:lang w:eastAsia="cs-CZ"/>
        </w:rPr>
        <w:lastRenderedPageBreak/>
        <w:t>dobu jednoho kalendářního roku</w:t>
      </w:r>
      <w:r w:rsidR="00D331BF">
        <w:rPr>
          <w:rFonts w:ascii="Verdana" w:hAnsi="Verdana"/>
          <w:sz w:val="20"/>
          <w:lang w:eastAsia="cs-CZ"/>
        </w:rPr>
        <w:t xml:space="preserve">, </w:t>
      </w:r>
      <w:r w:rsidR="00D331BF" w:rsidRPr="00D331BF">
        <w:rPr>
          <w:rFonts w:ascii="Verdana" w:hAnsi="Verdana"/>
          <w:sz w:val="20"/>
          <w:lang w:eastAsia="cs-CZ"/>
        </w:rPr>
        <w:t xml:space="preserve">kdy smluvními stranami bylo sjednáno, že </w:t>
      </w:r>
      <w:r w:rsidR="00D331BF">
        <w:rPr>
          <w:rFonts w:ascii="Verdana" w:hAnsi="Verdana"/>
          <w:sz w:val="20"/>
          <w:lang w:eastAsia="cs-CZ"/>
        </w:rPr>
        <w:t>paušální servisní poplatek bude hrazen na základě faktury – daňového dokladu k počátku jednoročního intervalu, a to 1x ročně. Ostatní</w:t>
      </w:r>
      <w:r w:rsidR="004B3CEF">
        <w:rPr>
          <w:rFonts w:ascii="Verdana" w:hAnsi="Verdana"/>
          <w:sz w:val="20"/>
          <w:lang w:eastAsia="cs-CZ"/>
        </w:rPr>
        <w:t xml:space="preserve"> servisní položky</w:t>
      </w:r>
      <w:r w:rsidR="00D331BF">
        <w:rPr>
          <w:rFonts w:ascii="Verdana" w:hAnsi="Verdana"/>
          <w:sz w:val="20"/>
          <w:lang w:eastAsia="cs-CZ"/>
        </w:rPr>
        <w:t xml:space="preserve"> </w:t>
      </w:r>
      <w:r w:rsidR="004B3CEF">
        <w:rPr>
          <w:rFonts w:ascii="Verdana" w:hAnsi="Verdana"/>
          <w:sz w:val="20"/>
          <w:lang w:eastAsia="cs-CZ"/>
        </w:rPr>
        <w:t xml:space="preserve">nespadající do paušálního plnění </w:t>
      </w:r>
      <w:r w:rsidR="00D331BF">
        <w:rPr>
          <w:rFonts w:ascii="Verdana" w:hAnsi="Verdana"/>
          <w:sz w:val="20"/>
          <w:lang w:eastAsia="cs-CZ"/>
        </w:rPr>
        <w:t xml:space="preserve">a platby za materiál </w:t>
      </w:r>
      <w:r w:rsidR="004B3CEF">
        <w:rPr>
          <w:rFonts w:ascii="Verdana" w:hAnsi="Verdana"/>
          <w:sz w:val="20"/>
          <w:lang w:eastAsia="cs-CZ"/>
        </w:rPr>
        <w:t>se dle dohody smluvních stran řídí platným ceníkem zhotovitele</w:t>
      </w:r>
      <w:r w:rsidR="00D331BF">
        <w:rPr>
          <w:rFonts w:ascii="Verdana" w:hAnsi="Verdana"/>
          <w:sz w:val="20"/>
          <w:lang w:eastAsia="cs-CZ"/>
        </w:rPr>
        <w:t xml:space="preserve"> a budou hrazeny na základě vystavené faktury – daňového dokladu se splatností 14 dnů od data vystavení dokladu</w:t>
      </w:r>
      <w:r w:rsidR="004B3CEF">
        <w:rPr>
          <w:rFonts w:ascii="Verdana" w:hAnsi="Verdana"/>
          <w:sz w:val="20"/>
          <w:lang w:eastAsia="cs-CZ"/>
        </w:rPr>
        <w:t>.</w:t>
      </w:r>
      <w:r w:rsidR="00D331BF">
        <w:rPr>
          <w:rFonts w:ascii="Verdana" w:hAnsi="Verdana"/>
          <w:sz w:val="20"/>
          <w:lang w:eastAsia="cs-CZ"/>
        </w:rPr>
        <w:t xml:space="preserve"> Dle Čl. VI. bodu 3. Servisní smlouvy budou ceny pozáručního servisu pravidelně (zpravidla jedenkrát ročně) valorizovány o inflační koeficient.</w:t>
      </w:r>
    </w:p>
    <w:p w14:paraId="06DADDFD" w14:textId="594E0309" w:rsidR="003130D1" w:rsidRPr="003130D1" w:rsidRDefault="0095579C" w:rsidP="003130D1">
      <w:pPr>
        <w:pStyle w:val="Nadpis2"/>
        <w:ind w:left="578" w:hanging="578"/>
        <w:jc w:val="both"/>
        <w:rPr>
          <w:rFonts w:ascii="Verdana" w:hAnsi="Verdana"/>
          <w:sz w:val="20"/>
          <w:lang w:eastAsia="cs-CZ"/>
        </w:rPr>
      </w:pPr>
      <w:r w:rsidRPr="003130D1">
        <w:rPr>
          <w:rFonts w:ascii="Verdana" w:hAnsi="Verdana"/>
          <w:sz w:val="20"/>
        </w:rPr>
        <w:t xml:space="preserve">Smluvní strany konstatují, že oba účastníci dohody </w:t>
      </w:r>
      <w:r w:rsidR="004D1764" w:rsidRPr="003130D1">
        <w:rPr>
          <w:rFonts w:ascii="Verdana" w:hAnsi="Verdana"/>
          <w:sz w:val="20"/>
        </w:rPr>
        <w:t xml:space="preserve">nadále </w:t>
      </w:r>
      <w:r w:rsidRPr="003130D1">
        <w:rPr>
          <w:rFonts w:ascii="Verdana" w:hAnsi="Verdana"/>
          <w:sz w:val="20"/>
        </w:rPr>
        <w:t>vzájemně plní své závazky plynoucí ze Servisní smlouvy</w:t>
      </w:r>
      <w:r w:rsidR="004D1764" w:rsidRPr="003130D1">
        <w:rPr>
          <w:rFonts w:ascii="Verdana" w:hAnsi="Verdana"/>
          <w:sz w:val="20"/>
        </w:rPr>
        <w:t xml:space="preserve">, a to </w:t>
      </w:r>
      <w:r w:rsidR="00A324C1" w:rsidRPr="003130D1">
        <w:rPr>
          <w:rFonts w:ascii="Verdana" w:hAnsi="Verdana"/>
          <w:sz w:val="20"/>
        </w:rPr>
        <w:t xml:space="preserve">plynule bez přerušení </w:t>
      </w:r>
      <w:r w:rsidR="004D1764" w:rsidRPr="003130D1">
        <w:rPr>
          <w:rFonts w:ascii="Verdana" w:hAnsi="Verdana"/>
          <w:sz w:val="20"/>
        </w:rPr>
        <w:t xml:space="preserve">od </w:t>
      </w:r>
      <w:r w:rsidR="00A324C1" w:rsidRPr="003130D1">
        <w:rPr>
          <w:rFonts w:ascii="Verdana" w:hAnsi="Verdana"/>
          <w:sz w:val="20"/>
        </w:rPr>
        <w:t>skončení</w:t>
      </w:r>
      <w:r w:rsidR="004D1764" w:rsidRPr="003130D1">
        <w:rPr>
          <w:rFonts w:ascii="Verdana" w:hAnsi="Verdana"/>
          <w:sz w:val="20"/>
        </w:rPr>
        <w:t xml:space="preserve"> </w:t>
      </w:r>
      <w:r w:rsidRPr="003130D1">
        <w:rPr>
          <w:rFonts w:ascii="Verdana" w:hAnsi="Verdana"/>
          <w:sz w:val="20"/>
        </w:rPr>
        <w:t xml:space="preserve">sjednané doby </w:t>
      </w:r>
      <w:r w:rsidR="004D1764" w:rsidRPr="003130D1">
        <w:rPr>
          <w:rFonts w:ascii="Verdana" w:hAnsi="Verdana"/>
          <w:sz w:val="20"/>
        </w:rPr>
        <w:t>poskytování pozáručních servisních služeb</w:t>
      </w:r>
      <w:r w:rsidR="00A324C1" w:rsidRPr="003130D1">
        <w:rPr>
          <w:rFonts w:ascii="Verdana" w:hAnsi="Verdana"/>
          <w:sz w:val="20"/>
        </w:rPr>
        <w:t xml:space="preserve"> až doposud</w:t>
      </w:r>
      <w:r w:rsidRPr="003130D1">
        <w:rPr>
          <w:rFonts w:ascii="Verdana" w:hAnsi="Verdana"/>
          <w:sz w:val="20"/>
        </w:rPr>
        <w:t xml:space="preserve">. </w:t>
      </w:r>
      <w:r w:rsidR="00A324C1" w:rsidRPr="003130D1">
        <w:rPr>
          <w:rFonts w:ascii="Verdana" w:hAnsi="Verdana"/>
          <w:sz w:val="20"/>
        </w:rPr>
        <w:t xml:space="preserve">Zhotovitel poskytuje pozáruční servisní služby k instalovanému softwaru PharmaX </w:t>
      </w:r>
      <w:r w:rsidR="00372C5E">
        <w:rPr>
          <w:rFonts w:ascii="Verdana" w:hAnsi="Verdana"/>
          <w:sz w:val="20"/>
        </w:rPr>
        <w:t xml:space="preserve">včetně dalších modulů, a to </w:t>
      </w:r>
      <w:r w:rsidR="00A324C1" w:rsidRPr="003130D1">
        <w:rPr>
          <w:rFonts w:ascii="Verdana" w:hAnsi="Verdana"/>
          <w:sz w:val="20"/>
        </w:rPr>
        <w:t xml:space="preserve">v rozsahu a za podmínek stanovených Servisní smlouvou </w:t>
      </w:r>
      <w:r w:rsidR="00E014C3" w:rsidRPr="003130D1">
        <w:rPr>
          <w:rFonts w:ascii="Verdana" w:hAnsi="Verdana"/>
          <w:sz w:val="20"/>
        </w:rPr>
        <w:t>a objednatel platí zhotoviteli za poskytování těchto služeb paušální servisní poplatek ve výši 20</w:t>
      </w:r>
      <w:r w:rsidR="002958DB">
        <w:rPr>
          <w:rFonts w:ascii="Verdana" w:hAnsi="Verdana"/>
          <w:sz w:val="20"/>
        </w:rPr>
        <w:t xml:space="preserve"> </w:t>
      </w:r>
      <w:r w:rsidR="00E014C3" w:rsidRPr="003130D1">
        <w:rPr>
          <w:rFonts w:ascii="Verdana" w:hAnsi="Verdana"/>
          <w:sz w:val="20"/>
        </w:rPr>
        <w:t xml:space="preserve">% z ceny software a dalších modulů na dobu 12 měsíců, </w:t>
      </w:r>
      <w:r w:rsidR="003130D1" w:rsidRPr="003130D1">
        <w:rPr>
          <w:rFonts w:ascii="Verdana" w:hAnsi="Verdana"/>
          <w:sz w:val="20"/>
        </w:rPr>
        <w:t xml:space="preserve">přičemž </w:t>
      </w:r>
      <w:r w:rsidR="003130D1">
        <w:rPr>
          <w:rFonts w:ascii="Verdana" w:hAnsi="Verdana"/>
          <w:sz w:val="20"/>
          <w:lang w:eastAsia="cs-CZ"/>
        </w:rPr>
        <w:t>c</w:t>
      </w:r>
      <w:r w:rsidR="003130D1" w:rsidRPr="003130D1">
        <w:rPr>
          <w:rFonts w:ascii="Verdana" w:hAnsi="Verdana"/>
          <w:sz w:val="20"/>
          <w:lang w:eastAsia="cs-CZ"/>
        </w:rPr>
        <w:t xml:space="preserve">ena </w:t>
      </w:r>
      <w:r w:rsidR="003130D1">
        <w:rPr>
          <w:rFonts w:ascii="Verdana" w:hAnsi="Verdana"/>
          <w:sz w:val="20"/>
          <w:lang w:eastAsia="cs-CZ"/>
        </w:rPr>
        <w:t>je</w:t>
      </w:r>
      <w:r w:rsidR="003130D1" w:rsidRPr="003130D1">
        <w:rPr>
          <w:rFonts w:ascii="Verdana" w:hAnsi="Verdana"/>
          <w:sz w:val="20"/>
          <w:lang w:eastAsia="cs-CZ"/>
        </w:rPr>
        <w:t xml:space="preserve"> hrazena v poměrné výši měsíčně</w:t>
      </w:r>
      <w:r w:rsidR="003130D1">
        <w:rPr>
          <w:rFonts w:ascii="Verdana" w:hAnsi="Verdana"/>
          <w:sz w:val="20"/>
          <w:lang w:eastAsia="cs-CZ"/>
        </w:rPr>
        <w:t xml:space="preserve"> </w:t>
      </w:r>
      <w:r w:rsidR="003130D1" w:rsidRPr="003130D1">
        <w:rPr>
          <w:rFonts w:ascii="Verdana" w:hAnsi="Verdana"/>
          <w:sz w:val="20"/>
          <w:lang w:eastAsia="cs-CZ"/>
        </w:rPr>
        <w:t xml:space="preserve">na základě faktury vystavené Zhotovitelem za příslušný kalendářní měsíc. Faktura je splatná do </w:t>
      </w:r>
      <w:r w:rsidR="003130D1">
        <w:rPr>
          <w:rFonts w:ascii="Verdana" w:hAnsi="Verdana"/>
          <w:sz w:val="20"/>
          <w:lang w:eastAsia="cs-CZ"/>
        </w:rPr>
        <w:t>14</w:t>
      </w:r>
      <w:r w:rsidR="003130D1" w:rsidRPr="003130D1">
        <w:rPr>
          <w:rFonts w:ascii="Verdana" w:hAnsi="Verdana"/>
          <w:sz w:val="20"/>
          <w:lang w:eastAsia="cs-CZ"/>
        </w:rPr>
        <w:t xml:space="preserve"> dní od jejího </w:t>
      </w:r>
      <w:r w:rsidR="003130D1">
        <w:rPr>
          <w:rFonts w:ascii="Verdana" w:hAnsi="Verdana"/>
          <w:sz w:val="20"/>
          <w:lang w:eastAsia="cs-CZ"/>
        </w:rPr>
        <w:t>vystavení</w:t>
      </w:r>
      <w:r w:rsidR="003130D1" w:rsidRPr="003130D1">
        <w:rPr>
          <w:rFonts w:ascii="Verdana" w:hAnsi="Verdana"/>
          <w:sz w:val="20"/>
          <w:lang w:eastAsia="cs-CZ"/>
        </w:rPr>
        <w:t>.</w:t>
      </w:r>
      <w:r w:rsidR="00372C5E">
        <w:rPr>
          <w:rFonts w:ascii="Verdana" w:hAnsi="Verdana"/>
          <w:sz w:val="20"/>
          <w:lang w:eastAsia="cs-CZ"/>
        </w:rPr>
        <w:t xml:space="preserve"> </w:t>
      </w:r>
    </w:p>
    <w:p w14:paraId="44A7716D" w14:textId="77777777" w:rsidR="001A5CEF" w:rsidRDefault="00305D32" w:rsidP="001357C8">
      <w:pPr>
        <w:pStyle w:val="Nadpis2"/>
        <w:jc w:val="both"/>
        <w:rPr>
          <w:rFonts w:ascii="Verdana" w:hAnsi="Verdana"/>
          <w:sz w:val="20"/>
          <w:lang w:eastAsia="cs-CZ"/>
        </w:rPr>
      </w:pPr>
      <w:r w:rsidRPr="00305D32">
        <w:rPr>
          <w:rFonts w:ascii="Verdana" w:hAnsi="Verdana"/>
          <w:sz w:val="20"/>
          <w:lang w:eastAsia="cs-CZ"/>
        </w:rPr>
        <w:t>Smluvní strany dále konstatují, že si na základě S</w:t>
      </w:r>
      <w:r>
        <w:rPr>
          <w:rFonts w:ascii="Verdana" w:hAnsi="Verdana"/>
          <w:sz w:val="20"/>
          <w:lang w:eastAsia="cs-CZ"/>
        </w:rPr>
        <w:t>ervisní s</w:t>
      </w:r>
      <w:r w:rsidRPr="00305D32">
        <w:rPr>
          <w:rFonts w:ascii="Verdana" w:hAnsi="Verdana"/>
          <w:sz w:val="20"/>
          <w:lang w:eastAsia="cs-CZ"/>
        </w:rPr>
        <w:t xml:space="preserve">mlouvy </w:t>
      </w:r>
      <w:r>
        <w:rPr>
          <w:rFonts w:ascii="Verdana" w:hAnsi="Verdana"/>
          <w:sz w:val="20"/>
          <w:lang w:eastAsia="cs-CZ"/>
        </w:rPr>
        <w:t>poskytují</w:t>
      </w:r>
      <w:r w:rsidRPr="00305D32">
        <w:rPr>
          <w:rFonts w:ascii="Verdana" w:hAnsi="Verdana"/>
          <w:sz w:val="20"/>
          <w:lang w:eastAsia="cs-CZ"/>
        </w:rPr>
        <w:t xml:space="preserve"> vzájemná plnění tak, jako by </w:t>
      </w:r>
      <w:r>
        <w:rPr>
          <w:rFonts w:ascii="Verdana" w:hAnsi="Verdana"/>
          <w:sz w:val="20"/>
          <w:lang w:eastAsia="cs-CZ"/>
        </w:rPr>
        <w:t xml:space="preserve">Servisní smlouva platila i nadále, s výjimkou způsobu úhrady paušálního servisního poplatku, který je </w:t>
      </w:r>
      <w:r w:rsidR="00AC4172">
        <w:rPr>
          <w:rFonts w:ascii="Verdana" w:hAnsi="Verdana"/>
          <w:sz w:val="20"/>
          <w:lang w:eastAsia="cs-CZ"/>
        </w:rPr>
        <w:t xml:space="preserve">dle dohody smluvních stran </w:t>
      </w:r>
      <w:r>
        <w:rPr>
          <w:rFonts w:ascii="Verdana" w:hAnsi="Verdana"/>
          <w:sz w:val="20"/>
          <w:lang w:eastAsia="cs-CZ"/>
        </w:rPr>
        <w:t xml:space="preserve">nově </w:t>
      </w:r>
      <w:r w:rsidR="00AC4172">
        <w:rPr>
          <w:rFonts w:ascii="Verdana" w:hAnsi="Verdana"/>
          <w:sz w:val="20"/>
          <w:lang w:eastAsia="cs-CZ"/>
        </w:rPr>
        <w:t>hrazen měsíčně v poměrné výši</w:t>
      </w:r>
      <w:r w:rsidRPr="00305D32">
        <w:rPr>
          <w:rFonts w:ascii="Verdana" w:hAnsi="Verdana"/>
          <w:sz w:val="20"/>
          <w:lang w:eastAsia="cs-CZ"/>
        </w:rPr>
        <w:t>.</w:t>
      </w:r>
    </w:p>
    <w:p w14:paraId="21359834" w14:textId="7D2EF241" w:rsidR="001A5CEF" w:rsidRDefault="001A5CEF" w:rsidP="001357C8">
      <w:pPr>
        <w:pStyle w:val="Nadpis2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Smluvní strany konstatují, že v důsledku výše popsaného stavu vzniká na straně Objednatele bezdůvodné obohacení v podobě Zhotovitelem poskytnutých servisních služeb a současně s tím vzniká na straně Zhotovitele bezdůvodné obohacení v podobě Objednatelem hrazeného servisního poplatku, kdy právní důvod obou plnění odpadl v důsledku konce platnosti </w:t>
      </w:r>
      <w:r w:rsidR="00372C5E">
        <w:rPr>
          <w:rFonts w:ascii="Verdana" w:hAnsi="Verdana"/>
          <w:sz w:val="20"/>
          <w:lang w:eastAsia="cs-CZ"/>
        </w:rPr>
        <w:t>S</w:t>
      </w:r>
      <w:r>
        <w:rPr>
          <w:rFonts w:ascii="Verdana" w:hAnsi="Verdana"/>
          <w:sz w:val="20"/>
          <w:lang w:eastAsia="cs-CZ"/>
        </w:rPr>
        <w:t>ervisní smlouvy nejpozději dne 30.6.2017. Smluvní strany činí mezi sebou nesporným, že hodnota obou vzájemně poskytnutých plnění je shodná.</w:t>
      </w:r>
    </w:p>
    <w:p w14:paraId="026F80A6" w14:textId="66B74DEE" w:rsidR="0082248E" w:rsidRPr="001357C8" w:rsidRDefault="00305D32" w:rsidP="001357C8">
      <w:pPr>
        <w:pStyle w:val="Nadpis2"/>
        <w:jc w:val="both"/>
        <w:rPr>
          <w:rFonts w:ascii="Verdana" w:hAnsi="Verdana"/>
          <w:sz w:val="20"/>
          <w:lang w:eastAsia="cs-CZ"/>
        </w:rPr>
      </w:pPr>
      <w:r w:rsidRPr="00305D32">
        <w:rPr>
          <w:rFonts w:ascii="Verdana" w:hAnsi="Verdana"/>
          <w:sz w:val="20"/>
          <w:lang w:eastAsia="cs-CZ"/>
        </w:rPr>
        <w:t xml:space="preserve">Smluvní strany </w:t>
      </w:r>
      <w:r w:rsidR="00AC4172">
        <w:rPr>
          <w:rFonts w:ascii="Verdana" w:hAnsi="Verdana"/>
          <w:sz w:val="20"/>
          <w:lang w:eastAsia="cs-CZ"/>
        </w:rPr>
        <w:t>v zájmu odstranění pochybností o existenci jejich vzájemného právního vztahu</w:t>
      </w:r>
      <w:r w:rsidR="00A1655A">
        <w:rPr>
          <w:rFonts w:ascii="Verdana" w:hAnsi="Verdana"/>
          <w:sz w:val="20"/>
          <w:lang w:eastAsia="cs-CZ"/>
        </w:rPr>
        <w:t xml:space="preserve">, </w:t>
      </w:r>
      <w:r w:rsidR="00AC4172">
        <w:rPr>
          <w:rFonts w:ascii="Verdana" w:hAnsi="Verdana"/>
          <w:sz w:val="20"/>
          <w:lang w:eastAsia="cs-CZ"/>
        </w:rPr>
        <w:t>v zájmu zachování právní jistoty</w:t>
      </w:r>
      <w:r w:rsidR="00A1655A">
        <w:rPr>
          <w:rFonts w:ascii="Verdana" w:hAnsi="Verdana"/>
          <w:sz w:val="20"/>
          <w:lang w:eastAsia="cs-CZ"/>
        </w:rPr>
        <w:t xml:space="preserve"> a v zájmu úpravy </w:t>
      </w:r>
      <w:r w:rsidR="00A1655A" w:rsidRPr="00A1655A">
        <w:rPr>
          <w:rFonts w:ascii="Verdana" w:hAnsi="Verdana"/>
          <w:sz w:val="20"/>
          <w:lang w:eastAsia="cs-CZ"/>
        </w:rPr>
        <w:t>vzájemných práv a povinností vyplývajících z</w:t>
      </w:r>
      <w:r w:rsidR="00A1655A">
        <w:rPr>
          <w:rFonts w:ascii="Verdana" w:hAnsi="Verdana"/>
          <w:sz w:val="20"/>
          <w:lang w:eastAsia="cs-CZ"/>
        </w:rPr>
        <w:t xml:space="preserve"> již </w:t>
      </w:r>
      <w:r w:rsidR="003B5A1C">
        <w:rPr>
          <w:rFonts w:ascii="Verdana" w:hAnsi="Verdana"/>
          <w:sz w:val="20"/>
          <w:lang w:eastAsia="cs-CZ"/>
        </w:rPr>
        <w:t>neplatné Servisní s</w:t>
      </w:r>
      <w:r w:rsidR="00A1655A" w:rsidRPr="00A1655A">
        <w:rPr>
          <w:rFonts w:ascii="Verdana" w:hAnsi="Verdana"/>
          <w:sz w:val="20"/>
          <w:lang w:eastAsia="cs-CZ"/>
        </w:rPr>
        <w:t>mlouvy</w:t>
      </w:r>
      <w:r w:rsidR="003B5A1C">
        <w:rPr>
          <w:rFonts w:ascii="Verdana" w:hAnsi="Verdana"/>
          <w:sz w:val="20"/>
          <w:lang w:eastAsia="cs-CZ"/>
        </w:rPr>
        <w:t xml:space="preserve">, dle které </w:t>
      </w:r>
      <w:r w:rsidR="00A1655A" w:rsidRPr="00A1655A">
        <w:rPr>
          <w:rFonts w:ascii="Verdana" w:hAnsi="Verdana"/>
          <w:sz w:val="20"/>
          <w:lang w:eastAsia="cs-CZ"/>
        </w:rPr>
        <w:t>obě strany jednaly</w:t>
      </w:r>
      <w:r w:rsidR="003B5A1C">
        <w:rPr>
          <w:rFonts w:ascii="Verdana" w:hAnsi="Verdana"/>
          <w:sz w:val="20"/>
          <w:lang w:eastAsia="cs-CZ"/>
        </w:rPr>
        <w:t xml:space="preserve"> a plnily své závazky tak, jako by byla předmětná Servisní smlouva dosud platná a účinná, </w:t>
      </w:r>
      <w:r w:rsidRPr="00305D32">
        <w:rPr>
          <w:rFonts w:ascii="Verdana" w:hAnsi="Verdana"/>
          <w:sz w:val="20"/>
          <w:lang w:eastAsia="cs-CZ"/>
        </w:rPr>
        <w:t xml:space="preserve">sjednávají tuto </w:t>
      </w:r>
      <w:r w:rsidR="001357C8">
        <w:rPr>
          <w:rFonts w:ascii="Verdana" w:hAnsi="Verdana"/>
          <w:sz w:val="20"/>
          <w:lang w:eastAsia="cs-CZ"/>
        </w:rPr>
        <w:t>dohodu o narovnání.</w:t>
      </w:r>
    </w:p>
    <w:p w14:paraId="0AA72026" w14:textId="77777777" w:rsidR="0082248E" w:rsidRPr="0016146E" w:rsidRDefault="0082248E" w:rsidP="0082248E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Předmět dohody</w:t>
      </w:r>
    </w:p>
    <w:p w14:paraId="5C208265" w14:textId="1647A143" w:rsidR="00AF59A2" w:rsidRDefault="00AF59A2" w:rsidP="0082248E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F59A2">
        <w:rPr>
          <w:rFonts w:ascii="Verdana" w:hAnsi="Verdana"/>
          <w:sz w:val="20"/>
          <w:lang w:eastAsia="cs-CZ"/>
        </w:rPr>
        <w:t>Smluvní strany mají zájem narovnat sporná práva a povinnosti související s</w:t>
      </w:r>
      <w:r w:rsidR="007353FD">
        <w:rPr>
          <w:rFonts w:ascii="Verdana" w:hAnsi="Verdana"/>
          <w:sz w:val="20"/>
          <w:lang w:eastAsia="cs-CZ"/>
        </w:rPr>
        <w:t> poskytováním pozáručního servisu</w:t>
      </w:r>
      <w:r w:rsidRPr="00AF59A2">
        <w:rPr>
          <w:rFonts w:ascii="Verdana" w:hAnsi="Verdana"/>
          <w:sz w:val="20"/>
          <w:lang w:eastAsia="cs-CZ"/>
        </w:rPr>
        <w:t>, proto se dohodly na následujícím:</w:t>
      </w:r>
    </w:p>
    <w:p w14:paraId="40768FAA" w14:textId="6DD3D087" w:rsidR="00827604" w:rsidRDefault="007353FD" w:rsidP="0082248E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7353FD">
        <w:rPr>
          <w:rFonts w:ascii="Verdana" w:hAnsi="Verdana"/>
          <w:sz w:val="20"/>
          <w:lang w:eastAsia="cs-CZ"/>
        </w:rPr>
        <w:t xml:space="preserve">Smluvní strany činí mezi sebou nesporným, že platnost </w:t>
      </w:r>
      <w:r w:rsidR="009A7A85">
        <w:rPr>
          <w:rFonts w:ascii="Verdana" w:hAnsi="Verdana"/>
          <w:sz w:val="20"/>
          <w:lang w:eastAsia="cs-CZ"/>
        </w:rPr>
        <w:t xml:space="preserve">Servisní </w:t>
      </w:r>
      <w:r w:rsidRPr="007353FD">
        <w:rPr>
          <w:rFonts w:ascii="Verdana" w:hAnsi="Verdana"/>
          <w:sz w:val="20"/>
          <w:lang w:eastAsia="cs-CZ"/>
        </w:rPr>
        <w:t xml:space="preserve">smlouvy </w:t>
      </w:r>
      <w:r w:rsidR="009A7A85">
        <w:rPr>
          <w:rFonts w:ascii="Verdana" w:hAnsi="Verdana"/>
          <w:sz w:val="20"/>
          <w:lang w:eastAsia="cs-CZ"/>
        </w:rPr>
        <w:t>v souladu s</w:t>
      </w:r>
      <w:r w:rsidR="002958DB">
        <w:rPr>
          <w:rFonts w:ascii="Verdana" w:hAnsi="Verdana"/>
          <w:sz w:val="20"/>
          <w:lang w:eastAsia="cs-CZ"/>
        </w:rPr>
        <w:t> jejím</w:t>
      </w:r>
      <w:r w:rsidR="009A7A85">
        <w:rPr>
          <w:rFonts w:ascii="Verdana" w:hAnsi="Verdana"/>
          <w:sz w:val="20"/>
          <w:lang w:eastAsia="cs-CZ"/>
        </w:rPr>
        <w:t xml:space="preserve"> Čl. VII. bodem 1. a 2. </w:t>
      </w:r>
      <w:r w:rsidRPr="007353FD">
        <w:rPr>
          <w:rFonts w:ascii="Verdana" w:hAnsi="Verdana"/>
          <w:sz w:val="20"/>
          <w:lang w:eastAsia="cs-CZ"/>
        </w:rPr>
        <w:t>skončila</w:t>
      </w:r>
      <w:r w:rsidR="009A7A85">
        <w:rPr>
          <w:rFonts w:ascii="Verdana" w:hAnsi="Verdana"/>
          <w:sz w:val="20"/>
          <w:lang w:eastAsia="cs-CZ"/>
        </w:rPr>
        <w:t xml:space="preserve"> uplynutím 10 let od data zahájení poskytování pozáručních servisních služeb</w:t>
      </w:r>
      <w:r w:rsidR="00BC1B6F">
        <w:rPr>
          <w:rFonts w:ascii="Verdana" w:hAnsi="Verdana"/>
          <w:sz w:val="20"/>
          <w:lang w:eastAsia="cs-CZ"/>
        </w:rPr>
        <w:t xml:space="preserve"> </w:t>
      </w:r>
      <w:r w:rsidR="009A7A85">
        <w:rPr>
          <w:rFonts w:ascii="Verdana" w:hAnsi="Verdana"/>
          <w:sz w:val="20"/>
          <w:lang w:eastAsia="cs-CZ"/>
        </w:rPr>
        <w:t>dle Čl. V. Smlouvy o dílo</w:t>
      </w:r>
      <w:r w:rsidR="00BC1B6F">
        <w:rPr>
          <w:rFonts w:ascii="Verdana" w:hAnsi="Verdana"/>
          <w:sz w:val="20"/>
          <w:lang w:eastAsia="cs-CZ"/>
        </w:rPr>
        <w:t>, tj.</w:t>
      </w:r>
      <w:r w:rsidRPr="007353FD">
        <w:rPr>
          <w:rFonts w:ascii="Verdana" w:hAnsi="Verdana"/>
          <w:sz w:val="20"/>
          <w:lang w:eastAsia="cs-CZ"/>
        </w:rPr>
        <w:t xml:space="preserve"> </w:t>
      </w:r>
      <w:r w:rsidR="002A41AB" w:rsidRPr="002A41AB">
        <w:rPr>
          <w:rFonts w:ascii="Verdana" w:hAnsi="Verdana"/>
          <w:sz w:val="20"/>
          <w:lang w:eastAsia="cs-CZ"/>
        </w:rPr>
        <w:t xml:space="preserve">nejpozději </w:t>
      </w:r>
      <w:r w:rsidRPr="002A41AB">
        <w:rPr>
          <w:rFonts w:ascii="Verdana" w:hAnsi="Verdana"/>
          <w:sz w:val="20"/>
          <w:lang w:eastAsia="cs-CZ"/>
        </w:rPr>
        <w:t xml:space="preserve">dne </w:t>
      </w:r>
      <w:r w:rsidR="00BC1B6F" w:rsidRPr="002A41AB">
        <w:rPr>
          <w:rFonts w:ascii="Verdana" w:hAnsi="Verdana"/>
          <w:sz w:val="20"/>
          <w:lang w:eastAsia="cs-CZ"/>
        </w:rPr>
        <w:t>30.6.2017</w:t>
      </w:r>
      <w:r w:rsidRPr="002A41AB">
        <w:rPr>
          <w:rFonts w:ascii="Verdana" w:hAnsi="Verdana"/>
          <w:sz w:val="20"/>
          <w:lang w:eastAsia="cs-CZ"/>
        </w:rPr>
        <w:t>.</w:t>
      </w:r>
      <w:r w:rsidRPr="007353FD">
        <w:rPr>
          <w:rFonts w:ascii="Verdana" w:hAnsi="Verdana"/>
          <w:sz w:val="20"/>
          <w:lang w:eastAsia="cs-CZ"/>
        </w:rPr>
        <w:t xml:space="preserve"> </w:t>
      </w:r>
      <w:r w:rsidR="00BC1B6F">
        <w:rPr>
          <w:rFonts w:ascii="Verdana" w:hAnsi="Verdana"/>
          <w:sz w:val="20"/>
          <w:lang w:eastAsia="cs-CZ"/>
        </w:rPr>
        <w:t xml:space="preserve">Zhotovitel však nadále poskytoval servisní služby </w:t>
      </w:r>
      <w:r w:rsidR="00827604">
        <w:rPr>
          <w:rFonts w:ascii="Verdana" w:hAnsi="Verdana"/>
          <w:sz w:val="20"/>
          <w:lang w:eastAsia="cs-CZ"/>
        </w:rPr>
        <w:t>v rozsahu a za podmínek dle Servisní smlouvy a objednatel za ně nadále hradil cenu ujednanou v Servisní smlouvě.</w:t>
      </w:r>
    </w:p>
    <w:p w14:paraId="4888FBFE" w14:textId="53D260FE" w:rsidR="0082248E" w:rsidRDefault="00827604" w:rsidP="0082248E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27604">
        <w:rPr>
          <w:rFonts w:ascii="Verdana" w:hAnsi="Verdana"/>
          <w:sz w:val="20"/>
          <w:lang w:eastAsia="cs-CZ"/>
        </w:rPr>
        <w:t xml:space="preserve">Smluvní strany se dále dohodly, že za </w:t>
      </w:r>
      <w:r>
        <w:rPr>
          <w:rFonts w:ascii="Verdana" w:hAnsi="Verdana"/>
          <w:sz w:val="20"/>
          <w:lang w:eastAsia="cs-CZ"/>
        </w:rPr>
        <w:t>poskytování pozáručních servisních služeb</w:t>
      </w:r>
      <w:r w:rsidRPr="00827604">
        <w:rPr>
          <w:rFonts w:ascii="Verdana" w:hAnsi="Verdana"/>
          <w:sz w:val="20"/>
          <w:lang w:eastAsia="cs-CZ"/>
        </w:rPr>
        <w:t xml:space="preserve"> v období od </w:t>
      </w:r>
      <w:r>
        <w:rPr>
          <w:rFonts w:ascii="Verdana" w:hAnsi="Verdana"/>
          <w:sz w:val="20"/>
          <w:lang w:eastAsia="cs-CZ"/>
        </w:rPr>
        <w:t>1.7.2017</w:t>
      </w:r>
      <w:r w:rsidRPr="00827604">
        <w:rPr>
          <w:rFonts w:ascii="Verdana" w:hAnsi="Verdana"/>
          <w:sz w:val="20"/>
          <w:lang w:eastAsia="cs-CZ"/>
        </w:rPr>
        <w:t xml:space="preserve"> do dne </w:t>
      </w:r>
      <w:r w:rsidR="008D695D">
        <w:rPr>
          <w:rFonts w:ascii="Verdana" w:hAnsi="Verdana"/>
          <w:sz w:val="20"/>
          <w:lang w:eastAsia="cs-CZ"/>
        </w:rPr>
        <w:t>30.4.20</w:t>
      </w:r>
      <w:r w:rsidR="00372C5E">
        <w:rPr>
          <w:rFonts w:ascii="Verdana" w:hAnsi="Verdana"/>
          <w:sz w:val="20"/>
          <w:lang w:eastAsia="cs-CZ"/>
        </w:rPr>
        <w:t>23</w:t>
      </w:r>
      <w:r w:rsidRPr="00827604">
        <w:rPr>
          <w:rFonts w:ascii="Verdana" w:hAnsi="Verdana"/>
          <w:sz w:val="20"/>
          <w:lang w:eastAsia="cs-CZ"/>
        </w:rPr>
        <w:t xml:space="preserve"> náleží </w:t>
      </w:r>
      <w:r>
        <w:rPr>
          <w:rFonts w:ascii="Verdana" w:hAnsi="Verdana"/>
          <w:sz w:val="20"/>
          <w:lang w:eastAsia="cs-CZ"/>
        </w:rPr>
        <w:t xml:space="preserve">zhotoviteli </w:t>
      </w:r>
      <w:r w:rsidR="00612995">
        <w:rPr>
          <w:rFonts w:ascii="Verdana" w:hAnsi="Verdana"/>
          <w:sz w:val="20"/>
          <w:lang w:eastAsia="cs-CZ"/>
        </w:rPr>
        <w:t>paušální servisní poplatek ve výši</w:t>
      </w:r>
      <w:r w:rsidRPr="00827604">
        <w:rPr>
          <w:rFonts w:ascii="Verdana" w:hAnsi="Verdana"/>
          <w:sz w:val="20"/>
          <w:lang w:eastAsia="cs-CZ"/>
        </w:rPr>
        <w:t>, kter</w:t>
      </w:r>
      <w:r w:rsidR="00612995">
        <w:rPr>
          <w:rFonts w:ascii="Verdana" w:hAnsi="Verdana"/>
          <w:sz w:val="20"/>
          <w:lang w:eastAsia="cs-CZ"/>
        </w:rPr>
        <w:t>ou</w:t>
      </w:r>
      <w:r w:rsidRPr="00827604">
        <w:rPr>
          <w:rFonts w:ascii="Verdana" w:hAnsi="Verdana"/>
          <w:sz w:val="20"/>
          <w:lang w:eastAsia="cs-CZ"/>
        </w:rPr>
        <w:t xml:space="preserve"> by </w:t>
      </w:r>
      <w:r w:rsidR="00612995">
        <w:rPr>
          <w:rFonts w:ascii="Verdana" w:hAnsi="Verdana"/>
          <w:sz w:val="20"/>
          <w:lang w:eastAsia="cs-CZ"/>
        </w:rPr>
        <w:t>objednatel zhotoviteli</w:t>
      </w:r>
      <w:r w:rsidRPr="00827604">
        <w:rPr>
          <w:rFonts w:ascii="Verdana" w:hAnsi="Verdana"/>
          <w:sz w:val="20"/>
          <w:lang w:eastAsia="cs-CZ"/>
        </w:rPr>
        <w:t xml:space="preserve"> hradil, pokud by </w:t>
      </w:r>
      <w:r w:rsidR="00612995">
        <w:rPr>
          <w:rFonts w:ascii="Verdana" w:hAnsi="Verdana"/>
          <w:sz w:val="20"/>
          <w:lang w:eastAsia="cs-CZ"/>
        </w:rPr>
        <w:t xml:space="preserve">Servisní </w:t>
      </w:r>
      <w:r w:rsidRPr="00827604">
        <w:rPr>
          <w:rFonts w:ascii="Verdana" w:hAnsi="Verdana"/>
          <w:sz w:val="20"/>
          <w:lang w:eastAsia="cs-CZ"/>
        </w:rPr>
        <w:t>smlouva platila i nadále</w:t>
      </w:r>
      <w:r w:rsidR="001308EA">
        <w:rPr>
          <w:rFonts w:ascii="Verdana" w:hAnsi="Verdana"/>
          <w:sz w:val="20"/>
          <w:lang w:eastAsia="cs-CZ"/>
        </w:rPr>
        <w:t xml:space="preserve">, tj. </w:t>
      </w:r>
      <w:r w:rsidR="001308EA" w:rsidRPr="00251386">
        <w:rPr>
          <w:rFonts w:ascii="Verdana" w:hAnsi="Verdana"/>
          <w:sz w:val="20"/>
        </w:rPr>
        <w:t xml:space="preserve">ve výši odpovídající 20% pořizovací ceny všech modulů software </w:t>
      </w:r>
      <w:r w:rsidR="001308EA">
        <w:rPr>
          <w:rFonts w:ascii="Verdana" w:hAnsi="Verdana"/>
          <w:sz w:val="20"/>
        </w:rPr>
        <w:t xml:space="preserve">PharmaX (včetně </w:t>
      </w:r>
      <w:r w:rsidR="00372C5E">
        <w:rPr>
          <w:rFonts w:ascii="Verdana" w:hAnsi="Verdana"/>
          <w:sz w:val="20"/>
        </w:rPr>
        <w:t>dalších</w:t>
      </w:r>
      <w:r w:rsidR="001308EA">
        <w:rPr>
          <w:rFonts w:ascii="Verdana" w:hAnsi="Verdana"/>
          <w:sz w:val="20"/>
        </w:rPr>
        <w:t xml:space="preserve"> modulů) za </w:t>
      </w:r>
      <w:r w:rsidR="00725532">
        <w:rPr>
          <w:rFonts w:ascii="Verdana" w:hAnsi="Verdana"/>
          <w:sz w:val="20"/>
        </w:rPr>
        <w:t xml:space="preserve">jeden </w:t>
      </w:r>
      <w:r w:rsidR="001308EA">
        <w:rPr>
          <w:rFonts w:ascii="Verdana" w:hAnsi="Verdana"/>
          <w:sz w:val="20"/>
        </w:rPr>
        <w:t xml:space="preserve">rok poskytování servisních služeb. Smluvní strany se dále dohodly, že </w:t>
      </w:r>
      <w:r w:rsidR="00282075">
        <w:rPr>
          <w:rFonts w:ascii="Verdana" w:hAnsi="Verdana"/>
          <w:sz w:val="20"/>
        </w:rPr>
        <w:t>ce</w:t>
      </w:r>
      <w:r w:rsidR="00282075" w:rsidRPr="00282075">
        <w:rPr>
          <w:rFonts w:ascii="Verdana" w:hAnsi="Verdana"/>
          <w:sz w:val="20"/>
        </w:rPr>
        <w:t xml:space="preserve">na </w:t>
      </w:r>
      <w:r w:rsidR="00282075">
        <w:rPr>
          <w:rFonts w:ascii="Verdana" w:hAnsi="Verdana"/>
          <w:sz w:val="20"/>
        </w:rPr>
        <w:t xml:space="preserve">za pozáruční servis </w:t>
      </w:r>
      <w:r w:rsidR="00282075" w:rsidRPr="00282075">
        <w:rPr>
          <w:rFonts w:ascii="Verdana" w:hAnsi="Verdana"/>
          <w:sz w:val="20"/>
        </w:rPr>
        <w:t>bude hrazena v poměrné výši měsíčně, a to na základě faktury vystavené Zhotovitelem za příslušný kalendářní měsíc</w:t>
      </w:r>
      <w:r w:rsidR="00282075">
        <w:rPr>
          <w:rFonts w:ascii="Verdana" w:hAnsi="Verdana"/>
          <w:sz w:val="20"/>
        </w:rPr>
        <w:t xml:space="preserve"> se splatností </w:t>
      </w:r>
      <w:r w:rsidR="00282075" w:rsidRPr="00282075">
        <w:rPr>
          <w:rFonts w:ascii="Verdana" w:hAnsi="Verdana"/>
          <w:sz w:val="20"/>
        </w:rPr>
        <w:t xml:space="preserve">do </w:t>
      </w:r>
      <w:r w:rsidR="004B1163">
        <w:rPr>
          <w:rFonts w:ascii="Verdana" w:hAnsi="Verdana"/>
          <w:sz w:val="20"/>
        </w:rPr>
        <w:t>14</w:t>
      </w:r>
      <w:r w:rsidR="00282075" w:rsidRPr="00282075">
        <w:rPr>
          <w:rFonts w:ascii="Verdana" w:hAnsi="Verdana"/>
          <w:sz w:val="20"/>
        </w:rPr>
        <w:t xml:space="preserve"> dn</w:t>
      </w:r>
      <w:r w:rsidR="004B1163">
        <w:rPr>
          <w:rFonts w:ascii="Verdana" w:hAnsi="Verdana"/>
          <w:sz w:val="20"/>
        </w:rPr>
        <w:t>ů</w:t>
      </w:r>
      <w:r w:rsidR="00282075" w:rsidRPr="00282075">
        <w:rPr>
          <w:rFonts w:ascii="Verdana" w:hAnsi="Verdana"/>
          <w:sz w:val="20"/>
        </w:rPr>
        <w:t xml:space="preserve"> od jejího </w:t>
      </w:r>
      <w:r w:rsidR="004B1163">
        <w:rPr>
          <w:rFonts w:ascii="Verdana" w:hAnsi="Verdana"/>
          <w:sz w:val="20"/>
        </w:rPr>
        <w:t>vystavení</w:t>
      </w:r>
      <w:r w:rsidR="00282075" w:rsidRPr="00282075">
        <w:rPr>
          <w:rFonts w:ascii="Verdana" w:hAnsi="Verdana"/>
          <w:sz w:val="20"/>
        </w:rPr>
        <w:t>.</w:t>
      </w:r>
      <w:r w:rsidR="001308EA">
        <w:rPr>
          <w:rFonts w:ascii="Verdana" w:hAnsi="Verdana"/>
          <w:sz w:val="20"/>
        </w:rPr>
        <w:t xml:space="preserve"> </w:t>
      </w:r>
      <w:r w:rsidR="004B1163">
        <w:rPr>
          <w:rFonts w:ascii="Verdana" w:hAnsi="Verdana"/>
          <w:sz w:val="20"/>
          <w:lang w:eastAsia="cs-CZ"/>
        </w:rPr>
        <w:t xml:space="preserve">Smluvní strany činí mezi sebou nesporným, že od ukončení účinnosti Servisní smlouvy </w:t>
      </w:r>
      <w:r w:rsidR="00E40FD0">
        <w:rPr>
          <w:rFonts w:ascii="Verdana" w:hAnsi="Verdana"/>
          <w:sz w:val="20"/>
          <w:lang w:eastAsia="cs-CZ"/>
        </w:rPr>
        <w:t xml:space="preserve">je paušální servisní poplatek účtován měsíčně v částce </w:t>
      </w:r>
      <w:proofErr w:type="gramStart"/>
      <w:r w:rsidR="00E40FD0">
        <w:rPr>
          <w:rFonts w:ascii="Verdana" w:hAnsi="Verdana"/>
          <w:sz w:val="20"/>
          <w:lang w:eastAsia="cs-CZ"/>
        </w:rPr>
        <w:lastRenderedPageBreak/>
        <w:t>33.236,-</w:t>
      </w:r>
      <w:proofErr w:type="gramEnd"/>
      <w:r w:rsidR="00E40FD0">
        <w:rPr>
          <w:rFonts w:ascii="Verdana" w:hAnsi="Verdana"/>
          <w:sz w:val="20"/>
          <w:lang w:eastAsia="cs-CZ"/>
        </w:rPr>
        <w:t xml:space="preserve"> Kč</w:t>
      </w:r>
      <w:r w:rsidR="00725532">
        <w:rPr>
          <w:rFonts w:ascii="Verdana" w:hAnsi="Verdana"/>
          <w:sz w:val="20"/>
          <w:lang w:eastAsia="cs-CZ"/>
        </w:rPr>
        <w:t xml:space="preserve"> bez DPH</w:t>
      </w:r>
      <w:r w:rsidR="00E40FD0">
        <w:rPr>
          <w:rFonts w:ascii="Verdana" w:hAnsi="Verdana"/>
          <w:sz w:val="20"/>
          <w:lang w:eastAsia="cs-CZ"/>
        </w:rPr>
        <w:t xml:space="preserve">, přičemž k uvedené částce je </w:t>
      </w:r>
      <w:r w:rsidR="00725532">
        <w:rPr>
          <w:rFonts w:ascii="Verdana" w:hAnsi="Verdana"/>
          <w:sz w:val="20"/>
          <w:lang w:eastAsia="cs-CZ"/>
        </w:rPr>
        <w:t>připočtena</w:t>
      </w:r>
      <w:r w:rsidR="00E40FD0">
        <w:rPr>
          <w:rFonts w:ascii="Verdana" w:hAnsi="Verdana"/>
          <w:sz w:val="20"/>
          <w:lang w:eastAsia="cs-CZ"/>
        </w:rPr>
        <w:t xml:space="preserve"> </w:t>
      </w:r>
      <w:r w:rsidR="00E40FD0" w:rsidRPr="00251386">
        <w:rPr>
          <w:rFonts w:ascii="Verdana" w:hAnsi="Verdana"/>
          <w:sz w:val="20"/>
        </w:rPr>
        <w:t>DPH v platné výši ke dni uskutečnění zdanitelného plnění</w:t>
      </w:r>
      <w:r w:rsidR="00E40FD0">
        <w:rPr>
          <w:rFonts w:ascii="Verdana" w:hAnsi="Verdana"/>
          <w:sz w:val="20"/>
        </w:rPr>
        <w:t>.</w:t>
      </w:r>
    </w:p>
    <w:p w14:paraId="084F29AC" w14:textId="74596EC2" w:rsidR="004B4C5C" w:rsidRDefault="004B4C5C" w:rsidP="003D1404">
      <w:pPr>
        <w:pStyle w:val="Nadpis2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Smluvní strany se dohodly, že pokud byly ke dni </w:t>
      </w:r>
      <w:r w:rsidR="008D695D">
        <w:rPr>
          <w:rFonts w:ascii="Verdana" w:hAnsi="Verdana"/>
          <w:sz w:val="20"/>
          <w:lang w:eastAsia="cs-CZ"/>
        </w:rPr>
        <w:t>30.4.2023</w:t>
      </w:r>
      <w:r>
        <w:rPr>
          <w:rFonts w:ascii="Verdana" w:hAnsi="Verdana"/>
          <w:sz w:val="20"/>
          <w:lang w:eastAsia="cs-CZ"/>
        </w:rPr>
        <w:t xml:space="preserve"> Zhotovitelem fakturovány servisní služby s odkazem na Servisní smlouvu a tyto nebyly Objednatelem uhrazeny z důvodu skončení platnosti Servisní smlouvy, nevznikl v této souvislosti Zhotoviteli nárok na úrok z prodlení či jiné sankce, neboť oprávněnost těchto faktur byla před uzavřením této dohody mezi smluvními stranami sporná.</w:t>
      </w:r>
    </w:p>
    <w:p w14:paraId="4A3813DC" w14:textId="07C76A8C" w:rsidR="0082248E" w:rsidRPr="003D1404" w:rsidRDefault="004B1163" w:rsidP="003D1404">
      <w:pPr>
        <w:pStyle w:val="Nadpis2"/>
        <w:jc w:val="both"/>
        <w:rPr>
          <w:rFonts w:ascii="Verdana" w:hAnsi="Verdana"/>
          <w:sz w:val="20"/>
          <w:lang w:eastAsia="cs-CZ"/>
        </w:rPr>
      </w:pPr>
      <w:r w:rsidRPr="00105ED8">
        <w:rPr>
          <w:rFonts w:ascii="Verdana" w:hAnsi="Verdana"/>
          <w:sz w:val="20"/>
        </w:rPr>
        <w:t xml:space="preserve">Účinností této dohody jsou mezi smluvními stranami veškeré sporné vzájemné závazky ze </w:t>
      </w:r>
      <w:r w:rsidR="00AE445A" w:rsidRPr="00105ED8">
        <w:rPr>
          <w:rFonts w:ascii="Verdana" w:hAnsi="Verdana"/>
          <w:sz w:val="20"/>
        </w:rPr>
        <w:t xml:space="preserve">Servisní </w:t>
      </w:r>
      <w:r w:rsidRPr="00105ED8">
        <w:rPr>
          <w:rFonts w:ascii="Verdana" w:hAnsi="Verdana"/>
          <w:sz w:val="20"/>
        </w:rPr>
        <w:t xml:space="preserve">smlouvy, včetně závazků z faktického </w:t>
      </w:r>
      <w:r w:rsidR="00AE445A" w:rsidRPr="00105ED8">
        <w:rPr>
          <w:rFonts w:ascii="Verdana" w:hAnsi="Verdana"/>
          <w:sz w:val="20"/>
        </w:rPr>
        <w:t>poskytování pozáručního servisu</w:t>
      </w:r>
      <w:r w:rsidRPr="00105ED8">
        <w:rPr>
          <w:rFonts w:ascii="Verdana" w:hAnsi="Verdana"/>
          <w:sz w:val="20"/>
        </w:rPr>
        <w:t xml:space="preserve"> </w:t>
      </w:r>
      <w:r w:rsidR="001A5CEF">
        <w:rPr>
          <w:rFonts w:ascii="Verdana" w:hAnsi="Verdana"/>
          <w:sz w:val="20"/>
        </w:rPr>
        <w:t xml:space="preserve">a faktického hrazení servisního poplatku </w:t>
      </w:r>
      <w:r w:rsidRPr="00105ED8">
        <w:rPr>
          <w:rFonts w:ascii="Verdana" w:hAnsi="Verdana"/>
          <w:sz w:val="20"/>
        </w:rPr>
        <w:t xml:space="preserve">po ukončení účinnosti </w:t>
      </w:r>
      <w:r w:rsidR="00EC65FB" w:rsidRPr="00105ED8">
        <w:rPr>
          <w:rFonts w:ascii="Verdana" w:hAnsi="Verdana"/>
          <w:sz w:val="20"/>
        </w:rPr>
        <w:t xml:space="preserve">Servisní </w:t>
      </w:r>
      <w:r w:rsidRPr="00105ED8">
        <w:rPr>
          <w:rFonts w:ascii="Verdana" w:hAnsi="Verdana"/>
          <w:sz w:val="20"/>
        </w:rPr>
        <w:t xml:space="preserve">smlouvy, s konečnou platností vypořádány. </w:t>
      </w:r>
      <w:r w:rsidR="00105ED8" w:rsidRPr="00105ED8">
        <w:rPr>
          <w:rFonts w:ascii="Verdana" w:hAnsi="Verdana"/>
          <w:sz w:val="20"/>
          <w:lang w:eastAsia="cs-CZ"/>
        </w:rPr>
        <w:t xml:space="preserve">Smluvní strany prohlašují, že veškerá </w:t>
      </w:r>
      <w:r w:rsidR="00CB72DE">
        <w:rPr>
          <w:rFonts w:ascii="Verdana" w:hAnsi="Verdana"/>
          <w:sz w:val="20"/>
          <w:lang w:eastAsia="cs-CZ"/>
        </w:rPr>
        <w:t xml:space="preserve">vzájemná </w:t>
      </w:r>
      <w:r w:rsidR="00105ED8" w:rsidRPr="00105ED8">
        <w:rPr>
          <w:rFonts w:ascii="Verdana" w:hAnsi="Verdana"/>
          <w:sz w:val="20"/>
          <w:lang w:eastAsia="cs-CZ"/>
        </w:rPr>
        <w:t xml:space="preserve">plnění </w:t>
      </w:r>
      <w:r w:rsidR="00CB72DE">
        <w:rPr>
          <w:rFonts w:ascii="Verdana" w:hAnsi="Verdana"/>
          <w:sz w:val="20"/>
          <w:lang w:eastAsia="cs-CZ"/>
        </w:rPr>
        <w:t>poskytnutá dle obsahu Servisní smlouvy od ukončení její účinnosti až do dne účinnosti této dohody se</w:t>
      </w:r>
      <w:r w:rsidR="00105ED8" w:rsidRPr="00105ED8">
        <w:rPr>
          <w:rFonts w:ascii="Verdana" w:hAnsi="Verdana"/>
          <w:sz w:val="20"/>
          <w:lang w:eastAsia="cs-CZ"/>
        </w:rPr>
        <w:t xml:space="preserve"> považují za plnění dle této </w:t>
      </w:r>
      <w:r w:rsidR="001A5CEF">
        <w:rPr>
          <w:rFonts w:ascii="Verdana" w:hAnsi="Verdana"/>
          <w:sz w:val="20"/>
          <w:lang w:eastAsia="cs-CZ"/>
        </w:rPr>
        <w:t>dohody</w:t>
      </w:r>
      <w:r w:rsidR="00105ED8" w:rsidRPr="00105ED8">
        <w:rPr>
          <w:rFonts w:ascii="Verdana" w:hAnsi="Verdana"/>
          <w:sz w:val="20"/>
          <w:lang w:eastAsia="cs-CZ"/>
        </w:rPr>
        <w:t xml:space="preserve"> a že </w:t>
      </w:r>
      <w:r w:rsidR="003D1404">
        <w:rPr>
          <w:rFonts w:ascii="Verdana" w:hAnsi="Verdana"/>
          <w:sz w:val="20"/>
          <w:lang w:eastAsia="cs-CZ"/>
        </w:rPr>
        <w:t xml:space="preserve">si z tohoto právního vztahu vzájemně nic </w:t>
      </w:r>
      <w:proofErr w:type="gramStart"/>
      <w:r w:rsidR="003D1404">
        <w:rPr>
          <w:rFonts w:ascii="Verdana" w:hAnsi="Verdana"/>
          <w:sz w:val="20"/>
          <w:lang w:eastAsia="cs-CZ"/>
        </w:rPr>
        <w:t>nedluží</w:t>
      </w:r>
      <w:proofErr w:type="gramEnd"/>
      <w:r w:rsidR="003D1404">
        <w:rPr>
          <w:rFonts w:ascii="Verdana" w:hAnsi="Verdana"/>
          <w:sz w:val="20"/>
          <w:lang w:eastAsia="cs-CZ"/>
        </w:rPr>
        <w:t>.</w:t>
      </w:r>
    </w:p>
    <w:p w14:paraId="1F02D81D" w14:textId="77777777" w:rsidR="0082248E" w:rsidRPr="00D547BB" w:rsidRDefault="0082248E" w:rsidP="0082248E">
      <w:pPr>
        <w:pStyle w:val="Nadpis1"/>
        <w:keepNext w:val="0"/>
        <w:keepLines w:val="0"/>
        <w:rPr>
          <w:rFonts w:ascii="Verdana" w:hAnsi="Verdana"/>
          <w:sz w:val="20"/>
        </w:rPr>
      </w:pPr>
      <w:r w:rsidRPr="00D547BB">
        <w:rPr>
          <w:rFonts w:ascii="Verdana" w:hAnsi="Verdana"/>
          <w:sz w:val="20"/>
        </w:rPr>
        <w:t>Závěrečná ustanovení</w:t>
      </w:r>
    </w:p>
    <w:p w14:paraId="4B29813D" w14:textId="6AAB3F66" w:rsidR="0082248E" w:rsidRDefault="0082248E" w:rsidP="0082248E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Tato dohoda</w:t>
      </w:r>
      <w:r w:rsidRPr="00594FB1">
        <w:rPr>
          <w:rFonts w:ascii="Verdana" w:hAnsi="Verdana"/>
          <w:sz w:val="20"/>
          <w:lang w:eastAsia="cs-CZ"/>
        </w:rPr>
        <w:t xml:space="preserve"> nabývá platnosti dnem podpisu </w:t>
      </w:r>
      <w:r>
        <w:rPr>
          <w:rFonts w:ascii="Verdana" w:hAnsi="Verdana"/>
          <w:sz w:val="20"/>
          <w:lang w:eastAsia="cs-CZ"/>
        </w:rPr>
        <w:t>posledního z účastníků dohody</w:t>
      </w:r>
      <w:r w:rsidR="002958DB">
        <w:rPr>
          <w:rFonts w:ascii="Verdana" w:hAnsi="Verdana"/>
          <w:sz w:val="20"/>
          <w:lang w:eastAsia="cs-CZ"/>
        </w:rPr>
        <w:t xml:space="preserve"> a účinnosti </w:t>
      </w:r>
      <w:r w:rsidR="004B4C5C">
        <w:rPr>
          <w:rFonts w:ascii="Verdana" w:hAnsi="Verdana"/>
          <w:sz w:val="20"/>
          <w:lang w:eastAsia="cs-CZ"/>
        </w:rPr>
        <w:t>nejpozději dnem uveřejnění v registru smluv</w:t>
      </w:r>
      <w:r>
        <w:rPr>
          <w:rFonts w:ascii="Verdana" w:hAnsi="Verdana"/>
          <w:sz w:val="20"/>
          <w:lang w:eastAsia="cs-CZ"/>
        </w:rPr>
        <w:t>.</w:t>
      </w:r>
    </w:p>
    <w:p w14:paraId="124FDD8D" w14:textId="77777777" w:rsidR="0082248E" w:rsidRPr="0016146E" w:rsidRDefault="0082248E" w:rsidP="0082248E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Tato </w:t>
      </w:r>
      <w:r>
        <w:rPr>
          <w:rFonts w:ascii="Verdana" w:hAnsi="Verdana"/>
          <w:sz w:val="20"/>
          <w:lang w:eastAsia="cs-CZ"/>
        </w:rPr>
        <w:t>dohoda</w:t>
      </w:r>
      <w:r w:rsidRPr="0016146E">
        <w:rPr>
          <w:rFonts w:ascii="Verdana" w:hAnsi="Verdana"/>
          <w:sz w:val="20"/>
          <w:lang w:eastAsia="cs-CZ"/>
        </w:rPr>
        <w:t xml:space="preserve"> je vypracována ve dvou vyhotoveních, z nichž </w:t>
      </w:r>
      <w:r>
        <w:rPr>
          <w:rFonts w:ascii="Verdana" w:hAnsi="Verdana"/>
          <w:sz w:val="20"/>
          <w:lang w:eastAsia="cs-CZ"/>
        </w:rPr>
        <w:t>každý z účastníků dohody</w:t>
      </w:r>
      <w:r w:rsidRPr="0016146E">
        <w:rPr>
          <w:rFonts w:ascii="Verdana" w:hAnsi="Verdana"/>
          <w:sz w:val="20"/>
          <w:lang w:eastAsia="cs-CZ"/>
        </w:rPr>
        <w:t xml:space="preserve"> </w:t>
      </w:r>
      <w:proofErr w:type="gramStart"/>
      <w:r w:rsidRPr="0016146E">
        <w:rPr>
          <w:rFonts w:ascii="Verdana" w:hAnsi="Verdana"/>
          <w:sz w:val="20"/>
          <w:lang w:eastAsia="cs-CZ"/>
        </w:rPr>
        <w:t>obdrží</w:t>
      </w:r>
      <w:proofErr w:type="gramEnd"/>
      <w:r w:rsidRPr="0016146E">
        <w:rPr>
          <w:rFonts w:ascii="Verdana" w:hAnsi="Verdana"/>
          <w:sz w:val="20"/>
          <w:lang w:eastAsia="cs-CZ"/>
        </w:rPr>
        <w:t xml:space="preserve"> po jednom.</w:t>
      </w:r>
      <w:r>
        <w:rPr>
          <w:rFonts w:ascii="Verdana" w:hAnsi="Verdana"/>
          <w:sz w:val="20"/>
          <w:lang w:eastAsia="cs-CZ"/>
        </w:rPr>
        <w:t xml:space="preserve"> </w:t>
      </w:r>
      <w:r w:rsidRPr="00CA4E10">
        <w:rPr>
          <w:rFonts w:ascii="Verdana" w:hAnsi="Verdana"/>
          <w:sz w:val="20"/>
          <w:lang w:eastAsia="cs-CZ"/>
        </w:rPr>
        <w:t xml:space="preserve">V případě elektronického podpisu je tato </w:t>
      </w:r>
      <w:r>
        <w:rPr>
          <w:rFonts w:ascii="Verdana" w:hAnsi="Verdana"/>
          <w:sz w:val="20"/>
          <w:lang w:eastAsia="cs-CZ"/>
        </w:rPr>
        <w:t>dohoda</w:t>
      </w:r>
      <w:r w:rsidRPr="00CA4E10">
        <w:rPr>
          <w:rFonts w:ascii="Verdana" w:hAnsi="Verdana"/>
          <w:sz w:val="20"/>
          <w:lang w:eastAsia="cs-CZ"/>
        </w:rPr>
        <w:t xml:space="preserve"> vypracována v jednom vyhotovení podepsaném elektronicky </w:t>
      </w:r>
      <w:r>
        <w:rPr>
          <w:rFonts w:ascii="Verdana" w:hAnsi="Verdana"/>
          <w:sz w:val="20"/>
          <w:lang w:eastAsia="cs-CZ"/>
        </w:rPr>
        <w:t>všemi účastníky</w:t>
      </w:r>
      <w:r w:rsidRPr="00CA4E10">
        <w:rPr>
          <w:rFonts w:ascii="Verdana" w:hAnsi="Verdana"/>
          <w:sz w:val="20"/>
          <w:lang w:eastAsia="cs-CZ"/>
        </w:rPr>
        <w:t>.</w:t>
      </w:r>
    </w:p>
    <w:p w14:paraId="1CF31C47" w14:textId="333FF886" w:rsidR="0082248E" w:rsidRDefault="0082248E" w:rsidP="0082248E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Účastníci</w:t>
      </w:r>
      <w:r w:rsidRPr="0016146E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si dohodu přečetli, jejímu obsahu rozumí a na důkaz toho připojují vlastnoruční podpisy svých oprávněných zástupců.</w:t>
      </w:r>
    </w:p>
    <w:p w14:paraId="382DF07E" w14:textId="556FD402" w:rsidR="002B00D8" w:rsidRPr="001A5CEF" w:rsidRDefault="002B00D8" w:rsidP="001A5CEF">
      <w:pPr>
        <w:spacing w:after="120"/>
        <w:rPr>
          <w:sz w:val="20"/>
          <w:szCs w:val="20"/>
          <w:lang w:eastAsia="cs-CZ"/>
        </w:rPr>
      </w:pPr>
    </w:p>
    <w:p w14:paraId="73B8C246" w14:textId="77777777" w:rsidR="004B4C5C" w:rsidRDefault="002B00D8" w:rsidP="004B4C5C">
      <w:pPr>
        <w:pStyle w:val="Odstavecseseznamem"/>
        <w:ind w:left="0"/>
        <w:rPr>
          <w:sz w:val="20"/>
          <w:szCs w:val="20"/>
        </w:rPr>
      </w:pPr>
      <w:r w:rsidRPr="002B00D8">
        <w:rPr>
          <w:sz w:val="20"/>
          <w:szCs w:val="20"/>
        </w:rPr>
        <w:t>Přílohy:</w:t>
      </w:r>
    </w:p>
    <w:p w14:paraId="3E254072" w14:textId="66F2B2EF" w:rsidR="002B00D8" w:rsidRDefault="002B00D8" w:rsidP="004B4C5C">
      <w:pPr>
        <w:pStyle w:val="Odstavecseseznamem"/>
        <w:numPr>
          <w:ilvl w:val="0"/>
          <w:numId w:val="4"/>
        </w:numPr>
        <w:rPr>
          <w:sz w:val="20"/>
          <w:szCs w:val="20"/>
          <w:lang w:eastAsia="cs-CZ"/>
        </w:rPr>
      </w:pPr>
      <w:r w:rsidRPr="002B00D8">
        <w:rPr>
          <w:sz w:val="20"/>
          <w:szCs w:val="20"/>
        </w:rPr>
        <w:t>Smlouva o dílo</w:t>
      </w:r>
    </w:p>
    <w:p w14:paraId="19CD728C" w14:textId="05263829" w:rsidR="002B00D8" w:rsidRDefault="002B00D8" w:rsidP="004B4C5C">
      <w:pPr>
        <w:pStyle w:val="Odstavecseseznamem"/>
        <w:numPr>
          <w:ilvl w:val="0"/>
          <w:numId w:val="4"/>
        </w:numPr>
        <w:rPr>
          <w:sz w:val="20"/>
          <w:szCs w:val="20"/>
          <w:lang w:eastAsia="cs-CZ"/>
        </w:rPr>
      </w:pPr>
      <w:r>
        <w:rPr>
          <w:sz w:val="20"/>
          <w:lang w:eastAsia="cs-CZ"/>
        </w:rPr>
        <w:t>Smlouva o poskytování pozáručního servisu</w:t>
      </w:r>
      <w:r>
        <w:rPr>
          <w:sz w:val="20"/>
          <w:szCs w:val="20"/>
          <w:lang w:eastAsia="cs-CZ"/>
        </w:rPr>
        <w:t xml:space="preserve"> </w:t>
      </w:r>
    </w:p>
    <w:p w14:paraId="35909028" w14:textId="17EDB65C" w:rsidR="0082248E" w:rsidRDefault="0082248E" w:rsidP="0082248E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1579A252" w14:textId="77777777" w:rsidR="00A3537E" w:rsidRDefault="00A3537E" w:rsidP="0082248E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1701"/>
        <w:gridCol w:w="3857"/>
      </w:tblGrid>
      <w:tr w:rsidR="00A3537E" w:rsidRPr="00A3537E" w14:paraId="74FD68C5" w14:textId="77777777" w:rsidTr="00FD5C71">
        <w:tc>
          <w:tcPr>
            <w:tcW w:w="3652" w:type="dxa"/>
          </w:tcPr>
          <w:p w14:paraId="0FAC6D87" w14:textId="068E3B02" w:rsidR="00A3537E" w:rsidRPr="00A3537E" w:rsidRDefault="00A3537E" w:rsidP="00A3537E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  <w:r w:rsidRPr="00A3537E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 xml:space="preserve">V Mladé Boleslavi dne </w:t>
            </w:r>
            <w:r w:rsidR="00B67448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>30.4.2023</w:t>
            </w:r>
          </w:p>
        </w:tc>
        <w:tc>
          <w:tcPr>
            <w:tcW w:w="1701" w:type="dxa"/>
            <w:vMerge w:val="restart"/>
          </w:tcPr>
          <w:p w14:paraId="64F28D5C" w14:textId="77777777" w:rsidR="00A3537E" w:rsidRPr="00A3537E" w:rsidRDefault="00A3537E" w:rsidP="00A3537E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3857" w:type="dxa"/>
          </w:tcPr>
          <w:p w14:paraId="482600E7" w14:textId="06F91406" w:rsidR="00A3537E" w:rsidRPr="00A3537E" w:rsidRDefault="00A3537E" w:rsidP="00A3537E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</w:p>
        </w:tc>
      </w:tr>
      <w:tr w:rsidR="00A3537E" w:rsidRPr="00A3537E" w14:paraId="5696B410" w14:textId="77777777" w:rsidTr="00FD5C71">
        <w:tc>
          <w:tcPr>
            <w:tcW w:w="3652" w:type="dxa"/>
          </w:tcPr>
          <w:p w14:paraId="541E28A7" w14:textId="77777777" w:rsidR="00A3537E" w:rsidRDefault="00A3537E" w:rsidP="00A3537E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</w:p>
          <w:p w14:paraId="38A93904" w14:textId="30B2BD8A" w:rsidR="00A3537E" w:rsidRPr="00A3537E" w:rsidRDefault="00A3537E" w:rsidP="00A3537E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vMerge/>
          </w:tcPr>
          <w:p w14:paraId="4EFD1436" w14:textId="77777777" w:rsidR="00A3537E" w:rsidRPr="00A3537E" w:rsidRDefault="00A3537E" w:rsidP="00A3537E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3857" w:type="dxa"/>
          </w:tcPr>
          <w:p w14:paraId="5DFD3993" w14:textId="77777777" w:rsidR="00A3537E" w:rsidRPr="00A3537E" w:rsidRDefault="00A3537E" w:rsidP="00A3537E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</w:p>
        </w:tc>
      </w:tr>
      <w:tr w:rsidR="00A3537E" w:rsidRPr="00A3537E" w14:paraId="6C899E0B" w14:textId="77777777" w:rsidTr="00FD5C71">
        <w:tc>
          <w:tcPr>
            <w:tcW w:w="3652" w:type="dxa"/>
          </w:tcPr>
          <w:p w14:paraId="6E86A6B9" w14:textId="77777777" w:rsidR="00A3537E" w:rsidRPr="00A3537E" w:rsidRDefault="00A3537E" w:rsidP="00A3537E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  <w:r w:rsidRPr="00A3537E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>za Objednatele</w:t>
            </w:r>
          </w:p>
        </w:tc>
        <w:tc>
          <w:tcPr>
            <w:tcW w:w="1701" w:type="dxa"/>
            <w:vMerge/>
          </w:tcPr>
          <w:p w14:paraId="3EB6EA0A" w14:textId="77777777" w:rsidR="00A3537E" w:rsidRPr="00A3537E" w:rsidRDefault="00A3537E" w:rsidP="00A3537E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3857" w:type="dxa"/>
          </w:tcPr>
          <w:p w14:paraId="0A3D4B97" w14:textId="77777777" w:rsidR="00A3537E" w:rsidRPr="00A3537E" w:rsidRDefault="00A3537E" w:rsidP="00A3537E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  <w:r w:rsidRPr="00A3537E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>za Zhotovitele</w:t>
            </w:r>
          </w:p>
        </w:tc>
      </w:tr>
      <w:tr w:rsidR="00A3537E" w:rsidRPr="00A3537E" w14:paraId="1EA4F935" w14:textId="77777777" w:rsidTr="00FD5C71">
        <w:trPr>
          <w:trHeight w:val="274"/>
        </w:trPr>
        <w:tc>
          <w:tcPr>
            <w:tcW w:w="3652" w:type="dxa"/>
            <w:tcBorders>
              <w:bottom w:val="nil"/>
            </w:tcBorders>
          </w:tcPr>
          <w:p w14:paraId="7681030E" w14:textId="77777777" w:rsidR="00A3537E" w:rsidRPr="00A3537E" w:rsidRDefault="00A3537E" w:rsidP="00A3537E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snapToGrid w:val="0"/>
                <w:sz w:val="20"/>
                <w:szCs w:val="20"/>
                <w:lang w:eastAsia="cs-CZ"/>
              </w:rPr>
            </w:pPr>
          </w:p>
          <w:p w14:paraId="4E5F220D" w14:textId="6D1817BD" w:rsidR="00A3537E" w:rsidRDefault="00A3537E" w:rsidP="00A3537E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snapToGrid w:val="0"/>
                <w:sz w:val="20"/>
                <w:szCs w:val="20"/>
                <w:lang w:eastAsia="cs-CZ"/>
              </w:rPr>
            </w:pPr>
          </w:p>
          <w:p w14:paraId="50538F71" w14:textId="77777777" w:rsidR="00A3537E" w:rsidRPr="00A3537E" w:rsidRDefault="00A3537E" w:rsidP="00A3537E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snapToGrid w:val="0"/>
                <w:sz w:val="20"/>
                <w:szCs w:val="20"/>
                <w:lang w:eastAsia="cs-CZ"/>
              </w:rPr>
            </w:pPr>
          </w:p>
          <w:p w14:paraId="32AA3134" w14:textId="77777777" w:rsidR="00A3537E" w:rsidRPr="00A3537E" w:rsidRDefault="00A3537E" w:rsidP="00A3537E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14:paraId="462E619F" w14:textId="77777777" w:rsidR="00A3537E" w:rsidRPr="00A3537E" w:rsidRDefault="00A3537E" w:rsidP="00A3537E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3857" w:type="dxa"/>
            <w:tcBorders>
              <w:bottom w:val="nil"/>
            </w:tcBorders>
          </w:tcPr>
          <w:p w14:paraId="7C63E068" w14:textId="77777777" w:rsidR="00A3537E" w:rsidRPr="00A3537E" w:rsidRDefault="00A3537E" w:rsidP="00A3537E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snapToGrid w:val="0"/>
                <w:sz w:val="20"/>
                <w:szCs w:val="20"/>
                <w:lang w:eastAsia="cs-CZ"/>
              </w:rPr>
            </w:pPr>
          </w:p>
        </w:tc>
      </w:tr>
      <w:tr w:rsidR="00A3537E" w:rsidRPr="00A3537E" w14:paraId="783134C2" w14:textId="77777777" w:rsidTr="00FD5C71">
        <w:tc>
          <w:tcPr>
            <w:tcW w:w="3652" w:type="dxa"/>
            <w:tcBorders>
              <w:top w:val="single" w:sz="4" w:space="0" w:color="auto"/>
            </w:tcBorders>
          </w:tcPr>
          <w:p w14:paraId="39F930CF" w14:textId="77777777" w:rsidR="00A3537E" w:rsidRPr="00A3537E" w:rsidRDefault="00A3537E" w:rsidP="00A3537E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snapToGrid w:val="0"/>
                <w:sz w:val="20"/>
                <w:szCs w:val="20"/>
                <w:lang w:eastAsia="cs-CZ"/>
              </w:rPr>
            </w:pPr>
            <w:r w:rsidRPr="00A3537E">
              <w:rPr>
                <w:rFonts w:eastAsia="Times New Roman"/>
                <w:b/>
                <w:snapToGrid w:val="0"/>
                <w:sz w:val="20"/>
                <w:szCs w:val="20"/>
                <w:lang w:eastAsia="cs-CZ"/>
              </w:rPr>
              <w:t>JUDr. Ladislav Řípa</w:t>
            </w:r>
          </w:p>
          <w:p w14:paraId="27D244C6" w14:textId="77777777" w:rsidR="00A3537E" w:rsidRPr="00A3537E" w:rsidRDefault="00A3537E" w:rsidP="00A3537E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  <w:r w:rsidRPr="00A3537E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>předseda představenstva</w:t>
            </w:r>
          </w:p>
          <w:p w14:paraId="48A53606" w14:textId="77777777" w:rsidR="00A3537E" w:rsidRPr="00A3537E" w:rsidRDefault="00A3537E" w:rsidP="00A3537E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</w:p>
          <w:p w14:paraId="051652B5" w14:textId="240A807C" w:rsidR="00A3537E" w:rsidRDefault="00A3537E" w:rsidP="00A3537E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</w:p>
          <w:p w14:paraId="41EFEB84" w14:textId="2C2AF1F5" w:rsidR="00A3537E" w:rsidRDefault="00A3537E" w:rsidP="00A3537E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</w:p>
          <w:p w14:paraId="06911707" w14:textId="77777777" w:rsidR="00A3537E" w:rsidRPr="00A3537E" w:rsidRDefault="00A3537E" w:rsidP="00A3537E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</w:p>
          <w:p w14:paraId="446FAB04" w14:textId="77777777" w:rsidR="00A3537E" w:rsidRPr="00A3537E" w:rsidRDefault="00A3537E" w:rsidP="00A3537E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vMerge/>
          </w:tcPr>
          <w:p w14:paraId="0B009A50" w14:textId="77777777" w:rsidR="00A3537E" w:rsidRPr="00A3537E" w:rsidRDefault="00A3537E" w:rsidP="00A3537E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3857" w:type="dxa"/>
            <w:tcBorders>
              <w:top w:val="single" w:sz="4" w:space="0" w:color="auto"/>
            </w:tcBorders>
          </w:tcPr>
          <w:p w14:paraId="312CAB15" w14:textId="77777777" w:rsidR="00A3537E" w:rsidRPr="00A3537E" w:rsidRDefault="00A3537E" w:rsidP="00A3537E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snapToGrid w:val="0"/>
                <w:sz w:val="20"/>
                <w:szCs w:val="20"/>
                <w:lang w:eastAsia="cs-CZ"/>
              </w:rPr>
            </w:pPr>
            <w:r w:rsidRPr="00A3537E">
              <w:rPr>
                <w:rFonts w:eastAsia="Times New Roman"/>
                <w:b/>
                <w:snapToGrid w:val="0"/>
                <w:sz w:val="20"/>
                <w:szCs w:val="20"/>
                <w:lang w:eastAsia="cs-CZ"/>
              </w:rPr>
              <w:t>Ing. Radek Uchytil, Ph.D.</w:t>
            </w:r>
          </w:p>
          <w:p w14:paraId="19AC0B10" w14:textId="77777777" w:rsidR="00A3537E" w:rsidRPr="00A3537E" w:rsidRDefault="00A3537E" w:rsidP="00A3537E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  <w:r w:rsidRPr="00A3537E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A3537E" w:rsidRPr="00A3537E" w14:paraId="7B55BA70" w14:textId="77777777" w:rsidTr="00FD5C71">
        <w:tc>
          <w:tcPr>
            <w:tcW w:w="3652" w:type="dxa"/>
            <w:tcBorders>
              <w:top w:val="single" w:sz="4" w:space="0" w:color="auto"/>
            </w:tcBorders>
          </w:tcPr>
          <w:p w14:paraId="12C1EF6A" w14:textId="77777777" w:rsidR="00A3537E" w:rsidRPr="00A3537E" w:rsidRDefault="00A3537E" w:rsidP="00A3537E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napToGrid w:val="0"/>
                <w:sz w:val="20"/>
                <w:szCs w:val="20"/>
                <w:lang w:eastAsia="cs-CZ"/>
              </w:rPr>
            </w:pPr>
            <w:r w:rsidRPr="00A3537E">
              <w:rPr>
                <w:rFonts w:eastAsia="Times New Roman"/>
                <w:b/>
                <w:bCs/>
                <w:snapToGrid w:val="0"/>
                <w:sz w:val="20"/>
                <w:szCs w:val="20"/>
                <w:lang w:eastAsia="cs-CZ"/>
              </w:rPr>
              <w:t>Mgr. Daniel Marek</w:t>
            </w:r>
          </w:p>
          <w:p w14:paraId="350A6F94" w14:textId="77777777" w:rsidR="00A3537E" w:rsidRPr="00A3537E" w:rsidRDefault="00A3537E" w:rsidP="00A3537E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  <w:r w:rsidRPr="00A3537E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>místopředseda představenstva</w:t>
            </w:r>
          </w:p>
        </w:tc>
        <w:tc>
          <w:tcPr>
            <w:tcW w:w="1701" w:type="dxa"/>
          </w:tcPr>
          <w:p w14:paraId="6C6751D6" w14:textId="77777777" w:rsidR="00A3537E" w:rsidRPr="00A3537E" w:rsidRDefault="00A3537E" w:rsidP="00A3537E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3857" w:type="dxa"/>
            <w:tcBorders>
              <w:top w:val="single" w:sz="4" w:space="0" w:color="auto"/>
            </w:tcBorders>
          </w:tcPr>
          <w:p w14:paraId="52BB6D1C" w14:textId="77777777" w:rsidR="00A3537E" w:rsidRPr="00A3537E" w:rsidRDefault="00A3537E" w:rsidP="00A3537E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</w:p>
        </w:tc>
      </w:tr>
    </w:tbl>
    <w:p w14:paraId="05F72980" w14:textId="77777777" w:rsidR="0082248E" w:rsidRDefault="0082248E" w:rsidP="0082248E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sectPr w:rsidR="0082248E" w:rsidSect="001A5CEF">
      <w:headerReference w:type="default" r:id="rId7"/>
      <w:footerReference w:type="even" r:id="rId8"/>
      <w:footerReference w:type="default" r:id="rId9"/>
      <w:type w:val="continuous"/>
      <w:pgSz w:w="11906" w:h="16838"/>
      <w:pgMar w:top="2234" w:right="1134" w:bottom="198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C39FF" w14:textId="77777777" w:rsidR="00A2454F" w:rsidRDefault="00A2454F">
      <w:pPr>
        <w:spacing w:after="0" w:line="240" w:lineRule="auto"/>
      </w:pPr>
      <w:r>
        <w:separator/>
      </w:r>
    </w:p>
  </w:endnote>
  <w:endnote w:type="continuationSeparator" w:id="0">
    <w:p w14:paraId="7FC2E1F0" w14:textId="77777777" w:rsidR="00A2454F" w:rsidRDefault="00A24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32E41" w14:textId="77777777" w:rsidR="00A57CF7" w:rsidRDefault="0020586A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02244C4" w14:textId="77777777" w:rsidR="00A57CF7" w:rsidRDefault="00B67448" w:rsidP="00A57CF7">
    <w:pPr>
      <w:pStyle w:val="Zpat"/>
      <w:ind w:right="360"/>
    </w:pPr>
  </w:p>
  <w:p w14:paraId="3DB4BBD1" w14:textId="77777777" w:rsidR="00A57CF7" w:rsidRDefault="00B67448"/>
  <w:p w14:paraId="599605A3" w14:textId="77777777" w:rsidR="00A57CF7" w:rsidRDefault="00B67448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586C4" w14:textId="5FEC6650" w:rsidR="00A57CF7" w:rsidRPr="001A5CEF" w:rsidRDefault="001A5CEF" w:rsidP="00A57CF7">
    <w:pPr>
      <w:pStyle w:val="Zpat"/>
      <w:framePr w:wrap="around" w:vAnchor="text" w:hAnchor="margin" w:xAlign="right" w:y="1"/>
      <w:rPr>
        <w:rStyle w:val="slostrnky"/>
        <w:sz w:val="18"/>
        <w:szCs w:val="18"/>
      </w:rPr>
    </w:pPr>
    <w:r>
      <w:rPr>
        <w:rStyle w:val="slostrnky"/>
        <w:sz w:val="18"/>
        <w:szCs w:val="18"/>
      </w:rPr>
      <w:t xml:space="preserve">Stránka </w:t>
    </w:r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PAGE  \* Arabic  \* MERGEFORMAT </w:instrText>
    </w:r>
    <w:r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3</w:t>
    </w:r>
    <w:r>
      <w:rPr>
        <w:rStyle w:val="slostrnky"/>
        <w:sz w:val="18"/>
        <w:szCs w:val="18"/>
      </w:rPr>
      <w:fldChar w:fldCharType="end"/>
    </w:r>
    <w:r>
      <w:rPr>
        <w:rStyle w:val="slostrnky"/>
        <w:sz w:val="18"/>
        <w:szCs w:val="18"/>
      </w:rPr>
      <w:t xml:space="preserve"> z </w:t>
    </w:r>
    <w:r w:rsidR="0020586A" w:rsidRPr="001A5CEF">
      <w:rPr>
        <w:rStyle w:val="slostrnky"/>
        <w:sz w:val="18"/>
        <w:szCs w:val="18"/>
      </w:rPr>
      <w:fldChar w:fldCharType="begin"/>
    </w:r>
    <w:r w:rsidR="0020586A" w:rsidRPr="001A5CEF">
      <w:rPr>
        <w:rStyle w:val="slostrnky"/>
        <w:sz w:val="18"/>
        <w:szCs w:val="18"/>
      </w:rPr>
      <w:instrText xml:space="preserve">PAGE  </w:instrText>
    </w:r>
    <w:r w:rsidR="0020586A" w:rsidRPr="001A5CEF">
      <w:rPr>
        <w:rStyle w:val="slostrnky"/>
        <w:sz w:val="18"/>
        <w:szCs w:val="18"/>
      </w:rPr>
      <w:fldChar w:fldCharType="separate"/>
    </w:r>
    <w:r w:rsidR="0020586A" w:rsidRPr="001A5CEF">
      <w:rPr>
        <w:rStyle w:val="slostrnky"/>
        <w:noProof/>
        <w:sz w:val="18"/>
        <w:szCs w:val="18"/>
      </w:rPr>
      <w:t>4</w:t>
    </w:r>
    <w:r w:rsidR="0020586A" w:rsidRPr="001A5CEF">
      <w:rPr>
        <w:rStyle w:val="slostrnky"/>
        <w:sz w:val="18"/>
        <w:szCs w:val="18"/>
      </w:rPr>
      <w:fldChar w:fldCharType="end"/>
    </w:r>
  </w:p>
  <w:p w14:paraId="2D4FF355" w14:textId="77777777" w:rsidR="00A57CF7" w:rsidRDefault="0020586A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2DA7F1EE" wp14:editId="1EF904F0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2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3F3DFC" wp14:editId="5F39BB5F">
              <wp:simplePos x="0" y="0"/>
              <wp:positionH relativeFrom="column">
                <wp:posOffset>-957580</wp:posOffset>
              </wp:positionH>
              <wp:positionV relativeFrom="paragraph">
                <wp:posOffset>-353060</wp:posOffset>
              </wp:positionV>
              <wp:extent cx="7946390" cy="0"/>
              <wp:effectExtent l="13970" t="8890" r="12065" b="10160"/>
              <wp:wrapNone/>
              <wp:docPr id="3" name="Přímá spojnice se šipko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FA55CE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3" o:spid="_x0000_s1026" type="#_x0000_t32" style="position:absolute;margin-left:-75.4pt;margin-top:-27.8pt;width:625.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C3C7C" w14:textId="77777777" w:rsidR="00A2454F" w:rsidRDefault="00A2454F">
      <w:pPr>
        <w:spacing w:after="0" w:line="240" w:lineRule="auto"/>
      </w:pPr>
      <w:r>
        <w:separator/>
      </w:r>
    </w:p>
  </w:footnote>
  <w:footnote w:type="continuationSeparator" w:id="0">
    <w:p w14:paraId="58CEBC92" w14:textId="77777777" w:rsidR="00A2454F" w:rsidRDefault="00A24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43FDB" w14:textId="0B0EF11B" w:rsidR="00A57CF7" w:rsidRDefault="0020586A" w:rsidP="001A5CEF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474E995" wp14:editId="3431B825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4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 wp14:anchorId="72723410" wp14:editId="224434BD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1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80F4E"/>
    <w:multiLevelType w:val="hybridMultilevel"/>
    <w:tmpl w:val="03345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1C1EA3"/>
    <w:multiLevelType w:val="multilevel"/>
    <w:tmpl w:val="F0661D46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C557C72"/>
    <w:multiLevelType w:val="hybridMultilevel"/>
    <w:tmpl w:val="004A99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A4EA8"/>
    <w:multiLevelType w:val="hybridMultilevel"/>
    <w:tmpl w:val="A10013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834965">
    <w:abstractNumId w:val="1"/>
  </w:num>
  <w:num w:numId="2" w16cid:durableId="1958366094">
    <w:abstractNumId w:val="2"/>
  </w:num>
  <w:num w:numId="3" w16cid:durableId="900752246">
    <w:abstractNumId w:val="3"/>
  </w:num>
  <w:num w:numId="4" w16cid:durableId="124811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48E"/>
    <w:rsid w:val="00105ED8"/>
    <w:rsid w:val="001308EA"/>
    <w:rsid w:val="001357C8"/>
    <w:rsid w:val="001A5CEF"/>
    <w:rsid w:val="0020586A"/>
    <w:rsid w:val="00282075"/>
    <w:rsid w:val="002958DB"/>
    <w:rsid w:val="002A1C85"/>
    <w:rsid w:val="002A41AB"/>
    <w:rsid w:val="002B00D8"/>
    <w:rsid w:val="00305D32"/>
    <w:rsid w:val="003130D1"/>
    <w:rsid w:val="00372C5E"/>
    <w:rsid w:val="003B1EB3"/>
    <w:rsid w:val="003B5A1C"/>
    <w:rsid w:val="003D1404"/>
    <w:rsid w:val="004B1163"/>
    <w:rsid w:val="004B3CEF"/>
    <w:rsid w:val="004B4C5C"/>
    <w:rsid w:val="004D1764"/>
    <w:rsid w:val="00612995"/>
    <w:rsid w:val="00725532"/>
    <w:rsid w:val="007353FD"/>
    <w:rsid w:val="0082248E"/>
    <w:rsid w:val="00827604"/>
    <w:rsid w:val="008534DE"/>
    <w:rsid w:val="008D695D"/>
    <w:rsid w:val="00940400"/>
    <w:rsid w:val="0095579C"/>
    <w:rsid w:val="00974BF6"/>
    <w:rsid w:val="009A7A85"/>
    <w:rsid w:val="009E2EDE"/>
    <w:rsid w:val="00A1655A"/>
    <w:rsid w:val="00A2454F"/>
    <w:rsid w:val="00A324C1"/>
    <w:rsid w:val="00A3537E"/>
    <w:rsid w:val="00A528C7"/>
    <w:rsid w:val="00AC4172"/>
    <w:rsid w:val="00AE445A"/>
    <w:rsid w:val="00AF59A2"/>
    <w:rsid w:val="00B67448"/>
    <w:rsid w:val="00BA093F"/>
    <w:rsid w:val="00BC1B6F"/>
    <w:rsid w:val="00C47A61"/>
    <w:rsid w:val="00C85B0D"/>
    <w:rsid w:val="00CA74C1"/>
    <w:rsid w:val="00CB72DE"/>
    <w:rsid w:val="00D1435B"/>
    <w:rsid w:val="00D31C81"/>
    <w:rsid w:val="00D331BF"/>
    <w:rsid w:val="00E014C3"/>
    <w:rsid w:val="00E40FD0"/>
    <w:rsid w:val="00EC0EC7"/>
    <w:rsid w:val="00EC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A68F3"/>
  <w15:chartTrackingRefBased/>
  <w15:docId w15:val="{87976298-0266-4530-AEC0-CA4464B0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248E"/>
    <w:pPr>
      <w:spacing w:after="200" w:line="276" w:lineRule="auto"/>
    </w:pPr>
    <w:rPr>
      <w:rFonts w:ascii="Verdana" w:eastAsia="Calibri" w:hAnsi="Verdana" w:cs="Times New Roman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uiPriority w:val="99"/>
    <w:qFormat/>
    <w:rsid w:val="0082248E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aliases w:val="14b B,h2,hlavicka,F2,F21,ASAPHeading 2,PA Major Section,2,sub-sect,21,sub-sect1,22,sub-sect2,211,sub-sect11,Nadpis 2T,Reshdr2,section header,23,sub-sect3,24,sub-sect4,25,sub-sect5,no section,(1.1,1.2,1.3 etc),Heaidng 2,H2,l2,Level 2,Nadpis můj"/>
    <w:basedOn w:val="Normln"/>
    <w:next w:val="Normln"/>
    <w:link w:val="Nadpis2Char"/>
    <w:uiPriority w:val="99"/>
    <w:qFormat/>
    <w:rsid w:val="0082248E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uiPriority w:val="99"/>
    <w:rsid w:val="0082248E"/>
    <w:rPr>
      <w:rFonts w:ascii="Times New Roman" w:eastAsia="Times New Roman" w:hAnsi="Times New Roman" w:cs="Times New Roman"/>
      <w:b/>
      <w:kern w:val="28"/>
      <w:sz w:val="28"/>
      <w:szCs w:val="20"/>
      <w:u w:val="single"/>
      <w:lang w:eastAsia="cs-CZ"/>
    </w:rPr>
  </w:style>
  <w:style w:type="character" w:customStyle="1" w:styleId="Nadpis2Char">
    <w:name w:val="Nadpis 2 Char"/>
    <w:aliases w:val="14b B Char,h2 Char,hlavicka Char,F2 Char,F21 Char,ASAPHeading 2 Char,PA Major Section Char,2 Char,sub-sect Char,21 Char,sub-sect1 Char,22 Char,sub-sect2 Char,211 Char,sub-sect11 Char,Nadpis 2T Char,Reshdr2 Char,section header Char,23 Char"/>
    <w:basedOn w:val="Standardnpsmoodstavce"/>
    <w:link w:val="Nadpis2"/>
    <w:uiPriority w:val="99"/>
    <w:rsid w:val="0082248E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Zhlav">
    <w:name w:val="header"/>
    <w:basedOn w:val="Normln"/>
    <w:link w:val="ZhlavChar"/>
    <w:unhideWhenUsed/>
    <w:rsid w:val="00822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82248E"/>
    <w:rPr>
      <w:rFonts w:ascii="Verdana" w:eastAsia="Calibri" w:hAnsi="Verdana" w:cs="Times New Roman"/>
    </w:rPr>
  </w:style>
  <w:style w:type="paragraph" w:styleId="Zpat">
    <w:name w:val="footer"/>
    <w:basedOn w:val="Normln"/>
    <w:link w:val="ZpatChar"/>
    <w:unhideWhenUsed/>
    <w:rsid w:val="00822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82248E"/>
    <w:rPr>
      <w:rFonts w:ascii="Verdana" w:eastAsia="Calibri" w:hAnsi="Verdana" w:cs="Times New Roman"/>
    </w:rPr>
  </w:style>
  <w:style w:type="character" w:styleId="slostrnky">
    <w:name w:val="page number"/>
    <w:basedOn w:val="Standardnpsmoodstavce"/>
    <w:rsid w:val="0082248E"/>
  </w:style>
  <w:style w:type="table" w:styleId="Mkatabulky">
    <w:name w:val="Table Grid"/>
    <w:basedOn w:val="Normlntabulka"/>
    <w:rsid w:val="00822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2248E"/>
    <w:pPr>
      <w:suppressAutoHyphens/>
      <w:autoSpaceDN w:val="0"/>
      <w:spacing w:after="200" w:line="276" w:lineRule="auto"/>
    </w:pPr>
    <w:rPr>
      <w:rFonts w:ascii="Verdana" w:eastAsia="Calibri" w:hAnsi="Verdana" w:cs="Verdana"/>
      <w:kern w:val="3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827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2760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27604"/>
    <w:rPr>
      <w:rFonts w:ascii="Verdana" w:eastAsia="Calibri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76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7604"/>
    <w:rPr>
      <w:rFonts w:ascii="Verdana" w:eastAsia="Calibri" w:hAnsi="Verdana"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B0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3</Pages>
  <Words>1131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Šušková</dc:creator>
  <cp:keywords/>
  <dc:description/>
  <cp:lastModifiedBy>Tomáš Bělovský</cp:lastModifiedBy>
  <cp:revision>12</cp:revision>
  <cp:lastPrinted>2022-10-19T11:49:00Z</cp:lastPrinted>
  <dcterms:created xsi:type="dcterms:W3CDTF">2022-10-10T07:43:00Z</dcterms:created>
  <dcterms:modified xsi:type="dcterms:W3CDTF">2023-05-10T09:36:00Z</dcterms:modified>
</cp:coreProperties>
</file>