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37" w:rsidRPr="00031137" w:rsidRDefault="00031137" w:rsidP="00031137">
      <w:pPr>
        <w:widowControl w:val="0"/>
        <w:tabs>
          <w:tab w:val="left" w:pos="993"/>
          <w:tab w:val="left" w:pos="2940"/>
          <w:tab w:val="left" w:pos="4780"/>
          <w:tab w:val="left" w:pos="5280"/>
          <w:tab w:val="left" w:pos="6780"/>
          <w:tab w:val="left" w:pos="7920"/>
          <w:tab w:val="left" w:pos="8660"/>
        </w:tabs>
        <w:autoSpaceDE w:val="0"/>
        <w:autoSpaceDN w:val="0"/>
        <w:adjustRightInd w:val="0"/>
        <w:spacing w:after="120" w:line="288" w:lineRule="auto"/>
        <w:ind w:right="90"/>
        <w:jc w:val="center"/>
        <w:rPr>
          <w:rFonts w:ascii="Palatino Linotype" w:hAnsi="Palatino Linotype" w:cs="Constantia"/>
          <w:b/>
          <w:color w:val="000000"/>
          <w:sz w:val="24"/>
          <w:szCs w:val="24"/>
        </w:rPr>
      </w:pPr>
      <w:r w:rsidRPr="00031137">
        <w:rPr>
          <w:rFonts w:ascii="Palatino Linotype" w:hAnsi="Palatino Linotype" w:cs="Constantia"/>
          <w:b/>
          <w:color w:val="000000"/>
          <w:sz w:val="24"/>
          <w:szCs w:val="24"/>
        </w:rPr>
        <w:t>Compliance smluvní doložka</w:t>
      </w:r>
    </w:p>
    <w:p w:rsidR="00031137" w:rsidRDefault="00031137" w:rsidP="0043683B">
      <w:pPr>
        <w:widowControl w:val="0"/>
        <w:tabs>
          <w:tab w:val="left" w:pos="993"/>
          <w:tab w:val="left" w:pos="2940"/>
          <w:tab w:val="left" w:pos="4780"/>
          <w:tab w:val="left" w:pos="5280"/>
          <w:tab w:val="left" w:pos="6780"/>
          <w:tab w:val="left" w:pos="7920"/>
          <w:tab w:val="left" w:pos="8660"/>
        </w:tabs>
        <w:autoSpaceDE w:val="0"/>
        <w:autoSpaceDN w:val="0"/>
        <w:adjustRightInd w:val="0"/>
        <w:spacing w:after="120" w:line="288" w:lineRule="auto"/>
        <w:ind w:right="90"/>
        <w:jc w:val="both"/>
        <w:rPr>
          <w:rFonts w:ascii="Palatino Linotype" w:hAnsi="Palatino Linotype" w:cs="Constantia"/>
          <w:color w:val="000000"/>
          <w:sz w:val="24"/>
          <w:szCs w:val="24"/>
        </w:rPr>
      </w:pPr>
    </w:p>
    <w:p w:rsidR="0043683B" w:rsidRPr="00A25FDF" w:rsidRDefault="0043683B" w:rsidP="0043683B">
      <w:pPr>
        <w:widowControl w:val="0"/>
        <w:tabs>
          <w:tab w:val="left" w:pos="993"/>
          <w:tab w:val="left" w:pos="2940"/>
          <w:tab w:val="left" w:pos="4780"/>
          <w:tab w:val="left" w:pos="5280"/>
          <w:tab w:val="left" w:pos="6780"/>
          <w:tab w:val="left" w:pos="7920"/>
          <w:tab w:val="left" w:pos="8660"/>
        </w:tabs>
        <w:autoSpaceDE w:val="0"/>
        <w:autoSpaceDN w:val="0"/>
        <w:adjustRightInd w:val="0"/>
        <w:spacing w:after="120" w:line="288" w:lineRule="auto"/>
        <w:ind w:right="90"/>
        <w:jc w:val="both"/>
        <w:rPr>
          <w:rFonts w:ascii="Palatino Linotype" w:hAnsi="Palatino Linotype" w:cs="Constantia"/>
          <w:color w:val="000000"/>
          <w:sz w:val="24"/>
          <w:szCs w:val="24"/>
        </w:rPr>
      </w:pPr>
      <w:r w:rsidRPr="00A25FDF">
        <w:rPr>
          <w:rFonts w:ascii="Palatino Linotype" w:hAnsi="Palatino Linotype" w:cs="Constantia"/>
          <w:color w:val="000000"/>
          <w:sz w:val="24"/>
          <w:szCs w:val="24"/>
        </w:rPr>
        <w:t>Compliance smluvní doložka slouží jako vhodný smluvní instrument implementovaný do smluv s obchodními partnery. Cílem doložky je seznámení obchodních partnerů</w:t>
      </w:r>
      <w:r w:rsidR="00031137">
        <w:rPr>
          <w:rFonts w:ascii="Palatino Linotype" w:hAnsi="Palatino Linotype" w:cs="Constantia"/>
          <w:color w:val="000000"/>
          <w:sz w:val="24"/>
          <w:szCs w:val="24"/>
        </w:rPr>
        <w:t xml:space="preserve"> </w:t>
      </w:r>
      <w:proofErr w:type="spellStart"/>
      <w:r w:rsidR="0084432A">
        <w:rPr>
          <w:rFonts w:ascii="Palatino Linotype" w:hAnsi="Palatino Linotype" w:cs="Constantia"/>
          <w:color w:val="000000"/>
          <w:sz w:val="24"/>
          <w:szCs w:val="24"/>
        </w:rPr>
        <w:t>Trade</w:t>
      </w:r>
      <w:proofErr w:type="spellEnd"/>
      <w:r w:rsidR="0084432A">
        <w:rPr>
          <w:rFonts w:ascii="Palatino Linotype" w:hAnsi="Palatino Linotype" w:cs="Constantia"/>
          <w:color w:val="000000"/>
          <w:sz w:val="24"/>
          <w:szCs w:val="24"/>
        </w:rPr>
        <w:t xml:space="preserve"> FIDES, a.s.</w:t>
      </w:r>
      <w:r w:rsidR="00C25496">
        <w:rPr>
          <w:rFonts w:ascii="Palatino Linotype" w:hAnsi="Palatino Linotype" w:cs="Constantia"/>
          <w:color w:val="000000"/>
          <w:sz w:val="24"/>
          <w:szCs w:val="24"/>
        </w:rPr>
        <w:t xml:space="preserve"> </w:t>
      </w:r>
      <w:r w:rsidRPr="00A25FDF">
        <w:rPr>
          <w:rFonts w:ascii="Palatino Linotype" w:hAnsi="Palatino Linotype" w:cs="Constantia"/>
          <w:color w:val="000000"/>
          <w:sz w:val="24"/>
          <w:szCs w:val="24"/>
        </w:rPr>
        <w:t>s existencí a podmínkami Compliance programu, který existuje a je dodržován. Doložka může obsahovat i</w:t>
      </w:r>
      <w:r>
        <w:rPr>
          <w:rFonts w:ascii="Palatino Linotype" w:hAnsi="Palatino Linotype" w:cs="Constantia"/>
          <w:color w:val="000000"/>
          <w:sz w:val="24"/>
          <w:szCs w:val="24"/>
        </w:rPr>
        <w:t> </w:t>
      </w:r>
      <w:r w:rsidRPr="00A25FDF">
        <w:rPr>
          <w:rFonts w:ascii="Palatino Linotype" w:hAnsi="Palatino Linotype" w:cs="Constantia"/>
          <w:color w:val="000000"/>
          <w:sz w:val="24"/>
          <w:szCs w:val="24"/>
        </w:rPr>
        <w:t xml:space="preserve">závazek obchodních partnerů k respektování této skutečnosti či pravidel Compliance programu.  </w:t>
      </w:r>
    </w:p>
    <w:p w:rsidR="0043683B" w:rsidRPr="00A25FDF" w:rsidRDefault="0043683B" w:rsidP="0043683B">
      <w:pPr>
        <w:widowControl w:val="0"/>
        <w:tabs>
          <w:tab w:val="left" w:pos="993"/>
          <w:tab w:val="left" w:pos="2940"/>
          <w:tab w:val="left" w:pos="4780"/>
          <w:tab w:val="left" w:pos="5280"/>
          <w:tab w:val="left" w:pos="6780"/>
          <w:tab w:val="left" w:pos="7920"/>
          <w:tab w:val="left" w:pos="8660"/>
        </w:tabs>
        <w:autoSpaceDE w:val="0"/>
        <w:autoSpaceDN w:val="0"/>
        <w:adjustRightInd w:val="0"/>
        <w:spacing w:after="120" w:line="288" w:lineRule="auto"/>
        <w:ind w:right="90"/>
        <w:jc w:val="both"/>
        <w:rPr>
          <w:rFonts w:ascii="Palatino Linotype" w:hAnsi="Palatino Linotype" w:cs="Constantia"/>
          <w:color w:val="000000"/>
          <w:sz w:val="24"/>
          <w:szCs w:val="24"/>
        </w:rPr>
      </w:pPr>
      <w:r w:rsidRPr="00A25FDF">
        <w:rPr>
          <w:rFonts w:ascii="Palatino Linotype" w:hAnsi="Palatino Linotype" w:cs="Constantia"/>
          <w:color w:val="000000"/>
          <w:sz w:val="24"/>
          <w:szCs w:val="24"/>
        </w:rPr>
        <w:tab/>
        <w:t>Návrhem Compliance smluvní doložky je následující ustanovení::</w:t>
      </w:r>
    </w:p>
    <w:p w:rsidR="0043683B" w:rsidRPr="00A25FDF" w:rsidRDefault="0043683B" w:rsidP="0043683B">
      <w:pPr>
        <w:widowControl w:val="0"/>
        <w:tabs>
          <w:tab w:val="left" w:pos="993"/>
          <w:tab w:val="left" w:pos="2940"/>
          <w:tab w:val="left" w:pos="4780"/>
          <w:tab w:val="left" w:pos="5280"/>
          <w:tab w:val="left" w:pos="6780"/>
          <w:tab w:val="left" w:pos="7920"/>
          <w:tab w:val="left" w:pos="8660"/>
        </w:tabs>
        <w:autoSpaceDE w:val="0"/>
        <w:autoSpaceDN w:val="0"/>
        <w:adjustRightInd w:val="0"/>
        <w:spacing w:after="0" w:line="288" w:lineRule="auto"/>
        <w:ind w:right="90"/>
        <w:jc w:val="both"/>
        <w:rPr>
          <w:rFonts w:ascii="Palatino Linotype" w:hAnsi="Palatino Linotype" w:cs="Constantia"/>
          <w:i/>
          <w:color w:val="000000"/>
          <w:sz w:val="24"/>
          <w:szCs w:val="24"/>
        </w:rPr>
      </w:pPr>
      <w:r w:rsidRPr="00A25FDF">
        <w:rPr>
          <w:rFonts w:ascii="Palatino Linotype" w:hAnsi="Palatino Linotype" w:cs="Constantia"/>
          <w:i/>
          <w:color w:val="000000"/>
          <w:sz w:val="24"/>
          <w:szCs w:val="24"/>
        </w:rPr>
        <w:t>„Každá ze smluvních stran prohlašuje:</w:t>
      </w:r>
    </w:p>
    <w:p w:rsidR="0043683B" w:rsidRPr="00A25FDF" w:rsidRDefault="00CC0832" w:rsidP="0043683B">
      <w:pPr>
        <w:widowControl w:val="0"/>
        <w:tabs>
          <w:tab w:val="left" w:pos="993"/>
          <w:tab w:val="left" w:pos="2940"/>
          <w:tab w:val="left" w:pos="4780"/>
          <w:tab w:val="left" w:pos="5280"/>
          <w:tab w:val="left" w:pos="6780"/>
          <w:tab w:val="left" w:pos="7920"/>
          <w:tab w:val="left" w:pos="8660"/>
        </w:tabs>
        <w:autoSpaceDE w:val="0"/>
        <w:autoSpaceDN w:val="0"/>
        <w:adjustRightInd w:val="0"/>
        <w:spacing w:after="0" w:line="288" w:lineRule="auto"/>
        <w:ind w:left="990" w:right="90" w:hanging="990"/>
        <w:jc w:val="both"/>
        <w:rPr>
          <w:rFonts w:ascii="Palatino Linotype" w:hAnsi="Palatino Linotype" w:cs="Constantia"/>
          <w:i/>
          <w:color w:val="000000"/>
          <w:sz w:val="24"/>
          <w:szCs w:val="24"/>
        </w:rPr>
      </w:pPr>
      <w:r>
        <w:rPr>
          <w:rFonts w:ascii="Palatino Linotype" w:hAnsi="Palatino Linotype" w:cs="Constantia"/>
          <w:i/>
          <w:color w:val="000000"/>
          <w:sz w:val="24"/>
          <w:szCs w:val="24"/>
        </w:rPr>
        <w:t>a)</w:t>
      </w:r>
      <w:r>
        <w:rPr>
          <w:rFonts w:ascii="Palatino Linotype" w:hAnsi="Palatino Linotype" w:cs="Constantia"/>
          <w:i/>
          <w:color w:val="000000"/>
          <w:sz w:val="24"/>
          <w:szCs w:val="24"/>
        </w:rPr>
        <w:tab/>
      </w:r>
      <w:r>
        <w:rPr>
          <w:rFonts w:ascii="Palatino Linotype" w:hAnsi="Palatino Linotype" w:cs="Constantia"/>
          <w:i/>
          <w:color w:val="000000"/>
          <w:sz w:val="24"/>
          <w:szCs w:val="24"/>
        </w:rPr>
        <w:tab/>
        <w:t>že se nepodílel</w:t>
      </w:r>
      <w:r w:rsidR="005112B3">
        <w:rPr>
          <w:rFonts w:ascii="Palatino Linotype" w:hAnsi="Palatino Linotype" w:cs="Constantia"/>
          <w:i/>
          <w:color w:val="000000"/>
          <w:sz w:val="24"/>
          <w:szCs w:val="24"/>
        </w:rPr>
        <w:t>a</w:t>
      </w:r>
      <w:bookmarkStart w:id="0" w:name="_GoBack"/>
      <w:bookmarkEnd w:id="0"/>
      <w:r>
        <w:rPr>
          <w:rFonts w:ascii="Palatino Linotype" w:hAnsi="Palatino Linotype" w:cs="Constantia"/>
          <w:i/>
          <w:color w:val="000000"/>
          <w:sz w:val="24"/>
          <w:szCs w:val="24"/>
        </w:rPr>
        <w:t xml:space="preserve">, </w:t>
      </w:r>
      <w:r w:rsidR="0043683B" w:rsidRPr="00A25FDF">
        <w:rPr>
          <w:rFonts w:ascii="Palatino Linotype" w:hAnsi="Palatino Linotype" w:cs="Constantia"/>
          <w:i/>
          <w:color w:val="000000"/>
          <w:sz w:val="24"/>
          <w:szCs w:val="24"/>
        </w:rPr>
        <w:t xml:space="preserve">nepodílí </w:t>
      </w:r>
      <w:r>
        <w:rPr>
          <w:rFonts w:ascii="Palatino Linotype" w:hAnsi="Palatino Linotype" w:cs="Constantia"/>
          <w:i/>
          <w:color w:val="000000"/>
          <w:sz w:val="24"/>
          <w:szCs w:val="24"/>
        </w:rPr>
        <w:t xml:space="preserve">a nebude podílet </w:t>
      </w:r>
      <w:r w:rsidR="0043683B" w:rsidRPr="00A25FDF">
        <w:rPr>
          <w:rFonts w:ascii="Palatino Linotype" w:hAnsi="Palatino Linotype" w:cs="Constantia"/>
          <w:i/>
          <w:color w:val="000000"/>
          <w:sz w:val="24"/>
          <w:szCs w:val="24"/>
        </w:rPr>
        <w:t>na páchání trestné činnosti ve smyslu zákona č.</w:t>
      </w:r>
      <w:r w:rsidR="0043683B">
        <w:rPr>
          <w:rFonts w:ascii="Palatino Linotype" w:hAnsi="Palatino Linotype" w:cs="Constantia"/>
          <w:i/>
          <w:color w:val="000000"/>
          <w:sz w:val="24"/>
          <w:szCs w:val="24"/>
        </w:rPr>
        <w:t> </w:t>
      </w:r>
      <w:r w:rsidR="0043683B" w:rsidRPr="00A25FDF">
        <w:rPr>
          <w:rFonts w:ascii="Palatino Linotype" w:hAnsi="Palatino Linotype" w:cs="Constantia"/>
          <w:i/>
          <w:color w:val="000000"/>
          <w:sz w:val="24"/>
          <w:szCs w:val="24"/>
        </w:rPr>
        <w:t>418/2011 Sb., o trestní odpovědnosti právnických osob a řízení proti nim, v</w:t>
      </w:r>
      <w:r w:rsidR="0043683B">
        <w:rPr>
          <w:rFonts w:ascii="Palatino Linotype" w:hAnsi="Palatino Linotype" w:cs="Constantia"/>
          <w:i/>
          <w:color w:val="000000"/>
          <w:sz w:val="24"/>
          <w:szCs w:val="24"/>
        </w:rPr>
        <w:t> </w:t>
      </w:r>
      <w:r w:rsidR="0043683B" w:rsidRPr="00A25FDF">
        <w:rPr>
          <w:rFonts w:ascii="Palatino Linotype" w:hAnsi="Palatino Linotype" w:cs="Constantia"/>
          <w:i/>
          <w:color w:val="000000"/>
          <w:sz w:val="24"/>
          <w:szCs w:val="24"/>
        </w:rPr>
        <w:t>platném znění,</w:t>
      </w:r>
    </w:p>
    <w:p w:rsidR="0043683B" w:rsidRPr="00A25FDF" w:rsidRDefault="0043683B" w:rsidP="0043683B">
      <w:pPr>
        <w:widowControl w:val="0"/>
        <w:tabs>
          <w:tab w:val="left" w:pos="993"/>
          <w:tab w:val="left" w:pos="2940"/>
          <w:tab w:val="left" w:pos="4780"/>
          <w:tab w:val="left" w:pos="5280"/>
          <w:tab w:val="left" w:pos="6780"/>
          <w:tab w:val="left" w:pos="7920"/>
          <w:tab w:val="left" w:pos="8660"/>
        </w:tabs>
        <w:autoSpaceDE w:val="0"/>
        <w:autoSpaceDN w:val="0"/>
        <w:adjustRightInd w:val="0"/>
        <w:spacing w:after="0" w:line="288" w:lineRule="auto"/>
        <w:ind w:left="990" w:right="90" w:hanging="990"/>
        <w:jc w:val="both"/>
        <w:rPr>
          <w:rFonts w:ascii="Palatino Linotype" w:hAnsi="Palatino Linotype" w:cs="Constantia"/>
          <w:i/>
          <w:color w:val="000000"/>
          <w:sz w:val="24"/>
          <w:szCs w:val="24"/>
        </w:rPr>
      </w:pPr>
      <w:r w:rsidRPr="00A25FDF">
        <w:rPr>
          <w:rFonts w:ascii="Palatino Linotype" w:hAnsi="Palatino Linotype" w:cs="Constantia"/>
          <w:i/>
          <w:color w:val="000000"/>
          <w:sz w:val="24"/>
          <w:szCs w:val="24"/>
        </w:rPr>
        <w:t>b)</w:t>
      </w:r>
      <w:r w:rsidRPr="00A25FDF">
        <w:rPr>
          <w:rFonts w:ascii="Palatino Linotype" w:hAnsi="Palatino Linotype" w:cs="Constantia"/>
          <w:i/>
          <w:color w:val="000000"/>
          <w:sz w:val="24"/>
          <w:szCs w:val="24"/>
        </w:rPr>
        <w:tab/>
      </w:r>
      <w:r w:rsidRPr="00A25FDF">
        <w:rPr>
          <w:rFonts w:ascii="Palatino Linotype" w:hAnsi="Palatino Linotype" w:cs="Constantia"/>
          <w:i/>
          <w:color w:val="000000"/>
          <w:sz w:val="24"/>
          <w:szCs w:val="24"/>
        </w:rPr>
        <w:tab/>
        <w:t xml:space="preserve">že zavedla </w:t>
      </w:r>
      <w:r w:rsidR="00CC0832">
        <w:rPr>
          <w:rFonts w:ascii="Palatino Linotype" w:hAnsi="Palatino Linotype" w:cs="Constantia"/>
          <w:i/>
          <w:color w:val="000000"/>
          <w:sz w:val="24"/>
          <w:szCs w:val="24"/>
        </w:rPr>
        <w:t>a bude řádně činit</w:t>
      </w:r>
      <w:r w:rsidR="00CC0832" w:rsidRPr="00A25FDF">
        <w:rPr>
          <w:rFonts w:ascii="Palatino Linotype" w:hAnsi="Palatino Linotype" w:cs="Constantia"/>
          <w:i/>
          <w:color w:val="000000"/>
          <w:sz w:val="24"/>
          <w:szCs w:val="24"/>
        </w:rPr>
        <w:t xml:space="preserve"> náležitá</w:t>
      </w:r>
      <w:r w:rsidRPr="00A25FDF">
        <w:rPr>
          <w:rFonts w:ascii="Palatino Linotype" w:hAnsi="Palatino Linotype" w:cs="Constantia"/>
          <w:i/>
          <w:color w:val="000000"/>
          <w:sz w:val="24"/>
          <w:szCs w:val="24"/>
        </w:rPr>
        <w:t xml:space="preserve"> kontrolní a jiná obdobná opatření nad činností svých zaměstnanců,</w:t>
      </w:r>
    </w:p>
    <w:p w:rsidR="0043683B" w:rsidRPr="00A25FDF" w:rsidRDefault="0043683B" w:rsidP="0043683B">
      <w:pPr>
        <w:widowControl w:val="0"/>
        <w:tabs>
          <w:tab w:val="left" w:pos="993"/>
          <w:tab w:val="left" w:pos="2940"/>
          <w:tab w:val="left" w:pos="4780"/>
          <w:tab w:val="left" w:pos="5280"/>
          <w:tab w:val="left" w:pos="6780"/>
          <w:tab w:val="left" w:pos="7920"/>
          <w:tab w:val="left" w:pos="8660"/>
        </w:tabs>
        <w:autoSpaceDE w:val="0"/>
        <w:autoSpaceDN w:val="0"/>
        <w:adjustRightInd w:val="0"/>
        <w:spacing w:after="0" w:line="288" w:lineRule="auto"/>
        <w:ind w:left="990" w:right="90" w:hanging="990"/>
        <w:jc w:val="both"/>
        <w:rPr>
          <w:rFonts w:ascii="Palatino Linotype" w:hAnsi="Palatino Linotype" w:cs="Constantia"/>
          <w:i/>
          <w:color w:val="000000"/>
          <w:sz w:val="24"/>
          <w:szCs w:val="24"/>
        </w:rPr>
      </w:pPr>
      <w:r w:rsidRPr="00A25FDF">
        <w:rPr>
          <w:rFonts w:ascii="Palatino Linotype" w:hAnsi="Palatino Linotype" w:cs="Constantia"/>
          <w:i/>
          <w:color w:val="000000"/>
          <w:sz w:val="24"/>
          <w:szCs w:val="24"/>
        </w:rPr>
        <w:t>c)</w:t>
      </w:r>
      <w:r w:rsidRPr="00A25FDF">
        <w:rPr>
          <w:rFonts w:ascii="Palatino Linotype" w:hAnsi="Palatino Linotype" w:cs="Constantia"/>
          <w:i/>
          <w:color w:val="000000"/>
          <w:sz w:val="24"/>
          <w:szCs w:val="24"/>
        </w:rPr>
        <w:tab/>
      </w:r>
      <w:r w:rsidRPr="00A25FDF">
        <w:rPr>
          <w:rFonts w:ascii="Palatino Linotype" w:hAnsi="Palatino Linotype" w:cs="Constantia"/>
          <w:i/>
          <w:color w:val="000000"/>
          <w:sz w:val="24"/>
          <w:szCs w:val="24"/>
        </w:rPr>
        <w:tab/>
        <w:t xml:space="preserve">že učinila </w:t>
      </w:r>
      <w:r w:rsidR="00CC0832">
        <w:rPr>
          <w:rFonts w:ascii="Palatino Linotype" w:hAnsi="Palatino Linotype" w:cs="Constantia"/>
          <w:i/>
          <w:color w:val="000000"/>
          <w:sz w:val="24"/>
          <w:szCs w:val="24"/>
        </w:rPr>
        <w:t xml:space="preserve">a bude řádně činit </w:t>
      </w:r>
      <w:r w:rsidRPr="00A25FDF">
        <w:rPr>
          <w:rFonts w:ascii="Palatino Linotype" w:hAnsi="Palatino Linotype" w:cs="Constantia"/>
          <w:i/>
          <w:color w:val="000000"/>
          <w:sz w:val="24"/>
          <w:szCs w:val="24"/>
        </w:rPr>
        <w:t>nezbytná opatření k zamezení nebo odvrácení případných následků spáchaného trestného činu,</w:t>
      </w:r>
    </w:p>
    <w:p w:rsidR="0043683B" w:rsidRPr="00A25FDF" w:rsidRDefault="0043683B" w:rsidP="0043683B">
      <w:pPr>
        <w:widowControl w:val="0"/>
        <w:tabs>
          <w:tab w:val="left" w:pos="993"/>
          <w:tab w:val="left" w:pos="2940"/>
          <w:tab w:val="left" w:pos="4780"/>
          <w:tab w:val="left" w:pos="5280"/>
          <w:tab w:val="left" w:pos="6780"/>
          <w:tab w:val="left" w:pos="7920"/>
          <w:tab w:val="left" w:pos="8660"/>
        </w:tabs>
        <w:autoSpaceDE w:val="0"/>
        <w:autoSpaceDN w:val="0"/>
        <w:adjustRightInd w:val="0"/>
        <w:spacing w:after="0" w:line="288" w:lineRule="auto"/>
        <w:ind w:left="990" w:right="90" w:hanging="990"/>
        <w:jc w:val="both"/>
        <w:rPr>
          <w:rFonts w:ascii="Palatino Linotype" w:hAnsi="Palatino Linotype" w:cs="Constantia"/>
          <w:i/>
          <w:color w:val="000000"/>
          <w:sz w:val="24"/>
          <w:szCs w:val="24"/>
        </w:rPr>
      </w:pPr>
      <w:r w:rsidRPr="00A25FDF">
        <w:rPr>
          <w:rFonts w:ascii="Palatino Linotype" w:hAnsi="Palatino Linotype" w:cs="Constantia"/>
          <w:i/>
          <w:color w:val="000000"/>
          <w:sz w:val="24"/>
          <w:szCs w:val="24"/>
        </w:rPr>
        <w:t>d)</w:t>
      </w:r>
      <w:r w:rsidRPr="00A25FDF">
        <w:rPr>
          <w:rFonts w:ascii="Palatino Linotype" w:hAnsi="Palatino Linotype" w:cs="Constantia"/>
          <w:i/>
          <w:color w:val="000000"/>
          <w:sz w:val="24"/>
          <w:szCs w:val="24"/>
        </w:rPr>
        <w:tab/>
      </w:r>
      <w:r w:rsidRPr="00A25FDF">
        <w:rPr>
          <w:rFonts w:ascii="Palatino Linotype" w:hAnsi="Palatino Linotype" w:cs="Constantia"/>
          <w:i/>
          <w:color w:val="000000"/>
          <w:sz w:val="24"/>
          <w:szCs w:val="24"/>
        </w:rPr>
        <w:tab/>
        <w:t>že provedla</w:t>
      </w:r>
      <w:r w:rsidR="00CC0832">
        <w:rPr>
          <w:rFonts w:ascii="Palatino Linotype" w:hAnsi="Palatino Linotype" w:cs="Constantia"/>
          <w:i/>
          <w:color w:val="000000"/>
          <w:sz w:val="24"/>
          <w:szCs w:val="24"/>
        </w:rPr>
        <w:t xml:space="preserve"> a bude provádět </w:t>
      </w:r>
      <w:r w:rsidRPr="00A25FDF">
        <w:rPr>
          <w:rFonts w:ascii="Palatino Linotype" w:hAnsi="Palatino Linotype" w:cs="Constantia"/>
          <w:i/>
          <w:color w:val="000000"/>
          <w:sz w:val="24"/>
          <w:szCs w:val="24"/>
        </w:rPr>
        <w:t xml:space="preserve">taková opatření, která měla </w:t>
      </w:r>
      <w:r w:rsidR="00CC0832">
        <w:rPr>
          <w:rFonts w:ascii="Palatino Linotype" w:hAnsi="Palatino Linotype" w:cs="Constantia"/>
          <w:i/>
          <w:color w:val="000000"/>
          <w:sz w:val="24"/>
          <w:szCs w:val="24"/>
        </w:rPr>
        <w:t xml:space="preserve">či má </w:t>
      </w:r>
      <w:r w:rsidRPr="00A25FDF">
        <w:rPr>
          <w:rFonts w:ascii="Palatino Linotype" w:hAnsi="Palatino Linotype" w:cs="Constantia"/>
          <w:i/>
          <w:color w:val="000000"/>
          <w:sz w:val="24"/>
          <w:szCs w:val="24"/>
        </w:rPr>
        <w:t>provést podle právních, jakožto i svých vnitřních předpisů,</w:t>
      </w:r>
    </w:p>
    <w:p w:rsidR="0043683B" w:rsidRDefault="0043683B" w:rsidP="0043683B">
      <w:pPr>
        <w:widowControl w:val="0"/>
        <w:tabs>
          <w:tab w:val="left" w:pos="993"/>
          <w:tab w:val="left" w:pos="2940"/>
          <w:tab w:val="left" w:pos="4780"/>
          <w:tab w:val="left" w:pos="5280"/>
          <w:tab w:val="left" w:pos="6780"/>
          <w:tab w:val="left" w:pos="7920"/>
          <w:tab w:val="left" w:pos="8660"/>
        </w:tabs>
        <w:autoSpaceDE w:val="0"/>
        <w:autoSpaceDN w:val="0"/>
        <w:adjustRightInd w:val="0"/>
        <w:spacing w:after="120" w:line="288" w:lineRule="auto"/>
        <w:ind w:left="990" w:right="90" w:hanging="990"/>
        <w:jc w:val="both"/>
        <w:rPr>
          <w:rFonts w:ascii="Palatino Linotype" w:hAnsi="Palatino Linotype" w:cs="Constantia"/>
          <w:i/>
          <w:color w:val="000000"/>
          <w:sz w:val="24"/>
          <w:szCs w:val="24"/>
        </w:rPr>
      </w:pPr>
      <w:r w:rsidRPr="00A25FDF">
        <w:rPr>
          <w:rFonts w:ascii="Palatino Linotype" w:hAnsi="Palatino Linotype" w:cs="Constantia"/>
          <w:i/>
          <w:color w:val="000000"/>
          <w:sz w:val="24"/>
          <w:szCs w:val="24"/>
        </w:rPr>
        <w:t>e)</w:t>
      </w:r>
      <w:r w:rsidRPr="00A25FDF">
        <w:rPr>
          <w:rFonts w:ascii="Palatino Linotype" w:hAnsi="Palatino Linotype" w:cs="Constantia"/>
          <w:i/>
          <w:color w:val="000000"/>
          <w:sz w:val="24"/>
          <w:szCs w:val="24"/>
        </w:rPr>
        <w:tab/>
      </w:r>
      <w:r w:rsidRPr="00A25FDF">
        <w:rPr>
          <w:rFonts w:ascii="Palatino Linotype" w:hAnsi="Palatino Linotype" w:cs="Constantia"/>
          <w:i/>
          <w:color w:val="000000"/>
          <w:sz w:val="24"/>
          <w:szCs w:val="24"/>
        </w:rPr>
        <w:tab/>
        <w:t xml:space="preserve">že z hlediska prevence trestní odpovědnosti právnických osob učinila </w:t>
      </w:r>
      <w:r w:rsidR="00CC0832">
        <w:rPr>
          <w:rFonts w:ascii="Palatino Linotype" w:hAnsi="Palatino Linotype" w:cs="Constantia"/>
          <w:i/>
          <w:color w:val="000000"/>
          <w:sz w:val="24"/>
          <w:szCs w:val="24"/>
        </w:rPr>
        <w:t xml:space="preserve">a bude činit </w:t>
      </w:r>
      <w:r w:rsidRPr="00A25FDF">
        <w:rPr>
          <w:rFonts w:ascii="Palatino Linotype" w:hAnsi="Palatino Linotype" w:cs="Constantia"/>
          <w:i/>
          <w:color w:val="000000"/>
          <w:sz w:val="24"/>
          <w:szCs w:val="24"/>
        </w:rPr>
        <w:t>vše, co po ní lze spravedlivě požadovat, zejm. přijala Etický kod</w:t>
      </w:r>
      <w:r w:rsidR="00CC0832">
        <w:rPr>
          <w:rFonts w:ascii="Palatino Linotype" w:hAnsi="Palatino Linotype" w:cs="Constantia"/>
          <w:i/>
          <w:color w:val="000000"/>
          <w:sz w:val="24"/>
          <w:szCs w:val="24"/>
        </w:rPr>
        <w:t>ex a zásady Compliance programu</w:t>
      </w:r>
      <w:r w:rsidRPr="00A25FDF">
        <w:rPr>
          <w:rFonts w:ascii="Palatino Linotype" w:hAnsi="Palatino Linotype" w:cs="Constantia"/>
          <w:i/>
          <w:color w:val="000000"/>
          <w:sz w:val="24"/>
          <w:szCs w:val="24"/>
        </w:rPr>
        <w:t>.</w:t>
      </w:r>
      <w:r w:rsidR="00CC0832">
        <w:rPr>
          <w:rFonts w:ascii="Palatino Linotype" w:hAnsi="Palatino Linotype" w:cs="Constantia"/>
          <w:i/>
          <w:color w:val="000000"/>
          <w:sz w:val="24"/>
          <w:szCs w:val="24"/>
        </w:rPr>
        <w:t>“</w:t>
      </w:r>
    </w:p>
    <w:p w:rsidR="0043683B" w:rsidRPr="00A25FDF" w:rsidRDefault="0043683B" w:rsidP="0043683B">
      <w:pPr>
        <w:widowControl w:val="0"/>
        <w:tabs>
          <w:tab w:val="left" w:pos="993"/>
          <w:tab w:val="left" w:pos="2940"/>
          <w:tab w:val="left" w:pos="4780"/>
          <w:tab w:val="left" w:pos="5280"/>
          <w:tab w:val="left" w:pos="6780"/>
          <w:tab w:val="left" w:pos="7920"/>
          <w:tab w:val="left" w:pos="8660"/>
        </w:tabs>
        <w:autoSpaceDE w:val="0"/>
        <w:autoSpaceDN w:val="0"/>
        <w:adjustRightInd w:val="0"/>
        <w:spacing w:after="120" w:line="288" w:lineRule="auto"/>
        <w:ind w:right="90"/>
        <w:jc w:val="both"/>
        <w:rPr>
          <w:rFonts w:ascii="Palatino Linotype" w:hAnsi="Palatino Linotype" w:cs="Constantia"/>
          <w:color w:val="000000"/>
          <w:sz w:val="24"/>
          <w:szCs w:val="24"/>
        </w:rPr>
      </w:pPr>
      <w:r w:rsidRPr="00A25FDF">
        <w:rPr>
          <w:rFonts w:ascii="Palatino Linotype" w:hAnsi="Palatino Linotype" w:cs="Constantia"/>
          <w:color w:val="000000"/>
          <w:sz w:val="24"/>
          <w:szCs w:val="24"/>
        </w:rPr>
        <w:tab/>
        <w:t>Ustanovení Compliance smluvní doložky mohou být použita k</w:t>
      </w:r>
      <w:r>
        <w:rPr>
          <w:rFonts w:ascii="Palatino Linotype" w:hAnsi="Palatino Linotype" w:cs="Constantia"/>
          <w:color w:val="000000"/>
          <w:sz w:val="24"/>
          <w:szCs w:val="24"/>
        </w:rPr>
        <w:t> </w:t>
      </w:r>
      <w:r w:rsidRPr="00A25FDF">
        <w:rPr>
          <w:rFonts w:ascii="Palatino Linotype" w:hAnsi="Palatino Linotype" w:cs="Constantia"/>
          <w:color w:val="000000"/>
          <w:sz w:val="24"/>
          <w:szCs w:val="24"/>
        </w:rPr>
        <w:t xml:space="preserve">distancování se od jednání v případě, kdy smluvní strana poruší ustanovení této doložky. Následkem může být výpověď smlouvy, </w:t>
      </w:r>
      <w:r w:rsidR="00972CAD">
        <w:rPr>
          <w:rFonts w:ascii="Palatino Linotype" w:hAnsi="Palatino Linotype" w:cs="Constantia"/>
          <w:color w:val="000000"/>
          <w:sz w:val="24"/>
          <w:szCs w:val="24"/>
        </w:rPr>
        <w:t xml:space="preserve">kdy toto musí být ujednáno jako výslovně jako výpovědní důvod, </w:t>
      </w:r>
      <w:r w:rsidRPr="00A25FDF">
        <w:rPr>
          <w:rFonts w:ascii="Palatino Linotype" w:hAnsi="Palatino Linotype" w:cs="Constantia"/>
          <w:color w:val="000000"/>
          <w:sz w:val="24"/>
          <w:szCs w:val="24"/>
        </w:rPr>
        <w:t>resp. odstoupení od smlouvy</w:t>
      </w:r>
      <w:r w:rsidR="00031137">
        <w:rPr>
          <w:rFonts w:ascii="Palatino Linotype" w:hAnsi="Palatino Linotype" w:cs="Constantia"/>
          <w:color w:val="000000"/>
          <w:sz w:val="24"/>
          <w:szCs w:val="24"/>
        </w:rPr>
        <w:t xml:space="preserve"> ze zákona</w:t>
      </w:r>
      <w:r w:rsidRPr="00A25FDF">
        <w:rPr>
          <w:rFonts w:ascii="Palatino Linotype" w:hAnsi="Palatino Linotype" w:cs="Constantia"/>
          <w:color w:val="000000"/>
          <w:sz w:val="24"/>
          <w:szCs w:val="24"/>
        </w:rPr>
        <w:t xml:space="preserve"> (srov. ustanovení § 2001 a násl. občanského zákoníku).</w:t>
      </w:r>
    </w:p>
    <w:p w:rsidR="0043683B" w:rsidRPr="00A25FDF" w:rsidRDefault="0043683B" w:rsidP="0043683B">
      <w:pPr>
        <w:widowControl w:val="0"/>
        <w:tabs>
          <w:tab w:val="left" w:pos="993"/>
          <w:tab w:val="left" w:pos="2940"/>
          <w:tab w:val="left" w:pos="4780"/>
          <w:tab w:val="left" w:pos="5280"/>
          <w:tab w:val="left" w:pos="6780"/>
          <w:tab w:val="left" w:pos="7920"/>
          <w:tab w:val="left" w:pos="8660"/>
        </w:tabs>
        <w:autoSpaceDE w:val="0"/>
        <w:autoSpaceDN w:val="0"/>
        <w:adjustRightInd w:val="0"/>
        <w:spacing w:after="120" w:line="288" w:lineRule="auto"/>
        <w:ind w:right="90"/>
        <w:jc w:val="both"/>
        <w:rPr>
          <w:rFonts w:ascii="Palatino Linotype" w:hAnsi="Palatino Linotype" w:cs="Constantia"/>
          <w:b/>
          <w:color w:val="FF0000"/>
          <w:sz w:val="24"/>
          <w:szCs w:val="24"/>
        </w:rPr>
      </w:pPr>
      <w:r w:rsidRPr="00A25FDF">
        <w:rPr>
          <w:rFonts w:ascii="Palatino Linotype" w:hAnsi="Palatino Linotype" w:cs="Constantia"/>
          <w:color w:val="000000"/>
          <w:sz w:val="24"/>
          <w:szCs w:val="24"/>
        </w:rPr>
        <w:tab/>
      </w:r>
      <w:r w:rsidR="00972CAD">
        <w:rPr>
          <w:rFonts w:ascii="Palatino Linotype" w:hAnsi="Palatino Linotype" w:cs="Constantia"/>
          <w:color w:val="000000"/>
          <w:sz w:val="24"/>
          <w:szCs w:val="24"/>
        </w:rPr>
        <w:t>K</w:t>
      </w:r>
      <w:r w:rsidRPr="00A25FDF">
        <w:rPr>
          <w:rFonts w:ascii="Palatino Linotype" w:hAnsi="Palatino Linotype" w:cs="Constantia"/>
          <w:color w:val="000000"/>
          <w:sz w:val="24"/>
          <w:szCs w:val="24"/>
        </w:rPr>
        <w:t>e Compliance smluvní doložce</w:t>
      </w:r>
      <w:r w:rsidR="00972CAD">
        <w:rPr>
          <w:rFonts w:ascii="Palatino Linotype" w:hAnsi="Palatino Linotype" w:cs="Constantia"/>
          <w:color w:val="000000"/>
          <w:sz w:val="24"/>
          <w:szCs w:val="24"/>
        </w:rPr>
        <w:t xml:space="preserve"> </w:t>
      </w:r>
      <w:r w:rsidRPr="00A25FDF">
        <w:rPr>
          <w:rFonts w:ascii="Palatino Linotype" w:hAnsi="Palatino Linotype" w:cs="Constantia"/>
          <w:color w:val="000000"/>
          <w:sz w:val="24"/>
          <w:szCs w:val="24"/>
        </w:rPr>
        <w:t>je vhodné uvést, že jejich implementace do smluv s</w:t>
      </w:r>
      <w:r>
        <w:rPr>
          <w:rFonts w:ascii="Palatino Linotype" w:hAnsi="Palatino Linotype" w:cs="Constantia"/>
          <w:color w:val="000000"/>
          <w:sz w:val="24"/>
          <w:szCs w:val="24"/>
        </w:rPr>
        <w:t> </w:t>
      </w:r>
      <w:r w:rsidRPr="00A25FDF">
        <w:rPr>
          <w:rFonts w:ascii="Palatino Linotype" w:hAnsi="Palatino Linotype" w:cs="Constantia"/>
          <w:color w:val="000000"/>
          <w:sz w:val="24"/>
          <w:szCs w:val="24"/>
        </w:rPr>
        <w:t>obchodními partner</w:t>
      </w:r>
      <w:r w:rsidR="00031137">
        <w:rPr>
          <w:rFonts w:ascii="Palatino Linotype" w:hAnsi="Palatino Linotype" w:cs="Constantia"/>
          <w:color w:val="000000"/>
          <w:sz w:val="24"/>
          <w:szCs w:val="24"/>
        </w:rPr>
        <w:t>y a klienty</w:t>
      </w:r>
      <w:r w:rsidRPr="00A25FDF">
        <w:rPr>
          <w:rFonts w:ascii="Palatino Linotype" w:hAnsi="Palatino Linotype" w:cs="Constantia"/>
          <w:color w:val="000000"/>
          <w:sz w:val="24"/>
          <w:szCs w:val="24"/>
        </w:rPr>
        <w:t xml:space="preserve"> je nanejvýš žádoucí, avšak není obligatorní a vždy záleží na postoji druhé smluvní strany. Jinak řečeno, skutečnost, že druhá smluvní strana s uvedenými doložkami nebude souhlasit, není zákonným důvodem pro neuzavření příslušné smlouvy.</w:t>
      </w:r>
    </w:p>
    <w:p w:rsidR="00C7332C" w:rsidRDefault="00C7332C" w:rsidP="00C15D29">
      <w:pPr>
        <w:rPr>
          <w:sz w:val="24"/>
          <w:szCs w:val="24"/>
        </w:rPr>
      </w:pPr>
    </w:p>
    <w:sectPr w:rsidR="00C73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95F3D"/>
    <w:multiLevelType w:val="hybridMultilevel"/>
    <w:tmpl w:val="A28670FA"/>
    <w:lvl w:ilvl="0" w:tplc="2E88971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3B"/>
    <w:rsid w:val="00031137"/>
    <w:rsid w:val="001E2C8A"/>
    <w:rsid w:val="0021639B"/>
    <w:rsid w:val="003D49F3"/>
    <w:rsid w:val="0043683B"/>
    <w:rsid w:val="005112B3"/>
    <w:rsid w:val="006E48DC"/>
    <w:rsid w:val="00735F93"/>
    <w:rsid w:val="0084432A"/>
    <w:rsid w:val="00875EB2"/>
    <w:rsid w:val="00972CAD"/>
    <w:rsid w:val="00BE6570"/>
    <w:rsid w:val="00C15D29"/>
    <w:rsid w:val="00C25496"/>
    <w:rsid w:val="00C7332C"/>
    <w:rsid w:val="00CC0832"/>
    <w:rsid w:val="00D44EB7"/>
    <w:rsid w:val="00F47846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69C5"/>
  <w15:docId w15:val="{0AE9ADE0-9041-4746-BE6D-9DE05050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83B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D2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4E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4E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4EB7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4E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4EB7"/>
    <w:rPr>
      <w:rFonts w:eastAsiaTheme="minorEastAs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EB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</dc:creator>
  <cp:lastModifiedBy>User</cp:lastModifiedBy>
  <cp:revision>4</cp:revision>
  <dcterms:created xsi:type="dcterms:W3CDTF">2016-08-17T14:10:00Z</dcterms:created>
  <dcterms:modified xsi:type="dcterms:W3CDTF">2016-08-17T14:15:00Z</dcterms:modified>
</cp:coreProperties>
</file>