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č. 73430029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uzavřená podle § § 1746 zákona č. 89/2012 Sb., občanský zákoník, 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podmínkách provádění stavebních prací v silničním pozemku a tělese a užívání silniční stavby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zákona č. 13/1997 Sb., o pozemních komunikacích, ve znění pozdějších předpisů,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43" w:val="left"/>
        </w:tabs>
        <w:bidi w:val="0"/>
        <w:spacing w:before="0" w:after="0" w:line="266" w:lineRule="auto"/>
        <w:ind w:left="1420" w:right="0" w:hanging="4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 Kosovská 1122/16, 586 01 Jihlava, IČ: 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42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Ing. Radovanem Necidem - ředitelem organizace jako správce silnic II. a III. třídy, dále jen správce silnic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070" w:val="left"/>
        </w:tabs>
        <w:bidi w:val="0"/>
        <w:spacing w:before="0" w:after="0" w:line="266" w:lineRule="auto"/>
        <w:ind w:left="142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podpisu smlouvy oprávněn</w:t>
        <w:tab/>
        <w:t>, vedoucí technicko-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1420" w:right="0" w:firstLine="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správního oddělení pracoviště Pelhřimov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43" w:val="left"/>
        </w:tabs>
        <w:bidi w:val="0"/>
        <w:spacing w:before="0" w:after="0" w:line="266" w:lineRule="auto"/>
        <w:ind w:left="10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VHST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Kouřimského 2532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393 01 Pelhřimov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02464471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 Martinem Pavlíčkem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80" w:line="266" w:lineRule="auto"/>
        <w:ind w:left="1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žadatel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33" w:val="left"/>
        </w:tabs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Úvodní ustanovení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 je majetkovým správcem silnic II. a III. třídy v kraji Vysočina na základě zřizovací listiny schválené usnesením Zastupitelstva kraje Vysočina.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27" w:val="left"/>
        </w:tabs>
        <w:bidi w:val="0"/>
        <w:spacing w:before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Účelem stanovení podmínek pro provádění prací v silničním pozemku a tělese je zajištění ochrany silniční sítě ve správě správce silnic v souladu se zákonem o pozemních komunikacích.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17" w:val="left"/>
        </w:tabs>
        <w:bidi w:val="0"/>
        <w:spacing w:before="0" w:after="38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 dotčení silnic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-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 dotčení silnice 11/602 ve správě Krajské správy a údržby silnic Vysočiny v okrese Pelhřimov dojde stavbou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ZTV Zelený Vrch Pelhřimov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Podrobný popis:</w:t>
      </w:r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48" w:val="left"/>
        </w:tabs>
        <w:bidi w:val="0"/>
        <w:spacing w:before="0" w:after="0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Souběžné uložení dešťové kanalizace mimo zpevněnou část sil.č. 11/602 v lan 111,135 - 111,463 (pravá strana ve směru staničení)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Souběžné uložení kabelu VO mimo zpevněnou část sil.č. 11/602 v lan 111,134 —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111,303 (levá strana ve směru staničení) + umístění stožárů VO.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Napojení na splaškovou kanalizaci v sil.č. 11/602 v km 111,443.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Souběžné uložení vodovodního potrubí mimo zpevněnou část sil.č. 11/602 v lan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111,233 - 111,246 (levá strana ve směru staničení)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Souběžné uložení optického kabelu mimo zpevněnou část sil.č. 11/602 v km 111,219 — 111,233 (levá strana ve směru staničení)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3x křížení silnice 11/602 protlakem v lan 111,233; 111,163 a 111,219.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odbočovacích pruhů a ostrůvku na silnici 11/602 v km 111,180 - 111,274. Smlouvu o zřízení odbočovacích pruhů je třeba řešit s Krajem Vysočina. Odbočovací pruh bude zatrubněn profilem min. 400mm.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Zřízení nového chodníku u silnice č. 11/602 v lan 111,274 - 111,463 (pravá strana ve směru stan.) a v km 111,233 - 111,246 (levá strana ve směru stan.). Je třeba řádně vyřešit odvodnění komunikace 11/602 aby nedošlo ke zhoršení odtokových poměrů z povrchu silnice.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Rekonstrukce sjezdu v lan 111,221 sjezd bude zatrubněn profilem min. 600mm.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52" w:val="left"/>
        </w:tabs>
        <w:bidi w:val="0"/>
        <w:spacing w:before="0" w:after="540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Souběžné uložení dešťové kanalizace pod rozšířením silnice 11/602 v km 111,218 - 111,262 (levá strana ve směru staničení).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Startovací jámy budou mimo zpevněnou část vozovky.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celé délce bude kabel uložen v bet. žlabech. Hloubka krytí bude min. 1,2 m. Bude dodržena norma ČSN 73 6005.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Souhlasíme s posunutím DZ IZ4a a IZ4b na silnici 11/602 do lan 111,025.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99" w:val="left"/>
        </w:tabs>
        <w:bidi w:val="0"/>
        <w:spacing w:before="0" w:after="26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provádění stavebních prací v silničním tělese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8" w:val="left"/>
        </w:tabs>
        <w:bidi w:val="0"/>
        <w:spacing w:before="0" w:line="259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Konečná oprava silničního tělesa bude provedena nejpozději do 30.9.2023. Opravené silniční těleso bude předáno do 5-ti dnů od ukončení prací správci silnice protokolem.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doby předání je zhotovitel stavby povinen udržovat silniční těleso v řádném stavu a je odpovědný za zajištění bezpečnosti silničního provozu v daném úseku.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1" w:val="left"/>
        </w:tabs>
        <w:bidi w:val="0"/>
        <w:spacing w:before="0" w:after="320" w:line="262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stavby bere na vědomí, že stavební práce v silničním pozemku a tělese mohou být prováděny teprve po nabytí právní moci rozhodnutí o povolení ke zvláštnímu užívání silnic pro provádění stavebních prací v silničním pozemku a tělese, o jehož vydání je povinen požádat u silničního správního úřadu a uhrazení faktury na poplatek za užívání silničního pozemku (netýká se havárií).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6" w:val="left"/>
        </w:tabs>
        <w:bidi w:val="0"/>
        <w:spacing w:before="0" w:after="100" w:line="26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Podmínky KSÚSV zůstávají v platnosti i v případě, že jejich plnění nebude výslovně požadováno v rozhodnutí příslušného silničního správního úřadu.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6" w:val="left"/>
        </w:tabs>
        <w:bidi w:val="0"/>
        <w:spacing w:before="0" w:after="90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Bude dodržena ČSN 73 6005.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96" w:val="left"/>
        </w:tabs>
        <w:bidi w:val="0"/>
        <w:spacing w:before="0" w:after="100" w:line="264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podmínky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18" w:val="left"/>
        </w:tabs>
        <w:bidi w:val="0"/>
        <w:spacing w:before="0" w:after="900"/>
        <w:ind w:left="46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Silniční těleso opravené v záruční době dle předchozího odstavce bude předáno na základě písemného protokolu do 5-ti dnů od ukončení prací správci silnic. Na všechny práce spojené s opravou silničního tělesa v záruční době poskytne zhotovitel stavby správci silnic záruční dobu v délce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60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ode dne předání (počítá se ode dne podpisu písemného protokolu). Termín předání bude oznámen správci silnic minimálně 3 dny předem - oddělení TSO v Pelhřimově, tel: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54" w:val="left"/>
        </w:tabs>
        <w:bidi w:val="0"/>
        <w:spacing w:before="0" w:after="100" w:line="264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podmínky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6" w:val="left"/>
          <w:tab w:pos="847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zařízení souhlasí s prováděním prací charakteru údržby (§</w:t>
        <w:tab/>
        <w:t>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4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vyhl.č.lO4/97Sb) na silničním pozemku použitého k uložení zařízení správcem komunikace obvyklou mechanizací použitou v ostatním úseku bez přítomnosti tohoto zařízení.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6" w:val="left"/>
        </w:tabs>
        <w:bidi w:val="0"/>
        <w:spacing w:before="0" w:after="520" w:line="26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prací. V případě nesouhlasu uhradí vícenáklady vzniklé použitím požadované jiné technologie než je obvyklé v ostatním úseku /např. ruční práce/.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551" w:val="left"/>
        </w:tabs>
        <w:bidi w:val="0"/>
        <w:spacing w:before="0" w:line="264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o užívání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6" w:val="left"/>
        </w:tabs>
        <w:bidi w:val="0"/>
        <w:spacing w:before="0" w:after="100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Užívání silničního pozemku a tělesa k provádění stavebních prací dle čl. IV této smlouvy se sjednává na dobu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122 dnů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termínu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1.6.2023 do 30.9.2023.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6" w:val="left"/>
        </w:tabs>
        <w:bidi w:val="0"/>
        <w:spacing w:before="0" w:after="100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užívání bude poskytnuto úplatně. Výše úhrady se sjednává dle směrnic správce silnic a kalkulace v příloze této smlouvy a činí celkem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 w:line="264" w:lineRule="auto"/>
        <w:ind w:left="0" w:right="0" w:firstLine="460"/>
        <w:jc w:val="left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88 572,- Kč včetně DPH.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6" w:val="left"/>
        </w:tabs>
        <w:bidi w:val="0"/>
        <w:spacing w:before="0" w:after="100" w:line="262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6" w:val="left"/>
        </w:tabs>
        <w:bidi w:val="0"/>
        <w:spacing w:before="0" w:after="100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stavby je povinen zaplatit správci silnic smluvní pokutu ve výši 0,2 % z částky dle odst. 2 tohoto článku smlouvy za každý i započatý den prodlení se zaplacením faktury.</w:t>
      </w:r>
      <w:r>
        <w:br w:type="page"/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663" w:val="left"/>
        </w:tabs>
        <w:bidi w:val="0"/>
        <w:spacing w:before="0" w:after="38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smluvních stran</w:t>
      </w:r>
      <w:bookmarkEnd w:id="20"/>
      <w:bookmarkEnd w:id="21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24" w:val="left"/>
        </w:tabs>
        <w:bidi w:val="0"/>
        <w:spacing w:before="0" w:after="100" w:line="266" w:lineRule="auto"/>
        <w:ind w:left="6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závazky z této smlouvy plynoucí přecházejí na případné právní nástupce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28" w:val="left"/>
        </w:tabs>
        <w:bidi w:val="0"/>
        <w:spacing w:before="0" w:after="900" w:line="266" w:lineRule="auto"/>
        <w:ind w:left="6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silnic je povinen strpět provádění prací v silničním tělese za podmínek sjednaných v této smlouvě.</w:t>
      </w:r>
    </w:p>
    <w:p>
      <w:pPr>
        <w:pStyle w:val="Style10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479" w:val="left"/>
        </w:tabs>
        <w:bidi w:val="0"/>
        <w:spacing w:before="0" w:after="380" w:line="240" w:lineRule="auto"/>
        <w:ind w:left="0" w:right="0" w:firstLine="0"/>
        <w:jc w:val="center"/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22"/>
      <w:bookmarkEnd w:id="23"/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8" w:val="left"/>
        </w:tabs>
        <w:bidi w:val="0"/>
        <w:spacing w:before="0" w:after="260" w:line="271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vyhotovena v elektronické podobě, přičemž obě smluvní strany obdrží její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8" w:val="left"/>
        </w:tabs>
        <w:bidi w:val="0"/>
        <w:spacing w:before="0" w:after="260" w:line="262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připojení platného uznávaného elektronického podpisu dle zákona č. 297/2016 Sb., o službách vytvářejících důvěru pro elektronické transakce, ve znění pozdějších předpisů, do této smlouvy, a to oběma smluvními stranami)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8" w:val="left"/>
        </w:tabs>
        <w:bidi w:val="0"/>
        <w:spacing w:before="0" w:after="38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za jednostranně nevýhodných podmínek. 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358" w:val="left"/>
        </w:tabs>
        <w:bidi w:val="0"/>
        <w:spacing w:before="0" w:after="1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smlouvy je i její příloha č. 1 - kalkulace 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2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podepisující tuto smlouvu svým podpisem zároveň stvrzují platnost svých oprávnění jednat za smluvní strany.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940" w:line="240" w:lineRule="auto"/>
        <w:ind w:left="0" w:right="0" w:firstLine="300"/>
        <w:jc w:val="left"/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</w:t>
      </w:r>
      <w:bookmarkEnd w:id="24"/>
      <w:bookmarkEnd w:id="2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4939030</wp:posOffset>
                </wp:positionH>
                <wp:positionV relativeFrom="paragraph">
                  <wp:posOffset>12700</wp:posOffset>
                </wp:positionV>
                <wp:extent cx="1081405" cy="3746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1405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 stavby razítko, podpis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89999999999998pt;margin-top:1.pt;width:85.150000000000006pt;height:29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 stavby razítko,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Radoslav Kovář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TSO, pracoviště Pelhřimov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č.l ke smlouvě č. 73430029</w:t>
      </w:r>
      <w:bookmarkEnd w:id="26"/>
      <w:bookmarkEnd w:id="27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Užívání silniční stavby pro provádění stavebních prací - kalkulace ceny.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Užívání silničního tělesa pro stavbu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ZTV Zelený Vrch Pelhřimov“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3893820</wp:posOffset>
                </wp:positionH>
                <wp:positionV relativeFrom="paragraph">
                  <wp:posOffset>12700</wp:posOffset>
                </wp:positionV>
                <wp:extent cx="894080" cy="1917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408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2,- Kč/m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.den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6.60000000000002pt;margin-top:1.pt;width:70.400000000000006pt;height:15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2,- Kč/m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.den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na silnici II. třídy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300m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2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x 122dnů x 2,-Kč = 73 200,-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682" w:val="right"/>
          <w:tab w:pos="4898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Základ daně</w:t>
        <w:tab/>
        <w:t>73 200,-</w:t>
        <w:tab/>
        <w:t>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682" w:val="righ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DPH 21%</w:t>
        <w:tab/>
        <w:t>15 372,-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682" w:val="right"/>
          <w:tab w:pos="4895" w:val="right"/>
        </w:tabs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  <w:tab/>
        <w:t>88 572,-</w:t>
        <w:tab/>
        <w:t>Kč</w:t>
      </w:r>
    </w:p>
    <w:p>
      <w:pPr>
        <w:pStyle w:val="Style14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6293" w:val="left"/>
        </w:tabs>
        <w:bidi w:val="0"/>
        <w:spacing w:before="0" w:after="560" w:line="240" w:lineRule="auto"/>
        <w:ind w:left="0" w:right="0" w:firstLine="0"/>
        <w:jc w:val="left"/>
        <w:rPr>
          <w:sz w:val="40"/>
          <w:szCs w:val="40"/>
        </w:rPr>
      </w:pPr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 xml:space="preserve">Za zvláštní užívání silnic celkem s </w:t>
      </w:r>
      <w:r>
        <w:rPr>
          <w:smallCap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dph</w:t>
      </w:r>
      <w:r>
        <w:rPr>
          <w:color w:val="000000"/>
          <w:spacing w:val="0"/>
          <w:w w:val="100"/>
          <w:position w:val="0"/>
          <w:sz w:val="40"/>
          <w:szCs w:val="40"/>
          <w:shd w:val="clear" w:color="auto" w:fill="auto"/>
          <w:lang w:val="cs-CZ" w:eastAsia="cs-CZ" w:bidi="cs-CZ"/>
        </w:rPr>
        <w:t xml:space="preserve"> —</w:t>
        <w:tab/>
        <w:t>88 572,- Kč</w:t>
      </w:r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4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Užívání je vypočteno dle vnitřních směrnic správce silnic, rozlišení dle třídy silnice pro případ veřejného zájmu.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 dne:29.5.2023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Vypracoval: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440" w:left="1420" w:right="1376" w:bottom="1848" w:header="101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3796030</wp:posOffset>
              </wp:positionH>
              <wp:positionV relativeFrom="page">
                <wp:posOffset>10142855</wp:posOffset>
              </wp:positionV>
              <wp:extent cx="29845" cy="10541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845" cy="1054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8.89999999999998pt;margin-top:798.64999999999998pt;width:2.3500000000000001pt;height:8.30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3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Nadpis #2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20" w:line="26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before="740" w:after="4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3"/>
    <w:basedOn w:val="Normal"/>
    <w:link w:val="CharStyle11"/>
    <w:pPr>
      <w:widowControl w:val="0"/>
      <w:shd w:val="clear" w:color="auto" w:fill="FFFFFF"/>
      <w:spacing w:after="34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FFFFFF"/>
      <w:spacing w:after="61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after="32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