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A0" w:rsidRDefault="00FA14CA">
      <w:pPr>
        <w:pStyle w:val="Zkladntext1"/>
        <w:pBdr>
          <w:bottom w:val="single" w:sz="4" w:space="0" w:color="auto"/>
        </w:pBdr>
        <w:shd w:val="clear" w:color="auto" w:fill="auto"/>
        <w:spacing w:after="280" w:line="271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Veolia</w:t>
      </w:r>
      <w:proofErr w:type="spellEnd"/>
      <w:r>
        <w:rPr>
          <w:b/>
          <w:bCs/>
          <w:sz w:val="20"/>
          <w:szCs w:val="20"/>
        </w:rPr>
        <w:t xml:space="preserve"> Energie CR, a.s., 28. října 3337/7, Moravská Ostrava, 702 00 Ostrava</w:t>
      </w:r>
      <w:r>
        <w:rPr>
          <w:b/>
          <w:bCs/>
          <w:sz w:val="20"/>
          <w:szCs w:val="20"/>
        </w:rPr>
        <w:br/>
        <w:t xml:space="preserve">Region Morava, Elektrárenská 5562/17, 709 74 </w:t>
      </w:r>
      <w:proofErr w:type="gramStart"/>
      <w:r>
        <w:rPr>
          <w:b/>
          <w:bCs/>
          <w:sz w:val="20"/>
          <w:szCs w:val="20"/>
        </w:rPr>
        <w:t>Ostrava - Třebovice</w:t>
      </w:r>
      <w:proofErr w:type="gramEnd"/>
    </w:p>
    <w:p w:rsidR="00AC36A0" w:rsidRDefault="00FA14CA">
      <w:pPr>
        <w:pStyle w:val="Zkladntext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Číslo smlouvy: </w:t>
      </w:r>
      <w:r>
        <w:rPr>
          <w:sz w:val="28"/>
          <w:szCs w:val="28"/>
        </w:rPr>
        <w:t>11471</w:t>
      </w:r>
    </w:p>
    <w:p w:rsidR="00AC36A0" w:rsidRDefault="00FA14CA">
      <w:pPr>
        <w:pStyle w:val="Nadpis10"/>
        <w:keepNext/>
        <w:keepLines/>
        <w:shd w:val="clear" w:color="auto" w:fill="auto"/>
      </w:pPr>
      <w:bookmarkStart w:id="0" w:name="bookmark0"/>
      <w:r>
        <w:t>PŘIHLÁŠKA K ODBĚRU TEPLA</w:t>
      </w:r>
      <w:bookmarkEnd w:id="0"/>
    </w:p>
    <w:p w:rsidR="00AC36A0" w:rsidRDefault="00FA14CA">
      <w:pPr>
        <w:pStyle w:val="Zkladntext1"/>
        <w:pBdr>
          <w:bottom w:val="single" w:sz="4" w:space="0" w:color="auto"/>
        </w:pBdr>
        <w:shd w:val="clear" w:color="auto" w:fill="auto"/>
        <w:spacing w:after="580" w:line="240" w:lineRule="auto"/>
        <w:ind w:right="32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pro odběrné místo s ÚT: </w:t>
      </w:r>
      <w:r>
        <w:rPr>
          <w:sz w:val="24"/>
          <w:szCs w:val="24"/>
        </w:rPr>
        <w:t>C500-305/001</w:t>
      </w:r>
    </w:p>
    <w:p w:rsidR="00AC36A0" w:rsidRDefault="00FA14CA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Název OM:</w:t>
      </w:r>
    </w:p>
    <w:p w:rsidR="00AC36A0" w:rsidRDefault="00FA14CA">
      <w:pPr>
        <w:pStyle w:val="Zkladntext1"/>
        <w:shd w:val="clear" w:color="auto" w:fill="auto"/>
        <w:spacing w:after="28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Policie </w:t>
      </w:r>
      <w:proofErr w:type="gramStart"/>
      <w:r>
        <w:rPr>
          <w:b/>
          <w:bCs/>
          <w:sz w:val="20"/>
          <w:szCs w:val="20"/>
        </w:rPr>
        <w:t>ČR - KŘP</w:t>
      </w:r>
      <w:proofErr w:type="gramEnd"/>
      <w:r>
        <w:rPr>
          <w:b/>
          <w:bCs/>
          <w:sz w:val="20"/>
          <w:szCs w:val="20"/>
        </w:rPr>
        <w:t xml:space="preserve"> OK, </w:t>
      </w:r>
      <w:proofErr w:type="spellStart"/>
      <w:r>
        <w:rPr>
          <w:b/>
          <w:bCs/>
          <w:sz w:val="20"/>
          <w:szCs w:val="20"/>
        </w:rPr>
        <w:t>Vejdovského</w:t>
      </w:r>
      <w:proofErr w:type="spellEnd"/>
      <w:r>
        <w:rPr>
          <w:b/>
          <w:bCs/>
          <w:sz w:val="20"/>
          <w:szCs w:val="20"/>
        </w:rPr>
        <w:t xml:space="preserve"> 2, Olomouc</w:t>
      </w:r>
    </w:p>
    <w:p w:rsidR="00AC36A0" w:rsidRDefault="00FA14CA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451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Odběrné místo: sekundami</w:t>
      </w:r>
      <w:r>
        <w:rPr>
          <w:sz w:val="20"/>
          <w:szCs w:val="20"/>
        </w:rPr>
        <w:tab/>
      </w:r>
    </w:p>
    <w:p w:rsidR="00AC36A0" w:rsidRDefault="00FA14CA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Rozdělení instalovaného výkonu (MW):</w:t>
      </w:r>
    </w:p>
    <w:p w:rsidR="00AC36A0" w:rsidRDefault="00DE6C66">
      <w:pPr>
        <w:pStyle w:val="Titulektabulky0"/>
        <w:shd w:val="clear" w:color="auto" w:fill="auto"/>
        <w:tabs>
          <w:tab w:val="left" w:pos="3071"/>
        </w:tabs>
      </w:pPr>
      <w:r>
        <w:t xml:space="preserve">                                      </w:t>
      </w:r>
      <w:r w:rsidR="00FA14CA">
        <w:t>top prostoru</w:t>
      </w:r>
      <w:r w:rsidR="00FA14CA">
        <w:tab/>
      </w:r>
      <w:r>
        <w:tab/>
      </w:r>
      <w:r>
        <w:tab/>
      </w:r>
      <w:r>
        <w:tab/>
      </w:r>
      <w:r>
        <w:tab/>
        <w:t xml:space="preserve">       </w:t>
      </w:r>
      <w:r w:rsidR="00FA14CA">
        <w:t>příprava TV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001"/>
        <w:gridCol w:w="1127"/>
        <w:gridCol w:w="1127"/>
        <w:gridCol w:w="648"/>
        <w:gridCol w:w="1292"/>
        <w:gridCol w:w="900"/>
        <w:gridCol w:w="720"/>
        <w:gridCol w:w="1037"/>
        <w:gridCol w:w="292"/>
      </w:tblGrid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117" w:type="dxa"/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sektor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</w:pPr>
            <w:proofErr w:type="gramStart"/>
            <w:r w:rsidRPr="00DE6C66">
              <w:rPr>
                <w:highlight w:val="black"/>
              </w:rPr>
              <w:t>0,…</w:t>
            </w:r>
            <w:proofErr w:type="gramEnd"/>
            <w:r w:rsidRPr="00DE6C66">
              <w:rPr>
                <w:highlight w:val="black"/>
              </w:rPr>
              <w:t>..</w:t>
            </w: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0,000</w:t>
            </w:r>
          </w:p>
        </w:tc>
        <w:tc>
          <w:tcPr>
            <w:tcW w:w="90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17" w:type="dxa"/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byty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</w:pPr>
            <w:r>
              <w:t>0,000</w:t>
            </w: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0,000</w:t>
            </w:r>
          </w:p>
        </w:tc>
        <w:tc>
          <w:tcPr>
            <w:tcW w:w="90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7" w:type="dxa"/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1" w:type="dxa"/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</w:pPr>
            <w:r w:rsidRPr="00DE6C66">
              <w:rPr>
                <w:highlight w:val="black"/>
              </w:rPr>
              <w:t>…….</w:t>
            </w: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rPr>
                <w:b/>
                <w:bCs/>
              </w:rPr>
              <w:t>0,000</w:t>
            </w:r>
          </w:p>
        </w:tc>
        <w:tc>
          <w:tcPr>
            <w:tcW w:w="90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FF"/>
          </w:tcPr>
          <w:p w:rsidR="00DE6C66" w:rsidRDefault="00DE6C66">
            <w:pPr>
              <w:rPr>
                <w:sz w:val="10"/>
                <w:szCs w:val="10"/>
              </w:rPr>
            </w:pP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I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40"/>
              <w:jc w:val="left"/>
            </w:pPr>
            <w:r>
              <w:t>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tabs>
                <w:tab w:val="left" w:pos="284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tabs>
                <w:tab w:val="left" w:pos="2840"/>
              </w:tabs>
              <w:spacing w:after="0" w:line="240" w:lineRule="auto"/>
              <w:ind w:left="360"/>
            </w:pPr>
            <w:r>
              <w:rPr>
                <w:b/>
                <w:bCs/>
                <w:sz w:val="20"/>
                <w:szCs w:val="20"/>
              </w:rPr>
              <w:t>Údaje pro OM s ÚT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t>I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Údaje pro OM s TV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117" w:type="dxa"/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b/>
                <w:bCs/>
              </w:rPr>
              <w:t xml:space="preserve">sektor </w:t>
            </w:r>
            <w:r>
              <w:t>I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byty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I </w:t>
            </w:r>
            <w:r>
              <w:rPr>
                <w:b/>
                <w:bCs/>
              </w:rPr>
              <w:t xml:space="preserve">celkem </w:t>
            </w:r>
            <w:r>
              <w:t>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 xml:space="preserve">sektor </w:t>
            </w:r>
            <w:r>
              <w:t>I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byty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I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292" w:type="dxa"/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podlahová plocha (</w:t>
            </w:r>
            <w:proofErr w:type="spellStart"/>
            <w:r>
              <w:rPr>
                <w:sz w:val="17"/>
                <w:szCs w:val="17"/>
              </w:rPr>
              <w:t>rrr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</w:pPr>
            <w:r w:rsidRPr="00DE6C66">
              <w:rPr>
                <w:highlight w:val="black"/>
              </w:rPr>
              <w:t>…….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DE6C66">
              <w:rPr>
                <w:highlight w:val="black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P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highlight w:val="black"/>
              </w:rPr>
            </w:pPr>
            <w:r w:rsidRPr="00DE6C66">
              <w:rPr>
                <w:highlight w:val="black"/>
              </w:rPr>
              <w:t>……..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</w:pPr>
            <w:r w:rsidRPr="00DE6C66">
              <w:rPr>
                <w:highlight w:val="black"/>
              </w:rPr>
              <w:t>……..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podlahová plocha (m</w:t>
            </w:r>
            <w:proofErr w:type="gramStart"/>
            <w:r>
              <w:rPr>
                <w:sz w:val="17"/>
                <w:szCs w:val="17"/>
              </w:rPr>
              <w:t>2)-</w:t>
            </w:r>
            <w:proofErr w:type="gramEnd"/>
            <w:r>
              <w:rPr>
                <w:sz w:val="17"/>
                <w:szCs w:val="17"/>
              </w:rPr>
              <w:t>pro rozpočet I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8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  <w:tr w:rsidR="00DE6C66" w:rsidTr="00DE6C66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počet bytových jednotek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ind w:right="18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66" w:rsidRDefault="00DE6C6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</w:p>
        </w:tc>
      </w:tr>
    </w:tbl>
    <w:p w:rsidR="00AC36A0" w:rsidRDefault="00AC36A0">
      <w:pPr>
        <w:spacing w:after="226" w:line="14" w:lineRule="exact"/>
      </w:pPr>
    </w:p>
    <w:p w:rsidR="00AC36A0" w:rsidRDefault="00FA14CA">
      <w:pPr>
        <w:pStyle w:val="Nadpis50"/>
        <w:keepNext/>
        <w:keepLines/>
        <w:shd w:val="clear" w:color="auto" w:fill="auto"/>
        <w:spacing w:line="240" w:lineRule="auto"/>
      </w:pPr>
      <w:bookmarkStart w:id="1" w:name="bookmark1"/>
      <w:r>
        <w:t>Údaje o doplňkové vodě:</w:t>
      </w:r>
      <w:bookmarkEnd w:id="1"/>
    </w:p>
    <w:p w:rsidR="00AC36A0" w:rsidRDefault="00FA14CA">
      <w:pPr>
        <w:pStyle w:val="Zkladntext1"/>
        <w:pBdr>
          <w:bottom w:val="single" w:sz="4" w:space="0" w:color="auto"/>
        </w:pBdr>
        <w:shd w:val="clear" w:color="auto" w:fill="auto"/>
        <w:spacing w:after="280" w:line="240" w:lineRule="auto"/>
      </w:pPr>
      <w:r>
        <w:t>odběr: je, není účtován</w:t>
      </w:r>
    </w:p>
    <w:p w:rsidR="00AC36A0" w:rsidRDefault="00FA14CA">
      <w:pPr>
        <w:pStyle w:val="Nadpis50"/>
        <w:keepNext/>
        <w:keepLines/>
        <w:shd w:val="clear" w:color="auto" w:fill="auto"/>
        <w:spacing w:line="547" w:lineRule="auto"/>
      </w:pPr>
      <w:bookmarkStart w:id="2" w:name="bookmark2"/>
      <w:r>
        <w:t>Údaje o předávací</w:t>
      </w:r>
      <w:r>
        <w:t xml:space="preserve"> stanici:</w:t>
      </w:r>
      <w:bookmarkEnd w:id="2"/>
    </w:p>
    <w:p w:rsidR="00AC36A0" w:rsidRDefault="00FA14CA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line="547" w:lineRule="auto"/>
        <w:jc w:val="left"/>
      </w:pPr>
      <w:r>
        <w:t xml:space="preserve">Majetková příslušnost: technologické zřízení PS v majetku odběratele, </w:t>
      </w:r>
      <w:proofErr w:type="spellStart"/>
      <w:r>
        <w:t>sekundáry</w:t>
      </w:r>
      <w:proofErr w:type="spellEnd"/>
      <w:r>
        <w:t xml:space="preserve"> jsou v majetku odběratele Údaje pro fakturaci jsou uvedeny v diagramu na odběr tepla.</w:t>
      </w:r>
    </w:p>
    <w:p w:rsidR="00AC36A0" w:rsidRDefault="00FA14CA">
      <w:pPr>
        <w:pStyle w:val="Zkladntext1"/>
        <w:shd w:val="clear" w:color="auto" w:fill="auto"/>
        <w:spacing w:after="0" w:line="257" w:lineRule="auto"/>
      </w:pPr>
      <w:r>
        <w:t xml:space="preserve">Odběratel prohlašuje, že rozdělení podlahových ploch odpovídá skutečnosti a že </w:t>
      </w:r>
      <w:r>
        <w:t>šije vědom povinnosti nahlásit dodavateli bezodkladně každou změnu výměry podlahové plochy bytových a nebytových prostor.</w:t>
      </w:r>
    </w:p>
    <w:p w:rsidR="00DE6C66" w:rsidRDefault="00DE6C66">
      <w:pPr>
        <w:pStyle w:val="Zkladntext1"/>
        <w:shd w:val="clear" w:color="auto" w:fill="auto"/>
        <w:spacing w:after="0" w:line="257" w:lineRule="auto"/>
      </w:pPr>
    </w:p>
    <w:p w:rsidR="00DE6C66" w:rsidRDefault="00DE6C66">
      <w:pPr>
        <w:pStyle w:val="Zkladntext1"/>
        <w:shd w:val="clear" w:color="auto" w:fill="auto"/>
        <w:spacing w:after="0" w:line="257" w:lineRule="auto"/>
      </w:pPr>
    </w:p>
    <w:p w:rsidR="00DE6C66" w:rsidRDefault="00DE6C66">
      <w:pPr>
        <w:pStyle w:val="Zkladntext1"/>
        <w:shd w:val="clear" w:color="auto" w:fill="auto"/>
        <w:spacing w:after="0" w:line="257" w:lineRule="auto"/>
      </w:pPr>
    </w:p>
    <w:p w:rsidR="00AC36A0" w:rsidRDefault="00AC36A0">
      <w:pPr>
        <w:spacing w:line="14" w:lineRule="exact"/>
      </w:pPr>
    </w:p>
    <w:p w:rsidR="00AC36A0" w:rsidRDefault="00FA14CA">
      <w:pPr>
        <w:pStyle w:val="Nadpis30"/>
        <w:keepNext/>
        <w:keepLines/>
        <w:shd w:val="clear" w:color="auto" w:fill="auto"/>
        <w:tabs>
          <w:tab w:val="left" w:pos="3356"/>
          <w:tab w:val="left" w:pos="5898"/>
        </w:tabs>
      </w:pPr>
      <w:bookmarkStart w:id="3" w:name="bookmark3"/>
      <w:r>
        <w:t>Za dodavatele</w:t>
      </w:r>
      <w:r>
        <w:tab/>
      </w:r>
      <w:r>
        <w:rPr>
          <w:sz w:val="16"/>
          <w:szCs w:val="16"/>
        </w:rPr>
        <w:tab/>
      </w:r>
      <w:r>
        <w:t>Za odběratele</w:t>
      </w:r>
      <w:bookmarkEnd w:id="3"/>
    </w:p>
    <w:p w:rsidR="00AC36A0" w:rsidRDefault="00DE6C66">
      <w:pPr>
        <w:pStyle w:val="Nadpis40"/>
        <w:keepNext/>
        <w:keepLines/>
        <w:shd w:val="clear" w:color="auto" w:fill="auto"/>
        <w:rPr>
          <w:sz w:val="22"/>
          <w:szCs w:val="22"/>
        </w:rPr>
      </w:pPr>
      <w:bookmarkStart w:id="4" w:name="bookmark4"/>
      <w:r w:rsidRPr="00DE6C66">
        <w:rPr>
          <w:highlight w:val="black"/>
          <w:vertAlign w:val="superscript"/>
        </w:rPr>
        <w:t>………………………………………………</w:t>
      </w:r>
      <w:r>
        <w:rPr>
          <w:vertAlign w:val="superscript"/>
        </w:rPr>
        <w:t xml:space="preserve"> </w:t>
      </w:r>
      <w:r w:rsidR="00817E68">
        <w:rPr>
          <w:vertAlign w:val="superscript"/>
        </w:rPr>
        <w:t xml:space="preserve">                                                                                                                 </w:t>
      </w:r>
      <w:bookmarkEnd w:id="4"/>
      <w:r w:rsidR="00817E68" w:rsidRPr="00817E68">
        <w:rPr>
          <w:highlight w:val="black"/>
          <w:vertAlign w:val="superscript"/>
        </w:rPr>
        <w:t>……………………………………………………..</w:t>
      </w:r>
    </w:p>
    <w:p w:rsidR="00AC36A0" w:rsidRDefault="00DE6C66">
      <w:pPr>
        <w:pStyle w:val="Zkladntext20"/>
        <w:shd w:val="clear" w:color="auto" w:fill="auto"/>
        <w:tabs>
          <w:tab w:val="left" w:pos="4909"/>
        </w:tabs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bookmarkStart w:id="5" w:name="_GoBack"/>
      <w:bookmarkEnd w:id="5"/>
      <w:r w:rsidRPr="003A4DD8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black"/>
        </w:rPr>
        <w:t>……………………</w:t>
      </w:r>
      <w:r w:rsidRPr="003A4DD8">
        <w:rPr>
          <w:rFonts w:ascii="Times New Roman" w:eastAsia="Times New Roman" w:hAnsi="Times New Roman" w:cs="Times New Roman"/>
          <w:color w:val="000000"/>
          <w:sz w:val="22"/>
          <w:szCs w:val="22"/>
          <w:highlight w:val="black"/>
        </w:rPr>
        <w:t>.</w:t>
      </w:r>
      <w:r w:rsidR="00FA14C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17E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17E68" w:rsidRPr="00817E68">
        <w:rPr>
          <w:rFonts w:ascii="Times New Roman" w:eastAsia="Times New Roman" w:hAnsi="Times New Roman" w:cs="Times New Roman"/>
          <w:color w:val="000000"/>
          <w:sz w:val="22"/>
          <w:szCs w:val="22"/>
          <w:highlight w:val="black"/>
        </w:rPr>
        <w:t>……………………………..</w:t>
      </w:r>
      <w:r w:rsidR="00817E68">
        <w:rPr>
          <w:rFonts w:ascii="Times New Roman" w:eastAsia="Times New Roman" w:hAnsi="Times New Roman" w:cs="Times New Roman"/>
          <w:color w:val="000000"/>
          <w:sz w:val="22"/>
          <w:szCs w:val="22"/>
          <w:highlight w:val="bla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6A0" w:rsidRDefault="00817E68">
      <w:pPr>
        <w:pStyle w:val="Zkladntext30"/>
        <w:shd w:val="clear" w:color="auto" w:fill="auto"/>
      </w:pPr>
      <w:r>
        <w:t xml:space="preserve">                                                                                             </w:t>
      </w:r>
      <w:r w:rsidR="00FA14CA">
        <w:br/>
      </w:r>
      <w:r>
        <w:t xml:space="preserve">                                                                                                                           </w:t>
      </w:r>
    </w:p>
    <w:sectPr w:rsidR="00AC36A0">
      <w:pgSz w:w="11900" w:h="16840"/>
      <w:pgMar w:top="576" w:right="1327" w:bottom="146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CA" w:rsidRDefault="00FA14CA">
      <w:r>
        <w:separator/>
      </w:r>
    </w:p>
  </w:endnote>
  <w:endnote w:type="continuationSeparator" w:id="0">
    <w:p w:rsidR="00FA14CA" w:rsidRDefault="00FA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CA" w:rsidRDefault="00FA14CA"/>
  </w:footnote>
  <w:footnote w:type="continuationSeparator" w:id="0">
    <w:p w:rsidR="00FA14CA" w:rsidRDefault="00FA14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A0"/>
    <w:rsid w:val="003A4DD8"/>
    <w:rsid w:val="00817E68"/>
    <w:rsid w:val="00AC36A0"/>
    <w:rsid w:val="00DE6C66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DC95"/>
  <w15:docId w15:val="{8D2F7E12-CA20-46A2-AB49-2AE6DCF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905B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4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4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394" w:lineRule="auto"/>
      <w:jc w:val="both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6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80" w:lineRule="auto"/>
      <w:ind w:left="780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8" w:lineRule="auto"/>
      <w:ind w:left="420"/>
      <w:jc w:val="both"/>
    </w:pPr>
    <w:rPr>
      <w:rFonts w:ascii="Arial" w:eastAsia="Arial" w:hAnsi="Arial" w:cs="Arial"/>
      <w:color w:val="0905B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78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ind w:left="34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2023-05-29T10:42:00Z</dcterms:created>
  <dcterms:modified xsi:type="dcterms:W3CDTF">2023-05-29T10:48:00Z</dcterms:modified>
</cp:coreProperties>
</file>