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09A7E109" w:rsidR="00CC11A9" w:rsidRDefault="00CC11A9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B460CC" w:rsidRPr="00B460CC">
        <w:rPr>
          <w:rFonts w:eastAsia="Times New Roman"/>
          <w:color w:val="000000" w:themeColor="text1"/>
          <w:lang w:eastAsia="cs-CZ"/>
        </w:rPr>
        <w:t>KK01430/2023</w:t>
      </w:r>
    </w:p>
    <w:p w14:paraId="5D2AB210" w14:textId="77777777" w:rsidR="00BB3D60" w:rsidRPr="00F276FD" w:rsidRDefault="00BB3D60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6BD64E7F" w:rsidR="00CC11A9" w:rsidRPr="00F276FD" w:rsidRDefault="00861E49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Datová schránka:</w:t>
      </w:r>
      <w:r w:rsidRPr="002B75E8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Administrující odbor:</w:t>
      </w:r>
      <w:r w:rsidRPr="002B75E8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2B75E8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B75E8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18F838" w14:textId="489E783D" w:rsidR="001928AF" w:rsidRPr="002B75E8" w:rsidRDefault="00F60735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</w:rPr>
      </w:pPr>
      <w:r w:rsidRPr="002B75E8">
        <w:rPr>
          <w:b/>
        </w:rPr>
        <w:t xml:space="preserve">Město </w:t>
      </w:r>
      <w:r w:rsidR="002B75E8" w:rsidRPr="002B75E8">
        <w:rPr>
          <w:b/>
        </w:rPr>
        <w:t>Františkovy Lázně</w:t>
      </w:r>
    </w:p>
    <w:p w14:paraId="66F5D85F" w14:textId="6313FD3E" w:rsidR="00F60735" w:rsidRPr="002B75E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B75E8">
        <w:rPr>
          <w:rFonts w:eastAsia="Times New Roman"/>
          <w:bCs/>
          <w:color w:val="000000" w:themeColor="text1"/>
          <w:lang w:eastAsia="cs-CZ"/>
        </w:rPr>
        <w:t>Adresa sídla:</w:t>
      </w:r>
      <w:r w:rsidRPr="002B75E8">
        <w:rPr>
          <w:rFonts w:eastAsia="Times New Roman"/>
          <w:bCs/>
          <w:color w:val="000000" w:themeColor="text1"/>
          <w:lang w:eastAsia="cs-CZ"/>
        </w:rPr>
        <w:tab/>
      </w:r>
      <w:r w:rsidR="002B75E8" w:rsidRPr="002B75E8">
        <w:rPr>
          <w:rFonts w:eastAsia="Times New Roman"/>
          <w:bCs/>
          <w:color w:val="000000" w:themeColor="text1"/>
          <w:lang w:eastAsia="cs-CZ"/>
        </w:rPr>
        <w:t>Nádražní 208/5, 351 01 Františkovy Lázně</w:t>
      </w:r>
    </w:p>
    <w:p w14:paraId="7EE718E2" w14:textId="61E813C7" w:rsidR="00CC11A9" w:rsidRPr="002B75E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B75E8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B75E8">
        <w:rPr>
          <w:rFonts w:eastAsia="Times New Roman"/>
          <w:bCs/>
          <w:color w:val="000000" w:themeColor="text1"/>
          <w:lang w:eastAsia="cs-CZ"/>
        </w:rPr>
        <w:tab/>
      </w:r>
      <w:r w:rsidR="002B75E8" w:rsidRPr="002B75E8">
        <w:rPr>
          <w:rFonts w:eastAsia="Times New Roman"/>
          <w:bCs/>
          <w:color w:val="000000" w:themeColor="text1"/>
          <w:lang w:eastAsia="cs-CZ"/>
        </w:rPr>
        <w:t>00253936</w:t>
      </w:r>
    </w:p>
    <w:p w14:paraId="6460E07C" w14:textId="77777777" w:rsidR="002B75E8" w:rsidRPr="002B75E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Zastoupený: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2B75E8" w:rsidRPr="002B75E8">
        <w:rPr>
          <w:rFonts w:eastAsia="Times New Roman"/>
          <w:color w:val="000000" w:themeColor="text1"/>
          <w:lang w:eastAsia="cs-CZ"/>
        </w:rPr>
        <w:t xml:space="preserve">Mgr. Lenka Průšová </w:t>
      </w:r>
    </w:p>
    <w:p w14:paraId="166C9F44" w14:textId="6268AA79" w:rsidR="00F40594" w:rsidRPr="002B75E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0FA30896" w:rsidR="00EE76F4" w:rsidRPr="002B75E8" w:rsidRDefault="00CC11A9" w:rsidP="005E07B9">
      <w:pPr>
        <w:spacing w:after="0" w:line="240" w:lineRule="auto"/>
        <w:ind w:firstLine="708"/>
      </w:pPr>
      <w:r w:rsidRPr="002B75E8">
        <w:rPr>
          <w:rFonts w:eastAsia="Times New Roman"/>
          <w:color w:val="000000" w:themeColor="text1"/>
          <w:lang w:eastAsia="cs-CZ"/>
        </w:rPr>
        <w:t>banka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861E49">
        <w:rPr>
          <w:lang w:eastAsia="cs-CZ"/>
        </w:rPr>
        <w:tab/>
      </w:r>
      <w:r w:rsidR="00861E49">
        <w:rPr>
          <w:lang w:eastAsia="cs-CZ"/>
        </w:rPr>
        <w:tab/>
      </w:r>
      <w:r w:rsidR="00B31602" w:rsidRPr="002B75E8">
        <w:tab/>
      </w:r>
      <w:r w:rsidR="00B31602" w:rsidRPr="002B75E8">
        <w:tab/>
      </w:r>
      <w:r w:rsidRPr="002B75E8">
        <w:rPr>
          <w:rFonts w:eastAsia="Times New Roman"/>
          <w:color w:val="000000" w:themeColor="text1"/>
          <w:lang w:eastAsia="cs-CZ"/>
        </w:rPr>
        <w:t>číslo účtu: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861E49">
        <w:tab/>
      </w:r>
    </w:p>
    <w:p w14:paraId="458C6585" w14:textId="4C76926B" w:rsidR="00CC11A9" w:rsidRPr="002B75E8" w:rsidRDefault="00EE76F4" w:rsidP="00EE76F4">
      <w:pPr>
        <w:spacing w:after="0" w:line="240" w:lineRule="auto"/>
      </w:pPr>
      <w:r w:rsidRPr="002B75E8">
        <w:rPr>
          <w:rFonts w:eastAsia="Times New Roman"/>
          <w:color w:val="000000" w:themeColor="text1"/>
          <w:lang w:eastAsia="cs-CZ"/>
        </w:rPr>
        <w:t>E</w:t>
      </w:r>
      <w:r w:rsidR="00CC11A9" w:rsidRPr="002B75E8">
        <w:rPr>
          <w:rFonts w:eastAsia="Times New Roman"/>
          <w:color w:val="000000" w:themeColor="text1"/>
          <w:lang w:eastAsia="cs-CZ"/>
        </w:rPr>
        <w:t>-mail:</w:t>
      </w:r>
      <w:r w:rsidR="00CC11A9" w:rsidRPr="002B75E8">
        <w:rPr>
          <w:rFonts w:eastAsia="Times New Roman"/>
          <w:color w:val="000000" w:themeColor="text1"/>
          <w:lang w:eastAsia="cs-CZ"/>
        </w:rPr>
        <w:tab/>
      </w:r>
      <w:r w:rsidR="00CC11A9" w:rsidRPr="002B75E8">
        <w:rPr>
          <w:rFonts w:eastAsia="Times New Roman"/>
          <w:color w:val="000000" w:themeColor="text1"/>
          <w:lang w:eastAsia="cs-CZ"/>
        </w:rPr>
        <w:tab/>
      </w:r>
      <w:r w:rsidR="00CC11A9" w:rsidRPr="002B75E8">
        <w:rPr>
          <w:rFonts w:eastAsia="Times New Roman"/>
          <w:color w:val="000000" w:themeColor="text1"/>
          <w:lang w:eastAsia="cs-CZ"/>
        </w:rPr>
        <w:tab/>
      </w:r>
      <w:r w:rsidR="00861E49">
        <w:rPr>
          <w:rFonts w:eastAsia="Times New Roman"/>
          <w:color w:val="000000" w:themeColor="text1"/>
          <w:lang w:eastAsia="cs-CZ"/>
        </w:rPr>
        <w:tab/>
      </w:r>
    </w:p>
    <w:p w14:paraId="066625AA" w14:textId="2E3707F0" w:rsidR="00CC11A9" w:rsidRPr="002B75E8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Datová schránka: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2B75E8" w:rsidRPr="002B75E8">
        <w:rPr>
          <w:lang w:eastAsia="cs-CZ"/>
        </w:rPr>
        <w:t>4sqbzzr</w:t>
      </w:r>
    </w:p>
    <w:p w14:paraId="261F33D4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29D296C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„příjemce“</w:t>
      </w:r>
      <w:r w:rsidR="00F60735">
        <w:rPr>
          <w:rFonts w:eastAsia="Times New Roman"/>
          <w:color w:val="000000" w:themeColor="text1"/>
          <w:lang w:eastAsia="cs-CZ"/>
        </w:rPr>
        <w:t>)</w:t>
      </w:r>
    </w:p>
    <w:p w14:paraId="30A3ADE9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BB3D60">
        <w:rPr>
          <w:rFonts w:eastAsia="Arial Unicode MS"/>
          <w:color w:val="000000" w:themeColor="text1"/>
          <w:lang w:eastAsia="cs-CZ"/>
        </w:rPr>
        <w:t>V souladu se zákony</w:t>
      </w:r>
      <w:r w:rsidRPr="00BB3D60">
        <w:rPr>
          <w:rFonts w:eastAsia="Arial Unicode MS"/>
          <w:color w:val="000000" w:themeColor="text1"/>
          <w:sz w:val="24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 xml:space="preserve">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BD658ED" w14:textId="77777777" w:rsidR="00BB3D60" w:rsidRDefault="00BB3D60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7F79B9B5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25E21EFF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>150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23055233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2B75E8">
        <w:rPr>
          <w:color w:val="000000" w:themeColor="text1"/>
          <w:sz w:val="22"/>
          <w:szCs w:val="22"/>
        </w:rPr>
        <w:t>sto padesát</w:t>
      </w:r>
      <w:r w:rsidR="006024D5">
        <w:rPr>
          <w:color w:val="000000" w:themeColor="text1"/>
          <w:sz w:val="22"/>
          <w:szCs w:val="22"/>
        </w:rPr>
        <w:t xml:space="preserve">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0962CD51" w14:textId="15384C49" w:rsidR="00F60735" w:rsidRDefault="00CC11A9" w:rsidP="004B0C10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B75E8" w:rsidRPr="002B75E8">
        <w:rPr>
          <w:color w:val="000000" w:themeColor="text1"/>
          <w:sz w:val="22"/>
          <w:szCs w:val="22"/>
        </w:rPr>
        <w:t xml:space="preserve">Františkovy Lázně, č.p. 16 - projektová </w:t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 w:rsidRPr="002B75E8">
        <w:rPr>
          <w:color w:val="000000" w:themeColor="text1"/>
          <w:sz w:val="22"/>
          <w:szCs w:val="22"/>
        </w:rPr>
        <w:t xml:space="preserve">dokumentace na opravu krovu a </w:t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>
        <w:rPr>
          <w:color w:val="000000" w:themeColor="text1"/>
          <w:sz w:val="22"/>
          <w:szCs w:val="22"/>
        </w:rPr>
        <w:tab/>
      </w:r>
      <w:r w:rsidR="002B75E8" w:rsidRPr="002B75E8">
        <w:rPr>
          <w:color w:val="000000" w:themeColor="text1"/>
          <w:sz w:val="22"/>
          <w:szCs w:val="22"/>
        </w:rPr>
        <w:t>střešního pláště</w:t>
      </w:r>
    </w:p>
    <w:p w14:paraId="47555650" w14:textId="75665CA4" w:rsidR="00866C1A" w:rsidRPr="004B0C10" w:rsidRDefault="00CC11A9" w:rsidP="004B0C10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861E49">
        <w:rPr>
          <w:color w:val="000000" w:themeColor="text1"/>
          <w:sz w:val="22"/>
          <w:szCs w:val="22"/>
        </w:rPr>
        <w:tab/>
      </w:r>
    </w:p>
    <w:p w14:paraId="379B4A88" w14:textId="77777777" w:rsidR="001928AF" w:rsidRDefault="001928AF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34623BC2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54941E2F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623F6579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F4274F" w:rsidRPr="00F4274F">
        <w:rPr>
          <w:rFonts w:eastAsia="Arial Unicode MS"/>
          <w:color w:val="000000" w:themeColor="text1"/>
          <w:lang w:eastAsia="cs-CZ"/>
        </w:rPr>
        <w:t>Františkovy Lázně, č.p. 16 - projektová dokumentace na opravu krovu a střešního pláště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F4274F">
        <w:rPr>
          <w:rFonts w:eastAsia="Arial Unicode MS"/>
          <w:color w:val="000000" w:themeColor="text1"/>
          <w:lang w:eastAsia="cs-CZ"/>
        </w:rPr>
        <w:t>30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5C7D77D" w14:textId="55E473C0" w:rsidR="002F070E" w:rsidRPr="00C1756E" w:rsidRDefault="008F0B23" w:rsidP="002F070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8397739" w14:textId="7A5C6828" w:rsidR="00C1756E" w:rsidRDefault="00C1756E" w:rsidP="00C1756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4614C190" w14:textId="77777777" w:rsidR="00C1756E" w:rsidRPr="000631C1" w:rsidRDefault="00C1756E" w:rsidP="00C1756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741566A" w14:textId="7971EECA" w:rsidR="008F0B23" w:rsidRPr="00F276FD" w:rsidRDefault="00E66930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je vyhotovena v elektronické formě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  <w:bookmarkStart w:id="0" w:name="_GoBack"/>
      <w:bookmarkEnd w:id="0"/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71AA7B3" w14:textId="61F6F6CA" w:rsidR="006024D5" w:rsidRDefault="008F0B23" w:rsidP="008F0B23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78F7C8B" w14:textId="77777777" w:rsidR="00EC6558" w:rsidRDefault="00EC6558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B75E8">
              <w:rPr>
                <w:rFonts w:eastAsia="Times New Roman"/>
                <w:color w:val="000000" w:themeColor="text1"/>
                <w:lang w:eastAsia="cs-CZ"/>
              </w:rPr>
              <w:t xml:space="preserve">Mgr. Lenka Průšová </w:t>
            </w:r>
          </w:p>
          <w:p w14:paraId="7F9412BF" w14:textId="75B839D4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C46D6B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1C1"/>
    <w:rsid w:val="00063C82"/>
    <w:rsid w:val="000717F9"/>
    <w:rsid w:val="000858A0"/>
    <w:rsid w:val="000C12F2"/>
    <w:rsid w:val="000C76F4"/>
    <w:rsid w:val="000D37F3"/>
    <w:rsid w:val="00117A22"/>
    <w:rsid w:val="00134BD0"/>
    <w:rsid w:val="0015202A"/>
    <w:rsid w:val="00160D58"/>
    <w:rsid w:val="00164C6A"/>
    <w:rsid w:val="001817D7"/>
    <w:rsid w:val="001928AF"/>
    <w:rsid w:val="001A3CCC"/>
    <w:rsid w:val="001C5D29"/>
    <w:rsid w:val="002244ED"/>
    <w:rsid w:val="00225162"/>
    <w:rsid w:val="00244366"/>
    <w:rsid w:val="00247572"/>
    <w:rsid w:val="00251951"/>
    <w:rsid w:val="002525C2"/>
    <w:rsid w:val="00266773"/>
    <w:rsid w:val="00281566"/>
    <w:rsid w:val="0029215C"/>
    <w:rsid w:val="002B59FA"/>
    <w:rsid w:val="002B67D8"/>
    <w:rsid w:val="002B75E8"/>
    <w:rsid w:val="002C0907"/>
    <w:rsid w:val="002C3670"/>
    <w:rsid w:val="002E4E97"/>
    <w:rsid w:val="002F070E"/>
    <w:rsid w:val="00300D1B"/>
    <w:rsid w:val="003112EF"/>
    <w:rsid w:val="00320C36"/>
    <w:rsid w:val="00325592"/>
    <w:rsid w:val="003767E2"/>
    <w:rsid w:val="0038379D"/>
    <w:rsid w:val="00385583"/>
    <w:rsid w:val="00393659"/>
    <w:rsid w:val="00397B61"/>
    <w:rsid w:val="003B6DE9"/>
    <w:rsid w:val="003C387E"/>
    <w:rsid w:val="003C7D54"/>
    <w:rsid w:val="003D28B6"/>
    <w:rsid w:val="003D6BBB"/>
    <w:rsid w:val="003E2204"/>
    <w:rsid w:val="003F7FA6"/>
    <w:rsid w:val="00401FF7"/>
    <w:rsid w:val="00404DE1"/>
    <w:rsid w:val="0041191B"/>
    <w:rsid w:val="004301A1"/>
    <w:rsid w:val="0046096F"/>
    <w:rsid w:val="00476C23"/>
    <w:rsid w:val="004B0C10"/>
    <w:rsid w:val="004B7CA6"/>
    <w:rsid w:val="004F3493"/>
    <w:rsid w:val="004F5509"/>
    <w:rsid w:val="005178F2"/>
    <w:rsid w:val="00517DCD"/>
    <w:rsid w:val="00560154"/>
    <w:rsid w:val="005865FA"/>
    <w:rsid w:val="005877C8"/>
    <w:rsid w:val="005A40EB"/>
    <w:rsid w:val="005A7475"/>
    <w:rsid w:val="005C4E9D"/>
    <w:rsid w:val="005D78CC"/>
    <w:rsid w:val="005E07B9"/>
    <w:rsid w:val="005E6AC0"/>
    <w:rsid w:val="006024D5"/>
    <w:rsid w:val="00640D63"/>
    <w:rsid w:val="00676E15"/>
    <w:rsid w:val="00686ECC"/>
    <w:rsid w:val="006A6B01"/>
    <w:rsid w:val="006C53A1"/>
    <w:rsid w:val="007018CB"/>
    <w:rsid w:val="0071229F"/>
    <w:rsid w:val="00760A30"/>
    <w:rsid w:val="007879B2"/>
    <w:rsid w:val="007A26B7"/>
    <w:rsid w:val="007C424F"/>
    <w:rsid w:val="007E2FB1"/>
    <w:rsid w:val="007F3F4D"/>
    <w:rsid w:val="008076E0"/>
    <w:rsid w:val="00815C2F"/>
    <w:rsid w:val="00820862"/>
    <w:rsid w:val="00820C34"/>
    <w:rsid w:val="008466C6"/>
    <w:rsid w:val="00861E49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01D77"/>
    <w:rsid w:val="009117D9"/>
    <w:rsid w:val="0094229B"/>
    <w:rsid w:val="00972169"/>
    <w:rsid w:val="009929D2"/>
    <w:rsid w:val="009C6F84"/>
    <w:rsid w:val="00A22E47"/>
    <w:rsid w:val="00A47F4B"/>
    <w:rsid w:val="00A562B2"/>
    <w:rsid w:val="00AE0DD1"/>
    <w:rsid w:val="00B31602"/>
    <w:rsid w:val="00B31BCC"/>
    <w:rsid w:val="00B460CC"/>
    <w:rsid w:val="00B5318E"/>
    <w:rsid w:val="00B766F2"/>
    <w:rsid w:val="00BA0C3B"/>
    <w:rsid w:val="00BB3D60"/>
    <w:rsid w:val="00BC1DA4"/>
    <w:rsid w:val="00BD07B5"/>
    <w:rsid w:val="00BD446B"/>
    <w:rsid w:val="00C1756E"/>
    <w:rsid w:val="00C66EC8"/>
    <w:rsid w:val="00C707E0"/>
    <w:rsid w:val="00C75871"/>
    <w:rsid w:val="00C8481B"/>
    <w:rsid w:val="00C91027"/>
    <w:rsid w:val="00CC11A9"/>
    <w:rsid w:val="00CD7089"/>
    <w:rsid w:val="00CF660D"/>
    <w:rsid w:val="00D0060C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F5E91"/>
    <w:rsid w:val="00DF7ECE"/>
    <w:rsid w:val="00E12853"/>
    <w:rsid w:val="00E35F29"/>
    <w:rsid w:val="00E66930"/>
    <w:rsid w:val="00E76593"/>
    <w:rsid w:val="00EB40B1"/>
    <w:rsid w:val="00EC6558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4274F"/>
    <w:rsid w:val="00F54944"/>
    <w:rsid w:val="00F60735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C5FD-E8AD-4E99-ABDA-92D8443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2326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6</cp:revision>
  <cp:lastPrinted>2020-08-12T11:20:00Z</cp:lastPrinted>
  <dcterms:created xsi:type="dcterms:W3CDTF">2023-04-12T07:17:00Z</dcterms:created>
  <dcterms:modified xsi:type="dcterms:W3CDTF">2023-04-17T06:53:00Z</dcterms:modified>
</cp:coreProperties>
</file>