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4" w:rsidRPr="006368D9" w:rsidRDefault="00A41E41" w:rsidP="00F31EB4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19050" t="0" r="9525" b="0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C04539" w:rsidRPr="006368D9" w:rsidRDefault="00C04539" w:rsidP="00C04539">
      <w:pPr>
        <w:pStyle w:val="Zkladntext32"/>
        <w:spacing w:line="240" w:lineRule="auto"/>
        <w:jc w:val="right"/>
        <w:rPr>
          <w:rFonts w:ascii="Koop Office" w:hAnsi="Koop Office" w:cs="Arial"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E71674" w:rsidRPr="00E71674" w:rsidRDefault="00E71674" w:rsidP="00D7357B">
      <w:pPr>
        <w:ind w:left="600"/>
        <w:rPr>
          <w:rFonts w:cs="Arial"/>
          <w:sz w:val="24"/>
        </w:rPr>
      </w:pPr>
    </w:p>
    <w:p w:rsidR="00D7357B" w:rsidRPr="006368D9" w:rsidRDefault="00D7357B" w:rsidP="00D7357B">
      <w:pPr>
        <w:rPr>
          <w:rFonts w:cs="Arial"/>
          <w:b/>
          <w:sz w:val="32"/>
        </w:rPr>
      </w:pPr>
      <w:bookmarkStart w:id="0" w:name="Priloha_1"/>
      <w:bookmarkEnd w:id="0"/>
      <w:r w:rsidRPr="006368D9">
        <w:rPr>
          <w:rFonts w:cs="Arial"/>
          <w:b/>
          <w:sz w:val="32"/>
        </w:rPr>
        <w:t xml:space="preserve">Pojistná smlouva č. </w:t>
      </w:r>
      <w:r w:rsidR="00ED4085">
        <w:rPr>
          <w:rFonts w:cs="Arial"/>
          <w:b/>
          <w:sz w:val="32"/>
        </w:rPr>
        <w:t>772</w:t>
      </w:r>
      <w:r w:rsidR="00104E9D">
        <w:rPr>
          <w:rFonts w:cs="Arial"/>
          <w:b/>
          <w:sz w:val="32"/>
        </w:rPr>
        <w:t>1040576</w:t>
      </w:r>
    </w:p>
    <w:p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Default="00D7357B" w:rsidP="00D7357B">
      <w:pPr>
        <w:rPr>
          <w:rFonts w:cs="Arial"/>
        </w:rPr>
      </w:pPr>
    </w:p>
    <w:p w:rsidR="00E71674" w:rsidRDefault="00E71674" w:rsidP="00D7357B">
      <w:pPr>
        <w:rPr>
          <w:rFonts w:cs="Arial"/>
        </w:rPr>
      </w:pPr>
    </w:p>
    <w:p w:rsidR="00E71674" w:rsidRPr="006368D9" w:rsidRDefault="00E71674" w:rsidP="00D7357B">
      <w:pPr>
        <w:rPr>
          <w:rFonts w:cs="Arial"/>
        </w:rPr>
      </w:pPr>
    </w:p>
    <w:p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47116617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6368D9">
        <w:rPr>
          <w:rFonts w:cs="Arial"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:rsidR="00E71674" w:rsidRDefault="00D7357B" w:rsidP="00E71674">
      <w:pPr>
        <w:spacing w:line="280" w:lineRule="exact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zastoupený na základě zmocnění níže podepsanými osobami </w:t>
      </w:r>
    </w:p>
    <w:p w:rsidR="00E71674" w:rsidRPr="005E1D2B" w:rsidRDefault="00E71674" w:rsidP="00E71674">
      <w:pPr>
        <w:spacing w:line="280" w:lineRule="exact"/>
        <w:rPr>
          <w:rFonts w:cs="Arial"/>
          <w:sz w:val="20"/>
        </w:rPr>
      </w:pPr>
      <w:r w:rsidRPr="005E1D2B">
        <w:rPr>
          <w:rFonts w:cs="Arial"/>
          <w:sz w:val="20"/>
        </w:rPr>
        <w:t xml:space="preserve">Pracoviště: Kooperativa pojišťovna, a.s., Vienna Insurance Group, Praha </w:t>
      </w:r>
      <w:r>
        <w:rPr>
          <w:rFonts w:cs="Arial"/>
          <w:sz w:val="20"/>
        </w:rPr>
        <w:t>8</w:t>
      </w:r>
      <w:r w:rsidRPr="005E1D2B">
        <w:rPr>
          <w:rFonts w:cs="Arial"/>
          <w:sz w:val="20"/>
        </w:rPr>
        <w:t xml:space="preserve">, </w:t>
      </w:r>
      <w:r>
        <w:rPr>
          <w:rFonts w:cs="Arial"/>
          <w:sz w:val="20"/>
        </w:rPr>
        <w:t>Pobřežní 665/21, PSČ 186 00</w:t>
      </w:r>
    </w:p>
    <w:p w:rsidR="00E71674" w:rsidRPr="005E1D2B" w:rsidRDefault="00E71674" w:rsidP="00E71674">
      <w:pPr>
        <w:spacing w:line="280" w:lineRule="exact"/>
        <w:rPr>
          <w:rFonts w:cs="Arial"/>
          <w:sz w:val="20"/>
        </w:rPr>
      </w:pPr>
      <w:r w:rsidRPr="005E1D2B">
        <w:rPr>
          <w:rFonts w:cs="Arial"/>
          <w:sz w:val="20"/>
        </w:rPr>
        <w:t xml:space="preserve">tel. </w:t>
      </w:r>
      <w:r>
        <w:rPr>
          <w:rFonts w:cs="Arial"/>
          <w:sz w:val="20"/>
        </w:rPr>
        <w:t>956 421 111 fax 956 449 000</w:t>
      </w:r>
    </w:p>
    <w:p w:rsidR="00D7357B" w:rsidRDefault="00D7357B" w:rsidP="00E71674">
      <w:pPr>
        <w:rPr>
          <w:rFonts w:cs="Arial"/>
          <w:sz w:val="20"/>
        </w:rPr>
      </w:pPr>
    </w:p>
    <w:p w:rsidR="00E71674" w:rsidRPr="006368D9" w:rsidRDefault="00E71674" w:rsidP="00E71674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E71674" w:rsidRPr="006368D9" w:rsidRDefault="00E71674" w:rsidP="00D7357B">
      <w:pPr>
        <w:rPr>
          <w:rFonts w:cs="Arial"/>
          <w:sz w:val="20"/>
        </w:rPr>
      </w:pPr>
    </w:p>
    <w:p w:rsidR="00D7357B" w:rsidRPr="00E71674" w:rsidRDefault="00ED4085" w:rsidP="00D7357B">
      <w:pPr>
        <w:jc w:val="both"/>
        <w:rPr>
          <w:rFonts w:cs="Arial"/>
          <w:b/>
          <w:i/>
          <w:sz w:val="32"/>
        </w:rPr>
      </w:pPr>
      <w:r>
        <w:rPr>
          <w:rFonts w:cs="Arial"/>
          <w:b/>
          <w:sz w:val="32"/>
          <w:szCs w:val="32"/>
        </w:rPr>
        <w:t>Pohřební ústav hl.m.Prahy</w:t>
      </w:r>
    </w:p>
    <w:p w:rsidR="00A34B30" w:rsidRDefault="001A1DC3" w:rsidP="00D7357B">
      <w:pPr>
        <w:jc w:val="both"/>
        <w:rPr>
          <w:rFonts w:cs="Arial"/>
          <w:b/>
        </w:rPr>
      </w:pPr>
      <w:r>
        <w:rPr>
          <w:rFonts w:cs="Arial"/>
          <w:b/>
        </w:rPr>
        <w:t>se sídlem</w:t>
      </w:r>
      <w:r w:rsidR="004F46FE">
        <w:rPr>
          <w:rFonts w:cs="Arial"/>
          <w:b/>
        </w:rPr>
        <w:t xml:space="preserve"> </w:t>
      </w:r>
      <w:r w:rsidR="00E71674">
        <w:rPr>
          <w:rFonts w:cs="Arial"/>
          <w:b/>
        </w:rPr>
        <w:t xml:space="preserve">Praha </w:t>
      </w:r>
      <w:r w:rsidR="00F220A4">
        <w:rPr>
          <w:rFonts w:cs="Arial"/>
          <w:b/>
        </w:rPr>
        <w:t>1-Staré Město, Staroměstské náměstí 608/10, PSČ 110 01</w:t>
      </w:r>
    </w:p>
    <w:p w:rsidR="00D7357B" w:rsidRPr="00E71674" w:rsidRDefault="001A1DC3" w:rsidP="00E71674">
      <w:pPr>
        <w:rPr>
          <w:rFonts w:cs="Arial"/>
          <w:b/>
        </w:rPr>
      </w:pPr>
      <w:r>
        <w:rPr>
          <w:rFonts w:cs="Arial"/>
          <w:b/>
        </w:rPr>
        <w:t>IČO</w:t>
      </w:r>
      <w:r w:rsidR="00E71674" w:rsidRPr="00E71674">
        <w:rPr>
          <w:rFonts w:cs="Arial"/>
          <w:b/>
        </w:rPr>
        <w:t>:</w:t>
      </w:r>
      <w:r w:rsidR="004F46FE">
        <w:rPr>
          <w:rFonts w:cs="Arial"/>
          <w:b/>
        </w:rPr>
        <w:t xml:space="preserve"> </w:t>
      </w:r>
      <w:r w:rsidR="00F220A4">
        <w:rPr>
          <w:rFonts w:cs="Arial"/>
          <w:b/>
        </w:rPr>
        <w:t>45245819</w:t>
      </w:r>
    </w:p>
    <w:p w:rsidR="00D7357B" w:rsidRPr="006368D9" w:rsidRDefault="00D7357B" w:rsidP="00E71674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6368D9">
        <w:rPr>
          <w:rFonts w:cs="Arial"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6368D9">
        <w:rPr>
          <w:rFonts w:cs="Arial"/>
          <w:b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:rsidR="00A34B30" w:rsidRPr="006368D9" w:rsidRDefault="00C019B0" w:rsidP="00A34B30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Zastoupený:</w:t>
      </w:r>
      <w:r w:rsidR="00E71674">
        <w:rPr>
          <w:rFonts w:cs="Arial"/>
          <w:bCs/>
          <w:sz w:val="20"/>
        </w:rPr>
        <w:t xml:space="preserve"> </w:t>
      </w:r>
      <w:r w:rsidR="00D91BE8">
        <w:rPr>
          <w:rFonts w:cs="Arial"/>
          <w:bCs/>
          <w:sz w:val="20"/>
        </w:rPr>
        <w:t>, ředitel</w:t>
      </w:r>
      <w:r>
        <w:rPr>
          <w:rFonts w:cs="Arial"/>
          <w:bCs/>
          <w:sz w:val="20"/>
        </w:rPr>
        <w:t>em</w:t>
      </w:r>
    </w:p>
    <w:p w:rsidR="00D7357B" w:rsidRPr="006368D9" w:rsidRDefault="00D7357B" w:rsidP="00A34B30">
      <w:pPr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Korespondenční adresa:</w:t>
      </w:r>
    </w:p>
    <w:p w:rsidR="009C50E2" w:rsidRPr="006368D9" w:rsidRDefault="009C50E2" w:rsidP="009C50E2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korespondenční adresou pojišťovacího makléře.</w:t>
      </w: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D7357B" w:rsidRPr="006368D9" w:rsidRDefault="00D7357B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6368D9">
        <w:rPr>
          <w:rFonts w:ascii="Koop Office" w:hAnsi="Koop Office" w:cs="Arial"/>
        </w:rPr>
        <w:lastRenderedPageBreak/>
        <w:t>ve smyslu zákona</w:t>
      </w:r>
      <w:r w:rsidR="00CF41A8" w:rsidRPr="006368D9">
        <w:rPr>
          <w:rFonts w:ascii="Koop Office" w:hAnsi="Koop Office" w:cs="Arial"/>
        </w:rPr>
        <w:t xml:space="preserve"> č.</w:t>
      </w:r>
      <w:r w:rsidR="009C50E2" w:rsidRPr="006368D9">
        <w:rPr>
          <w:rFonts w:ascii="Koop Office" w:hAnsi="Koop Office" w:cs="Arial"/>
        </w:rPr>
        <w:t xml:space="preserve"> 89/2012 Sb., občansk</w:t>
      </w:r>
      <w:r w:rsidR="00E835DC" w:rsidRPr="006368D9">
        <w:rPr>
          <w:rFonts w:ascii="Koop Office" w:hAnsi="Koop Office" w:cs="Arial"/>
        </w:rPr>
        <w:t>ého</w:t>
      </w:r>
      <w:r w:rsidR="009C50E2" w:rsidRPr="006368D9">
        <w:rPr>
          <w:rFonts w:ascii="Koop Office" w:hAnsi="Koop Office" w:cs="Arial"/>
        </w:rPr>
        <w:t xml:space="preserve"> zákoník</w:t>
      </w:r>
      <w:r w:rsidR="00E835DC" w:rsidRPr="006368D9">
        <w:rPr>
          <w:rFonts w:ascii="Koop Office" w:hAnsi="Koop Office" w:cs="Arial"/>
        </w:rPr>
        <w:t>u</w:t>
      </w:r>
      <w:r w:rsidR="00CF41A8" w:rsidRPr="006368D9">
        <w:rPr>
          <w:rFonts w:ascii="Koop Office" w:hAnsi="Koop Office" w:cs="Arial"/>
        </w:rPr>
        <w:t>,</w:t>
      </w:r>
      <w:r w:rsidR="00E835DC" w:rsidRPr="006368D9">
        <w:rPr>
          <w:rFonts w:ascii="Koop Office" w:hAnsi="Koop Office" w:cs="Arial"/>
        </w:rPr>
        <w:t xml:space="preserve"> </w:t>
      </w:r>
      <w:r w:rsidRPr="006368D9">
        <w:rPr>
          <w:rFonts w:ascii="Koop Office" w:hAnsi="Koop Office" w:cs="Arial"/>
        </w:rPr>
        <w:t>tuto pojistnou smlouvu, která spolu s</w:t>
      </w:r>
      <w:r w:rsidR="007C6242" w:rsidRPr="006368D9">
        <w:rPr>
          <w:rFonts w:ascii="Koop Office" w:hAnsi="Koop Office" w:cs="Arial"/>
        </w:rPr>
        <w:t> </w:t>
      </w:r>
      <w:r w:rsidRPr="006368D9">
        <w:rPr>
          <w:rFonts w:ascii="Koop Office" w:hAnsi="Koop Office" w:cs="Arial"/>
        </w:rPr>
        <w:t xml:space="preserve">pojistnými podmínkami pojistitele a přílohami, na které se tato </w:t>
      </w:r>
      <w:r w:rsidR="00967528" w:rsidRPr="006368D9">
        <w:rPr>
          <w:rFonts w:ascii="Koop Office" w:hAnsi="Koop Office" w:cs="Arial"/>
        </w:rPr>
        <w:t xml:space="preserve">pojistná </w:t>
      </w:r>
      <w:r w:rsidRPr="006368D9">
        <w:rPr>
          <w:rFonts w:ascii="Koop Office" w:hAnsi="Koop Office" w:cs="Arial"/>
        </w:rPr>
        <w:t>smlouva odvolává, tvoří nedílný celek.</w:t>
      </w:r>
    </w:p>
    <w:p w:rsidR="00D7357B" w:rsidRDefault="00D7357B" w:rsidP="00D7357B">
      <w:pPr>
        <w:rPr>
          <w:rFonts w:cs="Arial"/>
          <w:sz w:val="20"/>
        </w:rPr>
      </w:pPr>
    </w:p>
    <w:p w:rsidR="00E71674" w:rsidRDefault="00E71674" w:rsidP="00D7357B">
      <w:pPr>
        <w:rPr>
          <w:rFonts w:cs="Arial"/>
          <w:sz w:val="20"/>
        </w:rPr>
      </w:pPr>
    </w:p>
    <w:p w:rsidR="00E71674" w:rsidRDefault="00E71674" w:rsidP="00D7357B">
      <w:pPr>
        <w:rPr>
          <w:rFonts w:cs="Arial"/>
          <w:sz w:val="20"/>
        </w:rPr>
      </w:pPr>
    </w:p>
    <w:p w:rsidR="00E71674" w:rsidRPr="006368D9" w:rsidRDefault="00E71674" w:rsidP="00D7357B">
      <w:pPr>
        <w:rPr>
          <w:rFonts w:cs="Arial"/>
          <w:sz w:val="20"/>
        </w:rPr>
      </w:pP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Tato </w:t>
      </w:r>
      <w:r w:rsidR="007C6242" w:rsidRPr="006368D9">
        <w:rPr>
          <w:rFonts w:cs="Arial"/>
          <w:sz w:val="20"/>
        </w:rPr>
        <w:t xml:space="preserve">pojistná </w:t>
      </w:r>
      <w:r w:rsidRPr="006368D9">
        <w:rPr>
          <w:rFonts w:cs="Arial"/>
          <w:sz w:val="20"/>
        </w:rPr>
        <w:t xml:space="preserve">smlouva byla sjednána prostřednictvím pojišťovacího makléře </w:t>
      </w:r>
    </w:p>
    <w:p w:rsidR="00E71674" w:rsidRPr="00727ED4" w:rsidRDefault="00D91BE8" w:rsidP="00E71674"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MAJÁK, s.r.o.</w:t>
      </w:r>
    </w:p>
    <w:p w:rsidR="00E71674" w:rsidRPr="00727ED4" w:rsidRDefault="00E71674" w:rsidP="00E71674">
      <w:pPr>
        <w:spacing w:line="280" w:lineRule="exact"/>
        <w:jc w:val="both"/>
        <w:rPr>
          <w:rFonts w:cs="Arial"/>
          <w:b/>
        </w:rPr>
      </w:pPr>
      <w:r w:rsidRPr="00727ED4">
        <w:rPr>
          <w:rFonts w:cs="Arial"/>
          <w:b/>
        </w:rPr>
        <w:t xml:space="preserve">se sídlem Praha </w:t>
      </w:r>
      <w:r w:rsidR="00D91BE8">
        <w:rPr>
          <w:rFonts w:cs="Arial"/>
          <w:b/>
        </w:rPr>
        <w:t>1, Václavské náměstí 831/21, PSČ 110 00</w:t>
      </w:r>
    </w:p>
    <w:p w:rsidR="00E71674" w:rsidRPr="00727ED4" w:rsidRDefault="00E71674" w:rsidP="00E71674">
      <w:pPr>
        <w:spacing w:line="280" w:lineRule="exact"/>
        <w:jc w:val="both"/>
        <w:rPr>
          <w:rFonts w:cs="Arial"/>
          <w:b/>
        </w:rPr>
      </w:pPr>
      <w:r w:rsidRPr="00727ED4">
        <w:rPr>
          <w:rFonts w:cs="Arial"/>
          <w:b/>
        </w:rPr>
        <w:t>IČ</w:t>
      </w:r>
      <w:r w:rsidR="006019EF">
        <w:rPr>
          <w:rFonts w:cs="Arial"/>
          <w:b/>
        </w:rPr>
        <w:t>O</w:t>
      </w:r>
      <w:r w:rsidRPr="00727ED4">
        <w:rPr>
          <w:rFonts w:cs="Arial"/>
          <w:b/>
        </w:rPr>
        <w:t xml:space="preserve">: </w:t>
      </w:r>
      <w:r w:rsidR="00D91BE8">
        <w:rPr>
          <w:rFonts w:cs="Arial"/>
          <w:b/>
        </w:rPr>
        <w:t>61855383</w:t>
      </w:r>
    </w:p>
    <w:p w:rsidR="00E71674" w:rsidRPr="00727ED4" w:rsidRDefault="00E71674" w:rsidP="00E71674">
      <w:pPr>
        <w:spacing w:line="280" w:lineRule="exact"/>
        <w:jc w:val="both"/>
        <w:rPr>
          <w:b/>
          <w:sz w:val="20"/>
        </w:rPr>
      </w:pPr>
      <w:r w:rsidRPr="00727ED4">
        <w:rPr>
          <w:bCs/>
          <w:sz w:val="20"/>
        </w:rPr>
        <w:t xml:space="preserve">(dále jen </w:t>
      </w:r>
      <w:r w:rsidRPr="00727ED4">
        <w:rPr>
          <w:b/>
          <w:sz w:val="20"/>
        </w:rPr>
        <w:t>„pojišťovací makléř”</w:t>
      </w:r>
      <w:r w:rsidRPr="00727ED4">
        <w:rPr>
          <w:bCs/>
          <w:sz w:val="20"/>
        </w:rPr>
        <w:t>)</w:t>
      </w:r>
    </w:p>
    <w:p w:rsidR="0053028B" w:rsidRPr="006368D9" w:rsidRDefault="0053028B" w:rsidP="0004260F">
      <w:pPr>
        <w:rPr>
          <w:rFonts w:cs="Arial"/>
          <w:bCs/>
          <w:sz w:val="20"/>
        </w:rPr>
      </w:pPr>
      <w:r w:rsidRPr="006368D9">
        <w:rPr>
          <w:rFonts w:cs="Arial"/>
          <w:b/>
          <w:bCs/>
          <w:sz w:val="20"/>
        </w:rPr>
        <w:t>Korespondenční adresa pojišťovacího makléře:</w:t>
      </w:r>
    </w:p>
    <w:p w:rsidR="00D7357B" w:rsidRPr="006368D9" w:rsidRDefault="00D7357B" w:rsidP="0004260F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pojišťovacího makléře je totožná s</w:t>
      </w:r>
      <w:r w:rsidR="008938E7" w:rsidRPr="006368D9">
        <w:rPr>
          <w:rFonts w:cs="Arial"/>
          <w:bCs/>
          <w:sz w:val="20"/>
        </w:rPr>
        <w:t xml:space="preserve"> výše uvedenou adresou </w:t>
      </w:r>
      <w:r w:rsidRPr="006368D9">
        <w:rPr>
          <w:rFonts w:cs="Arial"/>
          <w:bCs/>
          <w:sz w:val="20"/>
        </w:rPr>
        <w:t>pojišťovacího makléře.</w:t>
      </w:r>
    </w:p>
    <w:p w:rsidR="00D7357B" w:rsidRPr="006368D9" w:rsidRDefault="00E71674" w:rsidP="00DA2C42">
      <w:pPr>
        <w:keepNext/>
        <w:jc w:val="center"/>
        <w:rPr>
          <w:rFonts w:cs="Arial"/>
          <w:b/>
          <w:sz w:val="24"/>
        </w:rPr>
      </w:pPr>
      <w:r>
        <w:rPr>
          <w:rFonts w:cs="Arial"/>
          <w:sz w:val="20"/>
        </w:rPr>
        <w:br w:type="page"/>
      </w:r>
      <w:r w:rsidR="00D7357B" w:rsidRPr="006368D9">
        <w:rPr>
          <w:rFonts w:cs="Arial"/>
          <w:b/>
          <w:sz w:val="24"/>
        </w:rPr>
        <w:lastRenderedPageBreak/>
        <w:t>Článek I.</w:t>
      </w:r>
    </w:p>
    <w:p w:rsidR="00D7357B" w:rsidRPr="006368D9" w:rsidRDefault="00D7357B" w:rsidP="00DA2C42">
      <w:pPr>
        <w:keepNext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Default="006E30A7" w:rsidP="00C24371">
      <w:pPr>
        <w:keepNext/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pojistník.</w:t>
      </w:r>
    </w:p>
    <w:p w:rsidR="000A10CA" w:rsidRPr="00EC7610" w:rsidRDefault="00D7357B" w:rsidP="00C24371">
      <w:pPr>
        <w:keepNext/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D7357B" w:rsidRPr="006368D9" w:rsidRDefault="00D7357B" w:rsidP="00627369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D7357B" w:rsidP="00C24371">
      <w:pPr>
        <w:pStyle w:val="Styl10bZarovnatdobloku"/>
      </w:pPr>
      <w:r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Pr="006368D9">
        <w:t xml:space="preserve"> pro p</w:t>
      </w:r>
      <w:r w:rsidR="00A40B91" w:rsidRPr="006368D9">
        <w:t>ojištění majetku a odpovědnosti</w:t>
      </w:r>
    </w:p>
    <w:p w:rsidR="00877895" w:rsidRDefault="00D7357B" w:rsidP="00627369">
      <w:pPr>
        <w:keepNext/>
        <w:tabs>
          <w:tab w:val="left" w:pos="-720"/>
          <w:tab w:val="left" w:pos="426"/>
        </w:tabs>
        <w:spacing w:before="120"/>
        <w:ind w:left="425"/>
        <w:rPr>
          <w:rFonts w:cs="Arial"/>
          <w:b/>
          <w:bCs/>
          <w:sz w:val="20"/>
        </w:rPr>
      </w:pPr>
      <w:r w:rsidRPr="006368D9">
        <w:rPr>
          <w:rFonts w:cs="Arial"/>
          <w:b/>
          <w:bCs/>
          <w:sz w:val="20"/>
        </w:rPr>
        <w:t>Zvláštní pojistné podmínky</w:t>
      </w:r>
    </w:p>
    <w:p w:rsidR="00D7357B" w:rsidRPr="006368D9" w:rsidRDefault="00D7357B" w:rsidP="00877895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P-150/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živelní pojištění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</w:t>
      </w:r>
      <w:r w:rsidR="00627369">
        <w:rPr>
          <w:rFonts w:cs="Arial"/>
          <w:sz w:val="20"/>
        </w:rPr>
        <w:t>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P-600/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odpovědnosti za </w:t>
      </w:r>
      <w:r w:rsidR="00661D7E" w:rsidRPr="006368D9">
        <w:rPr>
          <w:rFonts w:cs="Arial"/>
          <w:sz w:val="20"/>
        </w:rPr>
        <w:t>újmu</w:t>
      </w:r>
    </w:p>
    <w:p w:rsidR="00D7357B" w:rsidRPr="006368D9" w:rsidRDefault="00A40B91" w:rsidP="00627369">
      <w:pPr>
        <w:keepNext/>
        <w:tabs>
          <w:tab w:val="left" w:pos="426"/>
        </w:tabs>
        <w:spacing w:before="120"/>
        <w:ind w:left="426"/>
        <w:rPr>
          <w:rFonts w:cs="Arial"/>
          <w:b/>
          <w:bCs/>
          <w:sz w:val="20"/>
        </w:rPr>
      </w:pPr>
      <w:r w:rsidRPr="006368D9">
        <w:rPr>
          <w:rFonts w:cs="Arial"/>
          <w:b/>
          <w:bCs/>
          <w:sz w:val="20"/>
        </w:rPr>
        <w:t>Dodatkové pojistné podmínky</w:t>
      </w:r>
    </w:p>
    <w:p w:rsidR="006A6442" w:rsidRPr="006368D9" w:rsidRDefault="006A6442" w:rsidP="00627369">
      <w:pPr>
        <w:keepNext/>
        <w:tabs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:rsidR="00A40B91" w:rsidRPr="006368D9" w:rsidRDefault="00A40B91" w:rsidP="00D91BE8">
      <w:pPr>
        <w:keepNext/>
        <w:tabs>
          <w:tab w:val="left" w:pos="426"/>
          <w:tab w:val="left" w:pos="1440"/>
        </w:tabs>
        <w:spacing w:before="120"/>
        <w:ind w:left="426"/>
        <w:rPr>
          <w:rFonts w:cs="Arial"/>
          <w:sz w:val="20"/>
        </w:rPr>
      </w:pPr>
      <w:r w:rsidRPr="006368D9">
        <w:rPr>
          <w:rFonts w:cs="Arial"/>
          <w:b/>
          <w:sz w:val="20"/>
        </w:rPr>
        <w:t xml:space="preserve">Živel </w:t>
      </w:r>
      <w:r w:rsidRPr="006368D9">
        <w:rPr>
          <w:rFonts w:cs="Arial"/>
          <w:b/>
          <w:sz w:val="20"/>
        </w:rPr>
        <w:cr/>
      </w:r>
      <w:r w:rsidRPr="006368D9">
        <w:rPr>
          <w:rFonts w:cs="Arial"/>
          <w:sz w:val="20"/>
        </w:rPr>
        <w:t xml:space="preserve">DZ101 - Lehké stavby, dřevostavby </w:t>
      </w:r>
      <w:r w:rsidR="00DE32CB" w:rsidRPr="006368D9">
        <w:rPr>
          <w:sz w:val="20"/>
          <w:szCs w:val="20"/>
        </w:rPr>
        <w:t>-</w:t>
      </w:r>
      <w:r w:rsidR="005A79D1" w:rsidRPr="006368D9"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>Výluka (1401)</w:t>
      </w:r>
      <w:r w:rsidRPr="006368D9">
        <w:rPr>
          <w:rFonts w:cs="Arial"/>
          <w:sz w:val="20"/>
        </w:rPr>
        <w:cr/>
        <w:t>DZ106 - Zásoby a jejich uložení - Vymezení podmínek (1401)</w:t>
      </w:r>
    </w:p>
    <w:p w:rsidR="00A40B91" w:rsidRPr="006368D9" w:rsidRDefault="00A40B91" w:rsidP="00627369">
      <w:pPr>
        <w:tabs>
          <w:tab w:val="left" w:pos="426"/>
          <w:tab w:val="left" w:pos="1440"/>
        </w:tabs>
        <w:ind w:left="426"/>
        <w:rPr>
          <w:rFonts w:cs="Arial"/>
          <w:bCs/>
          <w:sz w:val="20"/>
        </w:rPr>
      </w:pPr>
      <w:r w:rsidRPr="006368D9">
        <w:rPr>
          <w:rFonts w:cs="Arial"/>
          <w:bCs/>
          <w:sz w:val="20"/>
          <w:szCs w:val="20"/>
        </w:rPr>
        <w:t>DZ112</w:t>
      </w:r>
      <w:r w:rsidRPr="006368D9">
        <w:rPr>
          <w:rFonts w:cs="Arial"/>
          <w:bCs/>
          <w:sz w:val="20"/>
        </w:rPr>
        <w:t xml:space="preserve"> </w:t>
      </w:r>
      <w:r w:rsidR="00135937" w:rsidRPr="006368D9">
        <w:rPr>
          <w:sz w:val="20"/>
        </w:rPr>
        <w:t xml:space="preserve">- </w:t>
      </w:r>
      <w:r w:rsidR="00135937" w:rsidRPr="006368D9">
        <w:rPr>
          <w:rFonts w:cs="Arial"/>
          <w:bCs/>
          <w:sz w:val="20"/>
        </w:rPr>
        <w:t>Fotovoltaická elektrárna</w:t>
      </w:r>
      <w:r w:rsidRPr="006368D9">
        <w:rPr>
          <w:rFonts w:cs="Arial"/>
          <w:bCs/>
          <w:sz w:val="20"/>
        </w:rPr>
        <w:t xml:space="preserve"> - </w:t>
      </w:r>
      <w:r w:rsidR="00135937" w:rsidRPr="006368D9">
        <w:rPr>
          <w:rFonts w:cs="Arial"/>
          <w:bCs/>
          <w:sz w:val="20"/>
        </w:rPr>
        <w:t>V</w:t>
      </w:r>
      <w:r w:rsidRPr="006368D9">
        <w:rPr>
          <w:rFonts w:cs="Arial"/>
          <w:bCs/>
          <w:sz w:val="20"/>
        </w:rPr>
        <w:t xml:space="preserve">ymezení předmětu pojištění </w:t>
      </w:r>
      <w:r w:rsidRPr="006368D9">
        <w:rPr>
          <w:rFonts w:cs="Arial"/>
          <w:sz w:val="20"/>
        </w:rPr>
        <w:t>(1401)</w:t>
      </w:r>
    </w:p>
    <w:p w:rsidR="00D7357B" w:rsidRPr="006368D9" w:rsidRDefault="00D7357B" w:rsidP="00627369">
      <w:pPr>
        <w:keepNext/>
        <w:tabs>
          <w:tab w:val="left" w:pos="426"/>
        </w:tabs>
        <w:spacing w:before="120"/>
        <w:ind w:left="426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Zabezpečení</w:t>
      </w:r>
    </w:p>
    <w:p w:rsidR="00D7357B" w:rsidRPr="00627369" w:rsidRDefault="00D7357B" w:rsidP="00627369">
      <w:pPr>
        <w:tabs>
          <w:tab w:val="left" w:pos="426"/>
        </w:tabs>
        <w:ind w:left="1276" w:hanging="850"/>
        <w:rPr>
          <w:rFonts w:cs="Arial"/>
          <w:b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Pr="006368D9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6368D9">
        <w:rPr>
          <w:rFonts w:cs="Arial"/>
          <w:bCs/>
          <w:sz w:val="20"/>
          <w:szCs w:val="20"/>
        </w:rPr>
        <w:t>pojištěných</w:t>
      </w:r>
      <w:r w:rsidRPr="006368D9">
        <w:rPr>
          <w:rFonts w:cs="Arial"/>
          <w:bCs/>
          <w:sz w:val="20"/>
          <w:szCs w:val="20"/>
        </w:rPr>
        <w:t xml:space="preserve"> věcí (netýká se </w:t>
      </w:r>
      <w:r w:rsidR="005F11F1" w:rsidRPr="006368D9">
        <w:rPr>
          <w:rFonts w:cs="Arial"/>
          <w:bCs/>
          <w:sz w:val="20"/>
          <w:szCs w:val="20"/>
        </w:rPr>
        <w:t xml:space="preserve">finančních prostředků a cenných </w:t>
      </w:r>
      <w:r w:rsidR="00627369">
        <w:rPr>
          <w:rFonts w:cs="Arial"/>
          <w:bCs/>
          <w:sz w:val="20"/>
          <w:szCs w:val="20"/>
        </w:rPr>
        <w:t>p</w:t>
      </w:r>
      <w:r w:rsidR="00891130" w:rsidRPr="006368D9">
        <w:rPr>
          <w:rFonts w:cs="Arial"/>
          <w:bCs/>
          <w:sz w:val="20"/>
          <w:szCs w:val="20"/>
        </w:rPr>
        <w:t>ředmětů</w:t>
      </w:r>
      <w:r w:rsidR="00627369">
        <w:rPr>
          <w:rFonts w:cs="Arial"/>
          <w:bCs/>
          <w:sz w:val="20"/>
          <w:szCs w:val="20"/>
        </w:rPr>
        <w:t xml:space="preserve">) </w:t>
      </w:r>
      <w:r w:rsidRPr="006368D9">
        <w:rPr>
          <w:rFonts w:cs="Arial"/>
          <w:bCs/>
          <w:sz w:val="20"/>
          <w:szCs w:val="20"/>
        </w:rPr>
        <w:t>(</w:t>
      </w:r>
      <w:r w:rsidR="007C6242" w:rsidRPr="006368D9">
        <w:rPr>
          <w:rFonts w:cs="Arial"/>
          <w:bCs/>
          <w:sz w:val="20"/>
          <w:szCs w:val="20"/>
        </w:rPr>
        <w:t>1</w:t>
      </w:r>
      <w:r w:rsidR="00C019B0">
        <w:rPr>
          <w:rFonts w:cs="Arial"/>
          <w:bCs/>
          <w:sz w:val="20"/>
          <w:szCs w:val="20"/>
        </w:rPr>
        <w:t>6</w:t>
      </w:r>
      <w:r w:rsidR="00104E9D">
        <w:rPr>
          <w:rFonts w:cs="Arial"/>
          <w:bCs/>
          <w:sz w:val="20"/>
          <w:szCs w:val="20"/>
        </w:rPr>
        <w:t>12</w:t>
      </w:r>
      <w:r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7357B" w:rsidP="00627369">
      <w:pPr>
        <w:tabs>
          <w:tab w:val="left" w:pos="426"/>
          <w:tab w:val="left" w:pos="1304"/>
          <w:tab w:val="left" w:pos="1389"/>
        </w:tabs>
        <w:ind w:left="1389" w:hanging="963"/>
        <w:rPr>
          <w:rFonts w:cs="Arial"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Pr="006368D9">
        <w:rPr>
          <w:rFonts w:cs="Arial"/>
          <w:bCs/>
          <w:sz w:val="20"/>
          <w:szCs w:val="20"/>
        </w:rPr>
        <w:t xml:space="preserve">2 - Předepsané způsoby zabezpečení </w:t>
      </w:r>
      <w:r w:rsidR="00891130" w:rsidRPr="006368D9">
        <w:rPr>
          <w:rFonts w:cs="Arial"/>
          <w:bCs/>
          <w:sz w:val="20"/>
          <w:szCs w:val="20"/>
        </w:rPr>
        <w:t xml:space="preserve">finančních prostředků a cenných předmětů </w:t>
      </w:r>
      <w:r w:rsidRPr="006368D9">
        <w:rPr>
          <w:rFonts w:cs="Arial"/>
          <w:bCs/>
          <w:sz w:val="20"/>
          <w:szCs w:val="20"/>
        </w:rPr>
        <w:t>(</w:t>
      </w:r>
      <w:r w:rsidR="007C6242" w:rsidRPr="006368D9">
        <w:rPr>
          <w:rFonts w:cs="Arial"/>
          <w:bCs/>
          <w:sz w:val="20"/>
          <w:szCs w:val="20"/>
        </w:rPr>
        <w:t>1</w:t>
      </w:r>
      <w:r w:rsidR="00C019B0">
        <w:rPr>
          <w:rFonts w:cs="Arial"/>
          <w:bCs/>
          <w:sz w:val="20"/>
          <w:szCs w:val="20"/>
        </w:rPr>
        <w:t>606</w:t>
      </w:r>
      <w:r w:rsidRPr="006368D9">
        <w:rPr>
          <w:rFonts w:cs="Arial"/>
          <w:bCs/>
          <w:sz w:val="20"/>
          <w:szCs w:val="20"/>
        </w:rPr>
        <w:t>)</w:t>
      </w:r>
    </w:p>
    <w:p w:rsidR="00D7357B" w:rsidRPr="00627369" w:rsidRDefault="00D7357B" w:rsidP="00627369">
      <w:pPr>
        <w:tabs>
          <w:tab w:val="left" w:pos="426"/>
          <w:tab w:val="left" w:pos="1304"/>
          <w:tab w:val="left" w:pos="1389"/>
        </w:tabs>
        <w:ind w:left="1389" w:hanging="963"/>
        <w:rPr>
          <w:rFonts w:cs="Arial"/>
          <w:b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Pr="006368D9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6368D9">
        <w:rPr>
          <w:rFonts w:cs="Arial"/>
          <w:bCs/>
          <w:sz w:val="20"/>
          <w:szCs w:val="20"/>
        </w:rPr>
        <w:t>1401</w:t>
      </w:r>
      <w:r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B1378E" w:rsidP="00750001">
      <w:pPr>
        <w:keepNext/>
        <w:tabs>
          <w:tab w:val="left" w:pos="426"/>
        </w:tabs>
        <w:spacing w:before="120"/>
        <w:ind w:left="426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O</w:t>
      </w:r>
      <w:r w:rsidR="00D7357B" w:rsidRPr="006368D9">
        <w:rPr>
          <w:rFonts w:cs="Arial"/>
          <w:b/>
          <w:sz w:val="20"/>
        </w:rPr>
        <w:t>dpovědnost</w:t>
      </w:r>
      <w:r w:rsidR="00A40B91" w:rsidRPr="006368D9">
        <w:rPr>
          <w:rFonts w:cs="Arial"/>
          <w:b/>
          <w:sz w:val="20"/>
        </w:rPr>
        <w:t xml:space="preserve"> za újmu</w:t>
      </w:r>
    </w:p>
    <w:p w:rsidR="00D7357B" w:rsidRDefault="00D7357B" w:rsidP="00750001">
      <w:pPr>
        <w:keepNext/>
        <w:tabs>
          <w:tab w:val="left" w:pos="-1440"/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bCs/>
          <w:sz w:val="20"/>
        </w:rPr>
        <w:t>DODP</w:t>
      </w:r>
      <w:r w:rsidR="00EE5817" w:rsidRPr="006368D9">
        <w:rPr>
          <w:rFonts w:cs="Arial"/>
          <w:bCs/>
          <w:sz w:val="20"/>
        </w:rPr>
        <w:t>10</w:t>
      </w:r>
      <w:r w:rsidRPr="006368D9">
        <w:rPr>
          <w:rFonts w:cs="Arial"/>
          <w:bCs/>
          <w:sz w:val="20"/>
        </w:rPr>
        <w:t xml:space="preserve">1 </w:t>
      </w:r>
      <w:r w:rsidR="003A4222" w:rsidRPr="006368D9">
        <w:rPr>
          <w:rFonts w:cs="Arial"/>
          <w:bCs/>
          <w:sz w:val="20"/>
        </w:rPr>
        <w:t xml:space="preserve">- </w:t>
      </w:r>
      <w:r w:rsidRPr="006368D9">
        <w:rPr>
          <w:rFonts w:cs="Arial"/>
          <w:bCs/>
          <w:sz w:val="20"/>
        </w:rPr>
        <w:t xml:space="preserve">Pojištění obecné odpovědnosti za </w:t>
      </w:r>
      <w:r w:rsidR="0015517B">
        <w:rPr>
          <w:rFonts w:cs="Arial"/>
          <w:bCs/>
          <w:sz w:val="20"/>
        </w:rPr>
        <w:t>újmu</w:t>
      </w:r>
      <w:r w:rsidRPr="006368D9">
        <w:rPr>
          <w:rFonts w:cs="Arial"/>
          <w:bCs/>
          <w:sz w:val="20"/>
        </w:rPr>
        <w:t xml:space="preserve"> - </w:t>
      </w:r>
      <w:r w:rsidR="005F11F1" w:rsidRPr="006368D9">
        <w:rPr>
          <w:rFonts w:cs="Arial"/>
          <w:bCs/>
          <w:sz w:val="20"/>
        </w:rPr>
        <w:t>Z</w:t>
      </w:r>
      <w:r w:rsidRPr="006368D9">
        <w:rPr>
          <w:rFonts w:cs="Arial"/>
          <w:bCs/>
          <w:sz w:val="20"/>
        </w:rPr>
        <w:t xml:space="preserve">ákladní rozsah pojištění </w:t>
      </w:r>
      <w:r w:rsidRPr="006368D9">
        <w:rPr>
          <w:rFonts w:cs="Arial"/>
          <w:sz w:val="20"/>
        </w:rPr>
        <w:t>(1</w:t>
      </w:r>
      <w:r w:rsidR="00104E9D">
        <w:rPr>
          <w:rFonts w:cs="Arial"/>
          <w:sz w:val="20"/>
        </w:rPr>
        <w:t>612</w:t>
      </w:r>
      <w:r w:rsidRPr="006368D9">
        <w:rPr>
          <w:rFonts w:cs="Arial"/>
          <w:sz w:val="20"/>
        </w:rPr>
        <w:t>)</w:t>
      </w:r>
    </w:p>
    <w:p w:rsidR="00C019B0" w:rsidRPr="006368D9" w:rsidRDefault="00C019B0" w:rsidP="00750001">
      <w:pPr>
        <w:keepNext/>
        <w:tabs>
          <w:tab w:val="left" w:pos="-1440"/>
          <w:tab w:val="left" w:pos="426"/>
        </w:tabs>
        <w:ind w:left="426"/>
        <w:rPr>
          <w:rFonts w:cs="Arial"/>
          <w:bCs/>
          <w:sz w:val="20"/>
        </w:rPr>
      </w:pPr>
      <w:r>
        <w:rPr>
          <w:rFonts w:cs="Arial"/>
          <w:sz w:val="20"/>
        </w:rPr>
        <w:t>DODP109 - Provoz pracovních strojů - Rozšíření rozsahu pojištění (1412)</w:t>
      </w:r>
    </w:p>
    <w:p w:rsidR="00D7357B" w:rsidRPr="006368D9" w:rsidRDefault="00D7357B" w:rsidP="00750001">
      <w:pPr>
        <w:keepNext/>
        <w:tabs>
          <w:tab w:val="left" w:pos="426"/>
        </w:tabs>
        <w:spacing w:before="120"/>
        <w:ind w:left="425"/>
        <w:rPr>
          <w:rFonts w:cs="Arial"/>
          <w:b/>
          <w:sz w:val="20"/>
          <w:szCs w:val="20"/>
        </w:rPr>
      </w:pPr>
      <w:r w:rsidRPr="006368D9">
        <w:rPr>
          <w:rFonts w:cs="Arial"/>
          <w:b/>
          <w:sz w:val="20"/>
          <w:szCs w:val="20"/>
        </w:rPr>
        <w:t>Obecné</w:t>
      </w:r>
    </w:p>
    <w:p w:rsidR="00257C49" w:rsidRPr="006368D9" w:rsidRDefault="00257C49" w:rsidP="00750001">
      <w:pPr>
        <w:tabs>
          <w:tab w:val="left" w:pos="426"/>
        </w:tabs>
        <w:ind w:left="426"/>
        <w:rPr>
          <w:rFonts w:cs="Arial"/>
          <w:sz w:val="20"/>
          <w:szCs w:val="20"/>
        </w:rPr>
      </w:pPr>
      <w:r w:rsidRPr="006368D9">
        <w:rPr>
          <w:rFonts w:cs="Arial"/>
          <w:sz w:val="20"/>
          <w:szCs w:val="20"/>
        </w:rPr>
        <w:t>DOB10</w:t>
      </w:r>
      <w:r>
        <w:rPr>
          <w:rFonts w:cs="Arial"/>
          <w:sz w:val="20"/>
          <w:szCs w:val="20"/>
        </w:rPr>
        <w:t>1</w:t>
      </w:r>
      <w:r w:rsidRPr="006368D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-</w:t>
      </w:r>
      <w:r w:rsidRPr="006368D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Elektronická rizika - Výluka</w:t>
      </w:r>
      <w:r w:rsidRPr="006368D9">
        <w:rPr>
          <w:rFonts w:cs="Arial"/>
          <w:sz w:val="20"/>
          <w:szCs w:val="20"/>
        </w:rPr>
        <w:t xml:space="preserve"> (1401)</w:t>
      </w:r>
    </w:p>
    <w:p w:rsidR="00D7357B" w:rsidRPr="006368D9" w:rsidRDefault="00D7357B" w:rsidP="00750001">
      <w:pPr>
        <w:tabs>
          <w:tab w:val="left" w:pos="426"/>
        </w:tabs>
        <w:ind w:left="426"/>
        <w:rPr>
          <w:rFonts w:cs="Arial"/>
          <w:sz w:val="20"/>
          <w:szCs w:val="20"/>
        </w:rPr>
      </w:pPr>
      <w:r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Pr="006368D9">
        <w:rPr>
          <w:rFonts w:cs="Arial"/>
          <w:sz w:val="20"/>
          <w:szCs w:val="20"/>
        </w:rPr>
        <w:t>3 - Výklad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Pr="006368D9">
        <w:rPr>
          <w:rFonts w:cs="Arial"/>
          <w:sz w:val="20"/>
          <w:szCs w:val="20"/>
        </w:rPr>
        <w:t>01)</w:t>
      </w:r>
    </w:p>
    <w:p w:rsidR="00D7357B" w:rsidRPr="006368D9" w:rsidRDefault="00D7357B" w:rsidP="00750001">
      <w:pPr>
        <w:tabs>
          <w:tab w:val="left" w:pos="426"/>
        </w:tabs>
        <w:ind w:left="426"/>
        <w:rPr>
          <w:rFonts w:cs="Arial"/>
          <w:sz w:val="20"/>
          <w:szCs w:val="20"/>
        </w:rPr>
      </w:pPr>
      <w:r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Pr="006368D9">
        <w:rPr>
          <w:rFonts w:cs="Arial"/>
          <w:sz w:val="20"/>
          <w:szCs w:val="20"/>
        </w:rPr>
        <w:t>5 - Tíha sněhu, námraza - Vymezení podmínek (1</w:t>
      </w:r>
      <w:r w:rsidR="007C6242" w:rsidRPr="006368D9">
        <w:rPr>
          <w:rFonts w:cs="Arial"/>
          <w:sz w:val="20"/>
          <w:szCs w:val="20"/>
        </w:rPr>
        <w:t>4</w:t>
      </w:r>
      <w:r w:rsidRPr="006368D9">
        <w:rPr>
          <w:rFonts w:cs="Arial"/>
          <w:sz w:val="20"/>
          <w:szCs w:val="20"/>
        </w:rPr>
        <w:t>01)</w:t>
      </w:r>
    </w:p>
    <w:p w:rsidR="00D7357B" w:rsidRPr="00750001" w:rsidRDefault="00D7357B" w:rsidP="00750001">
      <w:pPr>
        <w:tabs>
          <w:tab w:val="left" w:pos="426"/>
          <w:tab w:val="left" w:pos="1389"/>
          <w:tab w:val="left" w:pos="1701"/>
        </w:tabs>
        <w:ind w:left="426" w:right="-427"/>
        <w:rPr>
          <w:rFonts w:cs="Arial"/>
          <w:b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>DOB</w:t>
      </w:r>
      <w:r w:rsidR="00EE5817" w:rsidRPr="006368D9">
        <w:rPr>
          <w:rFonts w:cs="Arial"/>
          <w:bCs/>
          <w:sz w:val="20"/>
          <w:szCs w:val="20"/>
        </w:rPr>
        <w:t>10</w:t>
      </w:r>
      <w:r w:rsidRPr="006368D9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 w:rsidR="00547E3D">
        <w:rPr>
          <w:rFonts w:cs="Arial"/>
          <w:bCs/>
          <w:sz w:val="20"/>
          <w:szCs w:val="20"/>
        </w:rPr>
        <w:t xml:space="preserve">vichřice, </w:t>
      </w:r>
      <w:r w:rsidRPr="006368D9">
        <w:rPr>
          <w:rFonts w:cs="Arial"/>
          <w:bCs/>
          <w:sz w:val="20"/>
          <w:szCs w:val="20"/>
        </w:rPr>
        <w:t>krupobití (1</w:t>
      </w:r>
      <w:r w:rsidR="007C6242" w:rsidRPr="006368D9">
        <w:rPr>
          <w:rFonts w:cs="Arial"/>
          <w:bCs/>
          <w:sz w:val="20"/>
          <w:szCs w:val="20"/>
        </w:rPr>
        <w:t>4</w:t>
      </w:r>
      <w:r w:rsidRPr="006368D9">
        <w:rPr>
          <w:rFonts w:cs="Arial"/>
          <w:bCs/>
          <w:sz w:val="20"/>
          <w:szCs w:val="20"/>
        </w:rPr>
        <w:t>01)</w:t>
      </w:r>
    </w:p>
    <w:p w:rsidR="00D7357B" w:rsidRPr="006368D9" w:rsidRDefault="00D7357B" w:rsidP="00D7357B">
      <w:pPr>
        <w:tabs>
          <w:tab w:val="left" w:pos="-720"/>
        </w:tabs>
        <w:rPr>
          <w:rFonts w:cs="Arial"/>
          <w:b/>
          <w:sz w:val="20"/>
        </w:rPr>
      </w:pPr>
    </w:p>
    <w:p w:rsidR="00D7357B" w:rsidRPr="006368D9" w:rsidRDefault="00D7357B" w:rsidP="0015517B">
      <w:pPr>
        <w:keepNext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Pr="006368D9" w:rsidRDefault="00D7357B" w:rsidP="0015517B">
      <w:pPr>
        <w:keepNext/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2504F1" w:rsidRPr="006368D9" w:rsidRDefault="00D7357B" w:rsidP="00C24371">
      <w:pPr>
        <w:keepNext/>
        <w:numPr>
          <w:ilvl w:val="0"/>
          <w:numId w:val="9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2504F1" w:rsidRPr="006368D9" w:rsidRDefault="00EC490F" w:rsidP="00C24371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2504F1" w:rsidRDefault="00D7357B" w:rsidP="00C24371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Pro pojištění majetku j</w:t>
      </w:r>
      <w:r w:rsidR="00D91BE8">
        <w:rPr>
          <w:rFonts w:cs="Arial"/>
          <w:sz w:val="20"/>
        </w:rPr>
        <w:t>sou</w:t>
      </w:r>
      <w:r w:rsidRPr="006368D9">
        <w:rPr>
          <w:rFonts w:cs="Arial"/>
          <w:sz w:val="20"/>
        </w:rPr>
        <w:t xml:space="preserve"> místem pojištění </w:t>
      </w:r>
      <w:r w:rsidR="00D91BE8">
        <w:rPr>
          <w:rFonts w:cs="Arial"/>
          <w:sz w:val="20"/>
        </w:rPr>
        <w:t>(není-li dále uvedeno jinak):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 xml:space="preserve">Praha 8-Karlín, Pobřežní </w:t>
      </w:r>
      <w:r>
        <w:rPr>
          <w:bCs/>
          <w:spacing w:val="-2"/>
          <w:sz w:val="20"/>
        </w:rPr>
        <w:t>339/</w:t>
      </w:r>
      <w:r w:rsidRPr="00A36729">
        <w:rPr>
          <w:bCs/>
          <w:spacing w:val="-2"/>
          <w:sz w:val="20"/>
        </w:rPr>
        <w:t>72, PSČ 186 00 – ústředí;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>Praha 5-Motol, Plzeňská ulice – areál krematoria;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>Praha 10-Strašnice, Vinohradská ul. – areál krematoria;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 xml:space="preserve">Praha 1-Staré Město, Staroměstské nám. </w:t>
      </w:r>
      <w:r>
        <w:rPr>
          <w:bCs/>
          <w:spacing w:val="-2"/>
          <w:sz w:val="20"/>
        </w:rPr>
        <w:t>551/17</w:t>
      </w:r>
      <w:r w:rsidRPr="00A36729">
        <w:rPr>
          <w:bCs/>
          <w:spacing w:val="-2"/>
          <w:sz w:val="20"/>
        </w:rPr>
        <w:t>, PSČ 110 00 – provozovna;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>Praha 10-Strašnice, Vinohradská ul. – provozovna;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 xml:space="preserve">Praha 10-Vršovice, Oblouková </w:t>
      </w:r>
      <w:r>
        <w:rPr>
          <w:bCs/>
          <w:spacing w:val="-2"/>
          <w:sz w:val="20"/>
        </w:rPr>
        <w:t>848/</w:t>
      </w:r>
      <w:r w:rsidRPr="00A36729">
        <w:rPr>
          <w:bCs/>
          <w:spacing w:val="-2"/>
          <w:sz w:val="20"/>
        </w:rPr>
        <w:t>25, PSČ 101 00 – provozovna;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 xml:space="preserve">Praha 6-Bubeneč, Národní obrany </w:t>
      </w:r>
      <w:r>
        <w:rPr>
          <w:bCs/>
          <w:spacing w:val="-2"/>
          <w:sz w:val="20"/>
        </w:rPr>
        <w:t>822/</w:t>
      </w:r>
      <w:r w:rsidRPr="00A36729">
        <w:rPr>
          <w:bCs/>
          <w:spacing w:val="-2"/>
          <w:sz w:val="20"/>
        </w:rPr>
        <w:t>39, PSČ 160 00 – provozovna;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 xml:space="preserve">Praha 2-Vinohrady, Londýnská </w:t>
      </w:r>
      <w:r>
        <w:rPr>
          <w:bCs/>
          <w:spacing w:val="-2"/>
          <w:sz w:val="20"/>
        </w:rPr>
        <w:t>135/</w:t>
      </w:r>
      <w:r w:rsidRPr="00A36729">
        <w:rPr>
          <w:bCs/>
          <w:spacing w:val="-2"/>
          <w:sz w:val="20"/>
        </w:rPr>
        <w:t>29, PSČ 120 00 – provozovna;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>Jesenice, Průběžná 284, PSČ 252 42 – provozovna;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>Praha 10-Strašnice, Vinohradská ul. – Evangelický hřbitov – správní budova;</w:t>
      </w:r>
    </w:p>
    <w:p w:rsidR="00D91BE8" w:rsidRPr="00A36729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>
        <w:rPr>
          <w:bCs/>
          <w:spacing w:val="-2"/>
          <w:sz w:val="20"/>
        </w:rPr>
        <w:t>Praha 10-Strašnice, Vinohradská ul. – Evangelický hřbitov – kostelík;</w:t>
      </w:r>
    </w:p>
    <w:p w:rsidR="00D91BE8" w:rsidRDefault="00D91BE8" w:rsidP="00C24371">
      <w:pPr>
        <w:numPr>
          <w:ilvl w:val="2"/>
          <w:numId w:val="8"/>
        </w:numPr>
        <w:tabs>
          <w:tab w:val="left" w:pos="-720"/>
          <w:tab w:val="left" w:pos="1080"/>
        </w:tabs>
        <w:ind w:hanging="360"/>
        <w:jc w:val="both"/>
        <w:rPr>
          <w:bCs/>
          <w:spacing w:val="-2"/>
          <w:sz w:val="20"/>
        </w:rPr>
      </w:pPr>
      <w:r w:rsidRPr="00A36729">
        <w:rPr>
          <w:bCs/>
          <w:spacing w:val="-2"/>
          <w:sz w:val="20"/>
        </w:rPr>
        <w:t>Praha 4-Modřany, Modřanská 1</w:t>
      </w:r>
      <w:r>
        <w:rPr>
          <w:bCs/>
          <w:spacing w:val="-2"/>
          <w:sz w:val="20"/>
        </w:rPr>
        <w:t>061/15, PSČ 143 00 – provozovna.</w:t>
      </w:r>
    </w:p>
    <w:p w:rsidR="002504F1" w:rsidRPr="006368D9" w:rsidRDefault="00D7357B" w:rsidP="00C24371">
      <w:pPr>
        <w:keepNext/>
        <w:numPr>
          <w:ilvl w:val="0"/>
          <w:numId w:val="9"/>
        </w:numPr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D7357B" w:rsidRPr="006368D9" w:rsidRDefault="00D7357B" w:rsidP="00C019B0">
      <w:pPr>
        <w:pStyle w:val="Zkladntext32"/>
        <w:tabs>
          <w:tab w:val="clear" w:pos="-720"/>
        </w:tabs>
        <w:spacing w:before="120" w:line="240" w:lineRule="auto"/>
        <w:ind w:left="425"/>
        <w:jc w:val="both"/>
        <w:rPr>
          <w:rFonts w:ascii="Koop Office" w:hAnsi="Koop Office"/>
        </w:rPr>
      </w:pPr>
      <w:r w:rsidRPr="006368D9">
        <w:rPr>
          <w:rFonts w:ascii="Koop Office" w:hAnsi="Koop Office" w:cs="Arial"/>
        </w:rPr>
        <w:t xml:space="preserve">Pojištění se sjednává pro předměty pojištění v rozsahu a na místech pojištění </w:t>
      </w:r>
      <w:r w:rsidR="00C019B0">
        <w:rPr>
          <w:rFonts w:ascii="Koop Office" w:hAnsi="Koop Office" w:cs="Arial"/>
        </w:rPr>
        <w:t xml:space="preserve">(v případě pojištění odpovědnosti za újmu v rozsahu a za podmínek) </w:t>
      </w:r>
      <w:r w:rsidRPr="006368D9">
        <w:rPr>
          <w:rFonts w:ascii="Koop Office" w:hAnsi="Koop Office" w:cs="Arial"/>
        </w:rPr>
        <w:t>uvedených v následující</w:t>
      </w:r>
      <w:r w:rsidR="00D06D34">
        <w:rPr>
          <w:rFonts w:ascii="Koop Office" w:hAnsi="Koop Office" w:cs="Arial"/>
        </w:rPr>
        <w:t>ch</w:t>
      </w:r>
      <w:r w:rsidRPr="006368D9">
        <w:rPr>
          <w:rFonts w:ascii="Koop Office" w:hAnsi="Koop Office" w:cs="Arial"/>
        </w:rPr>
        <w:t xml:space="preserve"> tabulkách:</w:t>
      </w:r>
    </w:p>
    <w:p w:rsidR="007A4E91" w:rsidRDefault="007A4E91" w:rsidP="00C93ACC">
      <w:pPr>
        <w:keepNext/>
        <w:rPr>
          <w:b/>
          <w:sz w:val="20"/>
          <w:szCs w:val="20"/>
        </w:rPr>
      </w:pPr>
    </w:p>
    <w:p w:rsidR="00C769CB" w:rsidRPr="006368D9" w:rsidRDefault="00C769CB" w:rsidP="00C93ACC">
      <w:pPr>
        <w:keepNext/>
        <w:rPr>
          <w:b/>
          <w:sz w:val="20"/>
          <w:szCs w:val="20"/>
        </w:rPr>
      </w:pPr>
    </w:p>
    <w:p w:rsidR="009805D8" w:rsidRPr="00D06D34" w:rsidRDefault="009805D8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06D34">
        <w:rPr>
          <w:rFonts w:cs="Arial"/>
          <w:b/>
          <w:sz w:val="20"/>
        </w:rPr>
        <w:t>Živelní pojištění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701"/>
        <w:gridCol w:w="2410"/>
        <w:gridCol w:w="1276"/>
        <w:gridCol w:w="1276"/>
        <w:gridCol w:w="1134"/>
      </w:tblGrid>
      <w:tr w:rsidR="009805D8" w:rsidRPr="006368D9" w:rsidTr="001D6107">
        <w:tc>
          <w:tcPr>
            <w:tcW w:w="10349" w:type="dxa"/>
            <w:gridSpan w:val="7"/>
            <w:shd w:val="clear" w:color="auto" w:fill="auto"/>
          </w:tcPr>
          <w:p w:rsidR="009805D8" w:rsidRPr="00666281" w:rsidRDefault="009805D8" w:rsidP="009805D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 w:rsidR="00D91BE8">
              <w:rPr>
                <w:b/>
                <w:sz w:val="20"/>
                <w:szCs w:val="20"/>
              </w:rPr>
              <w:t xml:space="preserve"> </w:t>
            </w:r>
            <w:r w:rsidR="00D91BE8" w:rsidRPr="00D91BE8">
              <w:rPr>
                <w:sz w:val="20"/>
                <w:szCs w:val="20"/>
              </w:rPr>
              <w:t>Praha 8-Karlín, Pobřežní 72, PSČ 186 00 – ústředí</w:t>
            </w:r>
          </w:p>
        </w:tc>
      </w:tr>
      <w:tr w:rsidR="00B140DB" w:rsidRPr="006368D9" w:rsidTr="001D6107">
        <w:tc>
          <w:tcPr>
            <w:tcW w:w="10349" w:type="dxa"/>
            <w:gridSpan w:val="7"/>
            <w:shd w:val="clear" w:color="auto" w:fill="auto"/>
          </w:tcPr>
          <w:p w:rsidR="00B140DB" w:rsidRPr="00CA248D" w:rsidRDefault="00B140DB" w:rsidP="00D91BE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91BE8">
              <w:rPr>
                <w:sz w:val="20"/>
                <w:szCs w:val="20"/>
              </w:rPr>
              <w:t>sdružený živel</w:t>
            </w:r>
          </w:p>
        </w:tc>
      </w:tr>
      <w:tr w:rsidR="009805D8" w:rsidRPr="006368D9" w:rsidTr="001D6107">
        <w:tc>
          <w:tcPr>
            <w:tcW w:w="10349" w:type="dxa"/>
            <w:gridSpan w:val="7"/>
            <w:shd w:val="clear" w:color="auto" w:fill="auto"/>
          </w:tcPr>
          <w:p w:rsidR="009805D8" w:rsidRPr="00666281" w:rsidRDefault="009805D8" w:rsidP="009805D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  <w:r w:rsidR="00D91BE8">
              <w:rPr>
                <w:sz w:val="20"/>
                <w:szCs w:val="20"/>
              </w:rPr>
              <w:t>, DZ101, DZ106, DZ112</w:t>
            </w:r>
          </w:p>
        </w:tc>
      </w:tr>
      <w:tr w:rsidR="00E71674" w:rsidRPr="006368D9" w:rsidTr="001D6107">
        <w:tc>
          <w:tcPr>
            <w:tcW w:w="709" w:type="dxa"/>
            <w:shd w:val="clear" w:color="auto" w:fill="auto"/>
            <w:vAlign w:val="center"/>
          </w:tcPr>
          <w:p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5D8" w:rsidRPr="00666281" w:rsidRDefault="003B3C93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</w:t>
            </w:r>
            <w:r w:rsidR="009805D8" w:rsidRPr="00666281">
              <w:rPr>
                <w:b/>
                <w:sz w:val="20"/>
                <w:szCs w:val="20"/>
              </w:rPr>
              <w:t>ojistná částka</w:t>
            </w:r>
            <w:r w:rsidR="001773E3"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</w:t>
            </w:r>
            <w:r w:rsidR="00133185" w:rsidRPr="00666281">
              <w:rPr>
                <w:b/>
                <w:sz w:val="20"/>
                <w:szCs w:val="20"/>
              </w:rPr>
              <w:t xml:space="preserve">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B8D" w:rsidRPr="00666281" w:rsidRDefault="009805D8" w:rsidP="0066628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666281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666281" w:rsidRDefault="003B3C93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5D8" w:rsidRPr="00666281" w:rsidRDefault="009805D8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71674" w:rsidRPr="006368D9" w:rsidTr="001D6107">
        <w:tc>
          <w:tcPr>
            <w:tcW w:w="709" w:type="dxa"/>
            <w:shd w:val="clear" w:color="auto" w:fill="auto"/>
            <w:vAlign w:val="center"/>
          </w:tcPr>
          <w:p w:rsidR="009805D8" w:rsidRPr="00666281" w:rsidRDefault="009805D8" w:rsidP="001D6107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9CB" w:rsidRDefault="00D91BE8" w:rsidP="00C76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Vlastní budova </w:t>
            </w:r>
          </w:p>
          <w:p w:rsidR="009805D8" w:rsidRPr="00666281" w:rsidRDefault="00C769CB" w:rsidP="00C76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vč. oplocení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5D8" w:rsidRPr="00666281" w:rsidRDefault="00D91BE8" w:rsidP="00104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04E9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104E9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0 000 Kč</w:t>
            </w:r>
          </w:p>
        </w:tc>
        <w:tc>
          <w:tcPr>
            <w:tcW w:w="2410" w:type="dxa"/>
            <w:shd w:val="clear" w:color="auto" w:fill="auto"/>
          </w:tcPr>
          <w:p w:rsidR="001D6107" w:rsidRDefault="00D91BE8" w:rsidP="00980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Povodeň</w:t>
            </w:r>
            <w:r w:rsidR="001D61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záplava, </w:t>
            </w:r>
          </w:p>
          <w:p w:rsidR="001D6107" w:rsidRDefault="00D91BE8" w:rsidP="00980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tíha sněhu nebo námrazy </w:t>
            </w:r>
          </w:p>
          <w:p w:rsidR="001D6107" w:rsidRDefault="00D91BE8" w:rsidP="00980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9805D8" w:rsidRPr="00666281" w:rsidRDefault="00D91BE8" w:rsidP="00980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10 000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5D8" w:rsidRPr="00666281" w:rsidRDefault="00CD75D7" w:rsidP="00D91BE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5D8" w:rsidRPr="00666281" w:rsidRDefault="00D91BE8" w:rsidP="00D9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5D8" w:rsidRPr="00666281" w:rsidRDefault="00D91BE8" w:rsidP="00D9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1D6107" w:rsidRPr="006368D9" w:rsidTr="001D6107">
        <w:tc>
          <w:tcPr>
            <w:tcW w:w="709" w:type="dxa"/>
            <w:shd w:val="clear" w:color="auto" w:fill="auto"/>
            <w:vAlign w:val="center"/>
          </w:tcPr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107" w:rsidRPr="00666281" w:rsidRDefault="001D6107" w:rsidP="001D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4 390 000 Kč</w:t>
            </w:r>
          </w:p>
        </w:tc>
        <w:tc>
          <w:tcPr>
            <w:tcW w:w="2410" w:type="dxa"/>
            <w:shd w:val="clear" w:color="auto" w:fill="auto"/>
          </w:tcPr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 </w:t>
            </w:r>
          </w:p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1D6107" w:rsidRPr="006368D9" w:rsidTr="001D6107">
        <w:tc>
          <w:tcPr>
            <w:tcW w:w="709" w:type="dxa"/>
            <w:shd w:val="clear" w:color="auto" w:fill="auto"/>
            <w:vAlign w:val="center"/>
          </w:tcPr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zásob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107" w:rsidRPr="00666281" w:rsidRDefault="001D6107" w:rsidP="001D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 Kč</w:t>
            </w:r>
          </w:p>
        </w:tc>
        <w:tc>
          <w:tcPr>
            <w:tcW w:w="2410" w:type="dxa"/>
            <w:shd w:val="clear" w:color="auto" w:fill="auto"/>
          </w:tcPr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1D6107" w:rsidRPr="006368D9" w:rsidTr="001D6107">
        <w:tc>
          <w:tcPr>
            <w:tcW w:w="709" w:type="dxa"/>
            <w:shd w:val="clear" w:color="auto" w:fill="auto"/>
            <w:vAlign w:val="center"/>
          </w:tcPr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finanční prostředky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107" w:rsidRPr="00666281" w:rsidRDefault="001D6107" w:rsidP="001D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2410" w:type="dxa"/>
            <w:shd w:val="clear" w:color="auto" w:fill="auto"/>
          </w:tcPr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1D6107" w:rsidRPr="00666281" w:rsidRDefault="001D6107" w:rsidP="001D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1 000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DE2BC7" w:rsidP="00DE2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D6107">
              <w:rPr>
                <w:sz w:val="20"/>
                <w:szCs w:val="20"/>
              </w:rPr>
              <w:t>00 000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107" w:rsidRPr="00666281" w:rsidRDefault="001D6107" w:rsidP="00D9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1D6107" w:rsidRPr="006368D9" w:rsidTr="001D6107">
        <w:tc>
          <w:tcPr>
            <w:tcW w:w="10349" w:type="dxa"/>
            <w:gridSpan w:val="7"/>
            <w:shd w:val="clear" w:color="auto" w:fill="auto"/>
          </w:tcPr>
          <w:p w:rsidR="001D6107" w:rsidRPr="00666281" w:rsidRDefault="001D6107" w:rsidP="009805D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9805D8" w:rsidRPr="006368D9" w:rsidRDefault="009805D8" w:rsidP="009805D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</w:t>
      </w:r>
      <w:r w:rsidR="009928BB" w:rsidRPr="006368D9">
        <w:rPr>
          <w:sz w:val="16"/>
          <w:szCs w:val="16"/>
        </w:rPr>
        <w:t>sjednává se pojištění s pojistnou hodnotou uvedenou v příslušných pojistných podmínkách</w:t>
      </w:r>
    </w:p>
    <w:p w:rsidR="009928BB" w:rsidRDefault="009928BB" w:rsidP="007A4E91">
      <w:pPr>
        <w:rPr>
          <w:sz w:val="20"/>
          <w:szCs w:val="20"/>
        </w:rPr>
      </w:pPr>
    </w:p>
    <w:p w:rsidR="00C769CB" w:rsidRDefault="00C769CB" w:rsidP="007A4E91">
      <w:pPr>
        <w:rPr>
          <w:sz w:val="20"/>
          <w:szCs w:val="20"/>
        </w:rPr>
      </w:pPr>
    </w:p>
    <w:p w:rsidR="001D6107" w:rsidRPr="00D06D34" w:rsidRDefault="001D6107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701"/>
        <w:gridCol w:w="2410"/>
        <w:gridCol w:w="1276"/>
        <w:gridCol w:w="1276"/>
        <w:gridCol w:w="1134"/>
      </w:tblGrid>
      <w:tr w:rsidR="001D6107" w:rsidRPr="006368D9" w:rsidTr="00CF256E">
        <w:tc>
          <w:tcPr>
            <w:tcW w:w="10349" w:type="dxa"/>
            <w:gridSpan w:val="7"/>
            <w:shd w:val="clear" w:color="auto" w:fill="auto"/>
          </w:tcPr>
          <w:p w:rsidR="001D6107" w:rsidRPr="00666281" w:rsidRDefault="001D6107" w:rsidP="00CF256E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F256E" w:rsidRPr="00CF256E">
              <w:rPr>
                <w:sz w:val="20"/>
                <w:szCs w:val="20"/>
              </w:rPr>
              <w:t>Praha 5-Motol, Plzeňská ulice – areál krematoria</w:t>
            </w:r>
          </w:p>
        </w:tc>
      </w:tr>
      <w:tr w:rsidR="001D6107" w:rsidRPr="006368D9" w:rsidTr="00CF256E">
        <w:tc>
          <w:tcPr>
            <w:tcW w:w="10349" w:type="dxa"/>
            <w:gridSpan w:val="7"/>
            <w:shd w:val="clear" w:color="auto" w:fill="auto"/>
          </w:tcPr>
          <w:p w:rsidR="001D6107" w:rsidRPr="00CA248D" w:rsidRDefault="001D6107" w:rsidP="00CF256E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1D6107" w:rsidRPr="006368D9" w:rsidTr="00CF256E">
        <w:tc>
          <w:tcPr>
            <w:tcW w:w="10349" w:type="dxa"/>
            <w:gridSpan w:val="7"/>
            <w:shd w:val="clear" w:color="auto" w:fill="auto"/>
          </w:tcPr>
          <w:p w:rsidR="001D6107" w:rsidRPr="00666281" w:rsidRDefault="001D6107" w:rsidP="00CF256E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  <w:r>
              <w:rPr>
                <w:sz w:val="20"/>
                <w:szCs w:val="20"/>
              </w:rPr>
              <w:t>, DZ101, DZ112</w:t>
            </w:r>
          </w:p>
        </w:tc>
      </w:tr>
      <w:tr w:rsidR="001D6107" w:rsidRPr="006368D9" w:rsidTr="00CF256E">
        <w:tc>
          <w:tcPr>
            <w:tcW w:w="709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1D6107" w:rsidRPr="00666281" w:rsidRDefault="001D6107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107" w:rsidRPr="00666281" w:rsidRDefault="001D6107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6107" w:rsidRPr="006368D9" w:rsidTr="00CF256E">
        <w:tc>
          <w:tcPr>
            <w:tcW w:w="709" w:type="dxa"/>
            <w:shd w:val="clear" w:color="auto" w:fill="auto"/>
            <w:vAlign w:val="center"/>
          </w:tcPr>
          <w:p w:rsidR="001D6107" w:rsidRPr="00666281" w:rsidRDefault="001D6107" w:rsidP="00CF256E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9CB" w:rsidRDefault="001D6107" w:rsidP="00C76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Vlastní budova </w:t>
            </w:r>
          </w:p>
          <w:p w:rsidR="001D6107" w:rsidRPr="00666281" w:rsidRDefault="00C769CB" w:rsidP="00C76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vč. oplocení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107" w:rsidRPr="00666281" w:rsidRDefault="00104E9D" w:rsidP="00104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1D6107">
              <w:rPr>
                <w:sz w:val="20"/>
                <w:szCs w:val="20"/>
              </w:rPr>
              <w:t> </w:t>
            </w:r>
            <w:r w:rsidR="00CF256E">
              <w:rPr>
                <w:sz w:val="20"/>
                <w:szCs w:val="20"/>
              </w:rPr>
              <w:t>000</w:t>
            </w:r>
            <w:r w:rsidR="001D6107">
              <w:rPr>
                <w:sz w:val="20"/>
                <w:szCs w:val="20"/>
              </w:rPr>
              <w:t> 000 Kč</w:t>
            </w:r>
          </w:p>
        </w:tc>
        <w:tc>
          <w:tcPr>
            <w:tcW w:w="2410" w:type="dxa"/>
            <w:shd w:val="clear" w:color="auto" w:fill="auto"/>
          </w:tcPr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tíha sněhu nebo námrazy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1D6107" w:rsidRPr="00666281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10 000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1D6107" w:rsidRPr="006368D9" w:rsidTr="00CF256E">
        <w:tc>
          <w:tcPr>
            <w:tcW w:w="709" w:type="dxa"/>
            <w:shd w:val="clear" w:color="auto" w:fill="auto"/>
            <w:vAlign w:val="center"/>
          </w:tcPr>
          <w:p w:rsidR="001D6107" w:rsidRPr="00666281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107" w:rsidRPr="00666281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107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22 710</w:t>
            </w:r>
            <w:r w:rsidR="001D6107">
              <w:rPr>
                <w:sz w:val="20"/>
                <w:szCs w:val="20"/>
              </w:rPr>
              <w:t> 000 Kč</w:t>
            </w:r>
          </w:p>
        </w:tc>
        <w:tc>
          <w:tcPr>
            <w:tcW w:w="2410" w:type="dxa"/>
            <w:shd w:val="clear" w:color="auto" w:fill="auto"/>
          </w:tcPr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 </w:t>
            </w:r>
          </w:p>
          <w:p w:rsidR="001D6107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1D6107" w:rsidRPr="00666281" w:rsidRDefault="001D6107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107" w:rsidRPr="00666281" w:rsidRDefault="001D6107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1D6107" w:rsidRPr="006368D9" w:rsidTr="00CF256E">
        <w:tc>
          <w:tcPr>
            <w:tcW w:w="10349" w:type="dxa"/>
            <w:gridSpan w:val="7"/>
            <w:shd w:val="clear" w:color="auto" w:fill="auto"/>
          </w:tcPr>
          <w:p w:rsidR="001D6107" w:rsidRPr="00666281" w:rsidRDefault="001D6107" w:rsidP="00CF256E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1D6107" w:rsidRPr="006368D9" w:rsidRDefault="001D6107" w:rsidP="001D6107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Default="001D6107" w:rsidP="007A4E91">
      <w:pPr>
        <w:rPr>
          <w:sz w:val="20"/>
          <w:szCs w:val="20"/>
        </w:rPr>
      </w:pPr>
    </w:p>
    <w:p w:rsidR="00CF256E" w:rsidRPr="00D06D34" w:rsidRDefault="00CF256E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2126"/>
        <w:gridCol w:w="1134"/>
        <w:gridCol w:w="992"/>
        <w:gridCol w:w="1134"/>
      </w:tblGrid>
      <w:tr w:rsidR="00CF256E" w:rsidRPr="006368D9" w:rsidTr="00104E9D">
        <w:tc>
          <w:tcPr>
            <w:tcW w:w="10206" w:type="dxa"/>
            <w:gridSpan w:val="7"/>
            <w:shd w:val="clear" w:color="auto" w:fill="auto"/>
          </w:tcPr>
          <w:p w:rsidR="00CF256E" w:rsidRPr="00666281" w:rsidRDefault="00CF256E" w:rsidP="00CF256E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F256E">
              <w:rPr>
                <w:sz w:val="20"/>
                <w:szCs w:val="20"/>
              </w:rPr>
              <w:t>Praha 10-Strašnice, Vinohradská ul. – areál krematoria</w:t>
            </w:r>
          </w:p>
        </w:tc>
      </w:tr>
      <w:tr w:rsidR="00CF256E" w:rsidRPr="006368D9" w:rsidTr="00104E9D">
        <w:tc>
          <w:tcPr>
            <w:tcW w:w="10206" w:type="dxa"/>
            <w:gridSpan w:val="7"/>
            <w:shd w:val="clear" w:color="auto" w:fill="auto"/>
          </w:tcPr>
          <w:p w:rsidR="00CF256E" w:rsidRPr="00CA248D" w:rsidRDefault="00CF256E" w:rsidP="00CF256E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CF256E" w:rsidRPr="006368D9" w:rsidTr="00104E9D">
        <w:tc>
          <w:tcPr>
            <w:tcW w:w="10206" w:type="dxa"/>
            <w:gridSpan w:val="7"/>
            <w:shd w:val="clear" w:color="auto" w:fill="auto"/>
          </w:tcPr>
          <w:p w:rsidR="00CF256E" w:rsidRPr="00666281" w:rsidRDefault="00CF256E" w:rsidP="00CF256E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  <w:r>
              <w:rPr>
                <w:sz w:val="20"/>
                <w:szCs w:val="20"/>
              </w:rPr>
              <w:t>, DZ101, DZ112</w:t>
            </w:r>
          </w:p>
        </w:tc>
      </w:tr>
      <w:tr w:rsidR="00CF256E" w:rsidRPr="006368D9" w:rsidTr="00104E9D">
        <w:tc>
          <w:tcPr>
            <w:tcW w:w="709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CF256E" w:rsidRPr="00666281" w:rsidRDefault="00CF256E" w:rsidP="00CF256E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Pr="00666281" w:rsidRDefault="00CF256E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F256E" w:rsidRPr="006368D9" w:rsidTr="00104E9D">
        <w:tc>
          <w:tcPr>
            <w:tcW w:w="709" w:type="dxa"/>
            <w:shd w:val="clear" w:color="auto" w:fill="auto"/>
            <w:vAlign w:val="center"/>
          </w:tcPr>
          <w:p w:rsidR="00CF256E" w:rsidRPr="00666281" w:rsidRDefault="00CF256E" w:rsidP="00CF256E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9CB" w:rsidRDefault="00CF256E" w:rsidP="00C76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Vlastní budova </w:t>
            </w:r>
          </w:p>
          <w:p w:rsidR="00CF256E" w:rsidRPr="00666281" w:rsidRDefault="00C769CB" w:rsidP="00C76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vč. oplocení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256E" w:rsidRPr="00666281" w:rsidRDefault="00CF256E" w:rsidP="00104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04E9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104E9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0 000 Kč</w:t>
            </w:r>
          </w:p>
        </w:tc>
        <w:tc>
          <w:tcPr>
            <w:tcW w:w="2126" w:type="dxa"/>
            <w:shd w:val="clear" w:color="auto" w:fill="auto"/>
          </w:tcPr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sesuv, zemětřesení, tíha sněhu nebo námrazy </w:t>
            </w:r>
          </w:p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 20 000 Kč,</w:t>
            </w:r>
          </w:p>
          <w:p w:rsidR="00CF256E" w:rsidRPr="00666281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10 000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CF256E" w:rsidRPr="006368D9" w:rsidTr="00104E9D">
        <w:tc>
          <w:tcPr>
            <w:tcW w:w="709" w:type="dxa"/>
            <w:shd w:val="clear" w:color="auto" w:fill="auto"/>
            <w:vAlign w:val="center"/>
          </w:tcPr>
          <w:p w:rsidR="00CF256E" w:rsidRPr="00666281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256E" w:rsidRPr="00666281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25 780 000 Kč</w:t>
            </w:r>
          </w:p>
        </w:tc>
        <w:tc>
          <w:tcPr>
            <w:tcW w:w="2126" w:type="dxa"/>
            <w:shd w:val="clear" w:color="auto" w:fill="auto"/>
          </w:tcPr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 </w:t>
            </w:r>
          </w:p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CF256E" w:rsidRPr="00666281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Pr="00666281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CF256E" w:rsidRPr="006368D9" w:rsidTr="00104E9D">
        <w:tc>
          <w:tcPr>
            <w:tcW w:w="709" w:type="dxa"/>
            <w:shd w:val="clear" w:color="auto" w:fill="auto"/>
            <w:vAlign w:val="center"/>
          </w:tcPr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4E9D" w:rsidRDefault="00CF256E" w:rsidP="00104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movit</w:t>
            </w:r>
            <w:r w:rsidR="00104E9D">
              <w:rPr>
                <w:sz w:val="20"/>
                <w:szCs w:val="20"/>
              </w:rPr>
              <w:t xml:space="preserve">é zařízení a vybavení </w:t>
            </w:r>
          </w:p>
          <w:p w:rsidR="00CF256E" w:rsidRDefault="00CF256E" w:rsidP="00104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F256E">
              <w:rPr>
                <w:sz w:val="20"/>
                <w:szCs w:val="20"/>
              </w:rPr>
              <w:t>komunální stroj Egholm 2100 s</w:t>
            </w:r>
            <w:r w:rsidR="00104E9D">
              <w:rPr>
                <w:sz w:val="20"/>
                <w:szCs w:val="20"/>
              </w:rPr>
              <w:t> </w:t>
            </w:r>
            <w:r w:rsidRPr="00CF256E">
              <w:rPr>
                <w:sz w:val="20"/>
                <w:szCs w:val="20"/>
              </w:rPr>
              <w:t>příslušenstvím, rok výr.</w:t>
            </w:r>
            <w:r w:rsidR="00104E9D">
              <w:rPr>
                <w:sz w:val="20"/>
                <w:szCs w:val="20"/>
              </w:rPr>
              <w:t> </w:t>
            </w:r>
            <w:r w:rsidRPr="00CF256E">
              <w:rPr>
                <w:sz w:val="20"/>
                <w:szCs w:val="20"/>
              </w:rPr>
              <w:t>2007,</w:t>
            </w:r>
            <w:r>
              <w:rPr>
                <w:sz w:val="20"/>
                <w:szCs w:val="20"/>
              </w:rPr>
              <w:t xml:space="preserve"> </w:t>
            </w:r>
            <w:r w:rsidRPr="00CF256E">
              <w:rPr>
                <w:sz w:val="20"/>
                <w:szCs w:val="20"/>
              </w:rPr>
              <w:t>VIN</w:t>
            </w:r>
            <w:r w:rsidR="00104E9D">
              <w:rPr>
                <w:sz w:val="20"/>
                <w:szCs w:val="20"/>
              </w:rPr>
              <w:t xml:space="preserve"> </w:t>
            </w:r>
            <w:r w:rsidRPr="00CF256E">
              <w:rPr>
                <w:sz w:val="20"/>
                <w:szCs w:val="20"/>
              </w:rPr>
              <w:t>UH9PFZ00207EM1179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256E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1 669 770 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CF256E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CF256E" w:rsidRPr="00666281" w:rsidRDefault="00CF256E" w:rsidP="00CF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Pr="008F1C82" w:rsidRDefault="00CF256E" w:rsidP="00CF256E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56E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56E" w:rsidRDefault="00CF256E" w:rsidP="00CF2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CF256E" w:rsidRPr="006368D9" w:rsidTr="00104E9D">
        <w:tc>
          <w:tcPr>
            <w:tcW w:w="10206" w:type="dxa"/>
            <w:gridSpan w:val="7"/>
            <w:shd w:val="clear" w:color="auto" w:fill="auto"/>
          </w:tcPr>
          <w:p w:rsidR="00CF256E" w:rsidRPr="00666281" w:rsidRDefault="00CF256E" w:rsidP="00ED7D27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CF256E" w:rsidRPr="006368D9" w:rsidRDefault="00CF256E" w:rsidP="00CF256E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Pr="00104E9D" w:rsidRDefault="001D6107" w:rsidP="007A4E91">
      <w:pPr>
        <w:rPr>
          <w:sz w:val="16"/>
          <w:szCs w:val="16"/>
        </w:rPr>
      </w:pPr>
    </w:p>
    <w:p w:rsidR="007211D0" w:rsidRPr="00D06D34" w:rsidRDefault="007211D0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2126"/>
        <w:gridCol w:w="1134"/>
        <w:gridCol w:w="992"/>
        <w:gridCol w:w="1134"/>
      </w:tblGrid>
      <w:tr w:rsidR="007211D0" w:rsidRPr="006368D9" w:rsidTr="004B075D">
        <w:tc>
          <w:tcPr>
            <w:tcW w:w="10206" w:type="dxa"/>
            <w:gridSpan w:val="7"/>
            <w:shd w:val="clear" w:color="auto" w:fill="auto"/>
          </w:tcPr>
          <w:p w:rsidR="007211D0" w:rsidRPr="00666281" w:rsidRDefault="007211D0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11D0">
              <w:rPr>
                <w:sz w:val="20"/>
                <w:szCs w:val="20"/>
              </w:rPr>
              <w:t>Praha 1-Staré Město, Staroměstské nám. 551/17, PSČ 110 00 – provozovna</w:t>
            </w:r>
          </w:p>
        </w:tc>
      </w:tr>
      <w:tr w:rsidR="007211D0" w:rsidRPr="006368D9" w:rsidTr="004B075D">
        <w:tc>
          <w:tcPr>
            <w:tcW w:w="10206" w:type="dxa"/>
            <w:gridSpan w:val="7"/>
            <w:shd w:val="clear" w:color="auto" w:fill="auto"/>
          </w:tcPr>
          <w:p w:rsidR="007211D0" w:rsidRPr="00CA248D" w:rsidRDefault="007211D0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7211D0" w:rsidRPr="006368D9" w:rsidTr="004B075D">
        <w:tc>
          <w:tcPr>
            <w:tcW w:w="10206" w:type="dxa"/>
            <w:gridSpan w:val="7"/>
            <w:shd w:val="clear" w:color="auto" w:fill="auto"/>
          </w:tcPr>
          <w:p w:rsidR="007211D0" w:rsidRPr="00666281" w:rsidRDefault="007211D0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  <w:r>
              <w:rPr>
                <w:sz w:val="20"/>
                <w:szCs w:val="20"/>
              </w:rPr>
              <w:t>, DZ101, DZ112</w:t>
            </w:r>
          </w:p>
        </w:tc>
      </w:tr>
      <w:tr w:rsidR="007211D0" w:rsidRPr="006368D9" w:rsidTr="004B075D">
        <w:tc>
          <w:tcPr>
            <w:tcW w:w="709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7211D0" w:rsidRPr="00666281" w:rsidRDefault="007211D0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11D0" w:rsidRPr="00666281" w:rsidRDefault="007211D0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211D0" w:rsidRPr="006368D9" w:rsidTr="004B075D">
        <w:tc>
          <w:tcPr>
            <w:tcW w:w="709" w:type="dxa"/>
            <w:shd w:val="clear" w:color="auto" w:fill="auto"/>
            <w:vAlign w:val="center"/>
          </w:tcPr>
          <w:p w:rsidR="007211D0" w:rsidRPr="00666281" w:rsidRDefault="00F1320E" w:rsidP="00F13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11D0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11D0" w:rsidRPr="00666281" w:rsidRDefault="007211D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11D0" w:rsidRPr="00666281" w:rsidRDefault="00F1320E" w:rsidP="00F13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211D0">
              <w:rPr>
                <w:sz w:val="20"/>
                <w:szCs w:val="20"/>
              </w:rPr>
              <w:t> 000 Kč</w:t>
            </w:r>
          </w:p>
        </w:tc>
        <w:tc>
          <w:tcPr>
            <w:tcW w:w="2126" w:type="dxa"/>
            <w:shd w:val="clear" w:color="auto" w:fill="auto"/>
          </w:tcPr>
          <w:p w:rsidR="007211D0" w:rsidRDefault="007211D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7211D0" w:rsidRDefault="007211D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7211D0" w:rsidRDefault="007211D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7211D0" w:rsidRPr="00666281" w:rsidRDefault="007211D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11D0" w:rsidRPr="00666281" w:rsidRDefault="007211D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7211D0" w:rsidRPr="006368D9" w:rsidTr="004B075D">
        <w:tc>
          <w:tcPr>
            <w:tcW w:w="10206" w:type="dxa"/>
            <w:gridSpan w:val="7"/>
            <w:shd w:val="clear" w:color="auto" w:fill="auto"/>
          </w:tcPr>
          <w:p w:rsidR="007211D0" w:rsidRPr="00666281" w:rsidRDefault="007211D0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7211D0" w:rsidRPr="006368D9" w:rsidRDefault="007211D0" w:rsidP="007211D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Pr="00104E9D" w:rsidRDefault="001D6107" w:rsidP="007A4E91">
      <w:pPr>
        <w:rPr>
          <w:sz w:val="16"/>
          <w:szCs w:val="16"/>
        </w:rPr>
      </w:pPr>
    </w:p>
    <w:p w:rsidR="00F1320E" w:rsidRPr="00D06D34" w:rsidRDefault="00F1320E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2126"/>
        <w:gridCol w:w="1134"/>
        <w:gridCol w:w="992"/>
        <w:gridCol w:w="1134"/>
      </w:tblGrid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666281" w:rsidRDefault="00F1320E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320E">
              <w:rPr>
                <w:sz w:val="20"/>
                <w:szCs w:val="20"/>
              </w:rPr>
              <w:t>Praha 10-Strašnice, Vinohradská ul. – provozovna</w:t>
            </w:r>
          </w:p>
        </w:tc>
      </w:tr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CA248D" w:rsidRDefault="00F1320E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666281" w:rsidRDefault="00F1320E" w:rsidP="004B075D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</w:p>
        </w:tc>
      </w:tr>
      <w:tr w:rsidR="00F1320E" w:rsidRPr="006368D9" w:rsidTr="004B075D">
        <w:tc>
          <w:tcPr>
            <w:tcW w:w="709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1320E" w:rsidRPr="006368D9" w:rsidTr="004B075D">
        <w:tc>
          <w:tcPr>
            <w:tcW w:w="709" w:type="dxa"/>
            <w:shd w:val="clear" w:color="auto" w:fill="auto"/>
            <w:vAlign w:val="center"/>
          </w:tcPr>
          <w:p w:rsidR="00F1320E" w:rsidRPr="00666281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20E" w:rsidRPr="00666281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2126" w:type="dxa"/>
            <w:shd w:val="clear" w:color="auto" w:fill="auto"/>
          </w:tcPr>
          <w:p w:rsidR="00F1320E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F1320E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F1320E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F1320E" w:rsidRPr="00666281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666281" w:rsidRDefault="00F1320E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F1320E" w:rsidRPr="006368D9" w:rsidRDefault="00F1320E" w:rsidP="00104E9D">
      <w:pPr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Default="001D6107" w:rsidP="007A4E91">
      <w:pPr>
        <w:rPr>
          <w:sz w:val="20"/>
          <w:szCs w:val="20"/>
        </w:rPr>
      </w:pPr>
    </w:p>
    <w:p w:rsidR="00C769CB" w:rsidRDefault="00C769CB" w:rsidP="007A4E91">
      <w:pPr>
        <w:rPr>
          <w:sz w:val="20"/>
          <w:szCs w:val="20"/>
        </w:rPr>
      </w:pPr>
    </w:p>
    <w:p w:rsidR="00F1320E" w:rsidRPr="00D06D34" w:rsidRDefault="00F1320E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2126"/>
        <w:gridCol w:w="1134"/>
        <w:gridCol w:w="992"/>
        <w:gridCol w:w="1134"/>
      </w:tblGrid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666281" w:rsidRDefault="00F1320E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320E">
              <w:rPr>
                <w:sz w:val="20"/>
                <w:szCs w:val="20"/>
              </w:rPr>
              <w:t>Praha 10-Vršovice, Oblouková 25, PSČ 101 00 – provozovna</w:t>
            </w:r>
          </w:p>
        </w:tc>
      </w:tr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CA248D" w:rsidRDefault="00F1320E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666281" w:rsidRDefault="00F1320E" w:rsidP="004B075D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</w:p>
        </w:tc>
      </w:tr>
      <w:tr w:rsidR="00F1320E" w:rsidRPr="006368D9" w:rsidTr="004B075D">
        <w:tc>
          <w:tcPr>
            <w:tcW w:w="709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F1320E" w:rsidRPr="00666281" w:rsidRDefault="00F1320E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1320E" w:rsidRPr="006368D9" w:rsidTr="004B075D">
        <w:tc>
          <w:tcPr>
            <w:tcW w:w="709" w:type="dxa"/>
            <w:shd w:val="clear" w:color="auto" w:fill="auto"/>
            <w:vAlign w:val="center"/>
          </w:tcPr>
          <w:p w:rsidR="00F1320E" w:rsidRPr="00666281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20E" w:rsidRPr="00666281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320E" w:rsidRPr="00666281" w:rsidRDefault="00F1320E" w:rsidP="00F13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 Kč</w:t>
            </w:r>
          </w:p>
        </w:tc>
        <w:tc>
          <w:tcPr>
            <w:tcW w:w="2126" w:type="dxa"/>
            <w:shd w:val="clear" w:color="auto" w:fill="auto"/>
          </w:tcPr>
          <w:p w:rsidR="00F1320E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F1320E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F1320E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F1320E" w:rsidRPr="00666281" w:rsidRDefault="00F1320E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E" w:rsidRPr="00666281" w:rsidRDefault="00F1320E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F1320E" w:rsidRPr="006368D9" w:rsidTr="004B075D">
        <w:tc>
          <w:tcPr>
            <w:tcW w:w="10206" w:type="dxa"/>
            <w:gridSpan w:val="7"/>
            <w:shd w:val="clear" w:color="auto" w:fill="auto"/>
          </w:tcPr>
          <w:p w:rsidR="00F1320E" w:rsidRPr="00666281" w:rsidRDefault="00F1320E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F1320E" w:rsidRPr="006368D9" w:rsidRDefault="00F1320E" w:rsidP="00F1320E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Default="001D6107" w:rsidP="007A4E91">
      <w:pPr>
        <w:rPr>
          <w:sz w:val="20"/>
          <w:szCs w:val="20"/>
        </w:rPr>
      </w:pPr>
    </w:p>
    <w:p w:rsidR="00C769CB" w:rsidRDefault="00C769CB" w:rsidP="007A4E91">
      <w:pPr>
        <w:rPr>
          <w:sz w:val="20"/>
          <w:szCs w:val="20"/>
        </w:rPr>
      </w:pPr>
    </w:p>
    <w:p w:rsidR="004B075D" w:rsidRPr="00D06D34" w:rsidRDefault="004B075D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2126"/>
        <w:gridCol w:w="1134"/>
        <w:gridCol w:w="992"/>
        <w:gridCol w:w="1134"/>
      </w:tblGrid>
      <w:tr w:rsidR="004B075D" w:rsidRPr="006368D9" w:rsidTr="004B075D">
        <w:tc>
          <w:tcPr>
            <w:tcW w:w="10206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075D">
              <w:rPr>
                <w:sz w:val="20"/>
                <w:szCs w:val="20"/>
              </w:rPr>
              <w:t>Praha 6-Bubeneč, Národní obrany 39, PSČ 160 00 – provozovna</w:t>
            </w:r>
          </w:p>
        </w:tc>
      </w:tr>
      <w:tr w:rsidR="004B075D" w:rsidRPr="006368D9" w:rsidTr="004B075D">
        <w:tc>
          <w:tcPr>
            <w:tcW w:w="10206" w:type="dxa"/>
            <w:gridSpan w:val="7"/>
            <w:shd w:val="clear" w:color="auto" w:fill="auto"/>
          </w:tcPr>
          <w:p w:rsidR="004B075D" w:rsidRPr="00CA248D" w:rsidRDefault="004B075D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4B075D" w:rsidRPr="006368D9" w:rsidTr="004B075D">
        <w:tc>
          <w:tcPr>
            <w:tcW w:w="10206" w:type="dxa"/>
            <w:gridSpan w:val="7"/>
            <w:shd w:val="clear" w:color="auto" w:fill="auto"/>
          </w:tcPr>
          <w:p w:rsidR="004B075D" w:rsidRPr="00666281" w:rsidRDefault="004B075D" w:rsidP="004B075D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</w:p>
        </w:tc>
      </w:tr>
      <w:tr w:rsidR="004B075D" w:rsidRPr="006368D9" w:rsidTr="004B075D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075D" w:rsidRPr="006368D9" w:rsidTr="004B075D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75D" w:rsidRPr="00666281" w:rsidRDefault="004B075D" w:rsidP="004B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 Kč</w:t>
            </w:r>
          </w:p>
        </w:tc>
        <w:tc>
          <w:tcPr>
            <w:tcW w:w="2126" w:type="dxa"/>
            <w:shd w:val="clear" w:color="auto" w:fill="auto"/>
          </w:tcPr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4B075D" w:rsidRPr="006368D9" w:rsidTr="004B075D">
        <w:tc>
          <w:tcPr>
            <w:tcW w:w="10206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4B075D" w:rsidRPr="006368D9" w:rsidRDefault="004B075D" w:rsidP="004B075D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Default="001D6107" w:rsidP="007A4E91">
      <w:pPr>
        <w:rPr>
          <w:sz w:val="20"/>
          <w:szCs w:val="20"/>
        </w:rPr>
      </w:pPr>
    </w:p>
    <w:p w:rsidR="00C769CB" w:rsidRDefault="00C769CB" w:rsidP="007A4E91">
      <w:pPr>
        <w:rPr>
          <w:sz w:val="20"/>
          <w:szCs w:val="20"/>
        </w:rPr>
      </w:pPr>
    </w:p>
    <w:p w:rsidR="004B075D" w:rsidRPr="00D06D34" w:rsidRDefault="004B075D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2126"/>
        <w:gridCol w:w="1134"/>
        <w:gridCol w:w="992"/>
        <w:gridCol w:w="1134"/>
      </w:tblGrid>
      <w:tr w:rsidR="004B075D" w:rsidRPr="006368D9" w:rsidTr="00C61488">
        <w:tc>
          <w:tcPr>
            <w:tcW w:w="10206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075D">
              <w:rPr>
                <w:sz w:val="20"/>
                <w:szCs w:val="20"/>
              </w:rPr>
              <w:t>Praha 2-Vinohrady, Londýnská 29, PSČ 120 00 – provozovna</w:t>
            </w:r>
          </w:p>
        </w:tc>
      </w:tr>
      <w:tr w:rsidR="004B075D" w:rsidRPr="006368D9" w:rsidTr="00C61488">
        <w:tc>
          <w:tcPr>
            <w:tcW w:w="10206" w:type="dxa"/>
            <w:gridSpan w:val="7"/>
            <w:shd w:val="clear" w:color="auto" w:fill="auto"/>
          </w:tcPr>
          <w:p w:rsidR="004B075D" w:rsidRPr="00CA248D" w:rsidRDefault="004B075D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4B075D" w:rsidRPr="006368D9" w:rsidTr="00C61488">
        <w:tc>
          <w:tcPr>
            <w:tcW w:w="10206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</w:p>
        </w:tc>
      </w:tr>
      <w:tr w:rsidR="004B075D" w:rsidRPr="006368D9" w:rsidTr="00C61488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075D" w:rsidRPr="006368D9" w:rsidTr="00C61488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75D" w:rsidRPr="00666281" w:rsidRDefault="004B075D" w:rsidP="004B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 Kč</w:t>
            </w:r>
          </w:p>
        </w:tc>
        <w:tc>
          <w:tcPr>
            <w:tcW w:w="2126" w:type="dxa"/>
            <w:shd w:val="clear" w:color="auto" w:fill="auto"/>
          </w:tcPr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4B075D" w:rsidRPr="006368D9" w:rsidTr="00C61488">
        <w:tc>
          <w:tcPr>
            <w:tcW w:w="10206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4B075D" w:rsidRPr="006368D9" w:rsidRDefault="004B075D" w:rsidP="004B075D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Default="00C769CB" w:rsidP="007A4E9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B075D" w:rsidRPr="00D06D34" w:rsidRDefault="004B075D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1559"/>
        <w:gridCol w:w="2126"/>
        <w:gridCol w:w="1134"/>
        <w:gridCol w:w="992"/>
        <w:gridCol w:w="1134"/>
      </w:tblGrid>
      <w:tr w:rsidR="004B075D" w:rsidRPr="006368D9" w:rsidTr="00E30A30">
        <w:tc>
          <w:tcPr>
            <w:tcW w:w="10347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075D">
              <w:rPr>
                <w:sz w:val="20"/>
                <w:szCs w:val="20"/>
              </w:rPr>
              <w:t>Jesenice, Průběžná 284, PSČ 252 42 – provozovna</w:t>
            </w:r>
          </w:p>
        </w:tc>
      </w:tr>
      <w:tr w:rsidR="004B075D" w:rsidRPr="006368D9" w:rsidTr="00E30A30">
        <w:tc>
          <w:tcPr>
            <w:tcW w:w="10347" w:type="dxa"/>
            <w:gridSpan w:val="7"/>
            <w:shd w:val="clear" w:color="auto" w:fill="auto"/>
          </w:tcPr>
          <w:p w:rsidR="004B075D" w:rsidRPr="00CA248D" w:rsidRDefault="004B075D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4B075D" w:rsidRPr="006368D9" w:rsidTr="00E30A30">
        <w:tc>
          <w:tcPr>
            <w:tcW w:w="10347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</w:p>
        </w:tc>
      </w:tr>
      <w:tr w:rsidR="004B075D" w:rsidRPr="006368D9" w:rsidTr="00E30A30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075D" w:rsidRPr="006368D9" w:rsidTr="00E30A30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 Kč</w:t>
            </w:r>
          </w:p>
        </w:tc>
        <w:tc>
          <w:tcPr>
            <w:tcW w:w="2126" w:type="dxa"/>
            <w:shd w:val="clear" w:color="auto" w:fill="auto"/>
          </w:tcPr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zemětřesení, </w:t>
            </w:r>
          </w:p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10%, min. 20 000 Kč, </w:t>
            </w:r>
          </w:p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4B075D" w:rsidRPr="006368D9" w:rsidTr="00E30A30">
        <w:tc>
          <w:tcPr>
            <w:tcW w:w="10347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4B075D" w:rsidRPr="006368D9" w:rsidRDefault="004B075D" w:rsidP="004B075D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4B075D" w:rsidRDefault="004B075D" w:rsidP="007A4E91">
      <w:pPr>
        <w:rPr>
          <w:sz w:val="20"/>
          <w:szCs w:val="20"/>
        </w:rPr>
      </w:pPr>
    </w:p>
    <w:p w:rsidR="00011F3C" w:rsidRDefault="00011F3C" w:rsidP="007A4E91">
      <w:pPr>
        <w:rPr>
          <w:sz w:val="20"/>
          <w:szCs w:val="20"/>
        </w:rPr>
      </w:pPr>
    </w:p>
    <w:p w:rsidR="004B075D" w:rsidRPr="00D06D34" w:rsidRDefault="004B075D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417"/>
        <w:gridCol w:w="3261"/>
        <w:gridCol w:w="1134"/>
        <w:gridCol w:w="992"/>
        <w:gridCol w:w="992"/>
      </w:tblGrid>
      <w:tr w:rsidR="004B075D" w:rsidRPr="006368D9" w:rsidTr="00E30A30">
        <w:tc>
          <w:tcPr>
            <w:tcW w:w="10348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075D">
              <w:rPr>
                <w:sz w:val="20"/>
                <w:szCs w:val="20"/>
              </w:rPr>
              <w:t>Praha 10-Strašnice, Vinohradská ul. – Evangelický hřbitov – správní budova</w:t>
            </w:r>
          </w:p>
        </w:tc>
      </w:tr>
      <w:tr w:rsidR="004B075D" w:rsidRPr="006368D9" w:rsidTr="00E30A30">
        <w:tc>
          <w:tcPr>
            <w:tcW w:w="10348" w:type="dxa"/>
            <w:gridSpan w:val="7"/>
            <w:shd w:val="clear" w:color="auto" w:fill="auto"/>
          </w:tcPr>
          <w:p w:rsidR="004B075D" w:rsidRPr="00CA248D" w:rsidRDefault="004B075D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4B075D" w:rsidRPr="006368D9" w:rsidTr="00E30A30">
        <w:tc>
          <w:tcPr>
            <w:tcW w:w="10348" w:type="dxa"/>
            <w:gridSpan w:val="7"/>
            <w:shd w:val="clear" w:color="auto" w:fill="auto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  <w:r w:rsidR="00011F3C">
              <w:rPr>
                <w:sz w:val="20"/>
                <w:szCs w:val="20"/>
              </w:rPr>
              <w:t>, DZ101, DZ112</w:t>
            </w:r>
          </w:p>
        </w:tc>
      </w:tr>
      <w:tr w:rsidR="004B075D" w:rsidRPr="006368D9" w:rsidTr="00E30A30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4B075D" w:rsidRPr="00666281" w:rsidRDefault="004B075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4B075D" w:rsidRPr="006368D9" w:rsidTr="00E30A30">
        <w:tc>
          <w:tcPr>
            <w:tcW w:w="709" w:type="dxa"/>
            <w:shd w:val="clear" w:color="auto" w:fill="auto"/>
            <w:vAlign w:val="center"/>
          </w:tcPr>
          <w:p w:rsidR="004B075D" w:rsidRPr="00666281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75D" w:rsidRPr="00666281" w:rsidRDefault="004B075D" w:rsidP="00E30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Vlastní budova </w:t>
            </w:r>
            <w:r w:rsidR="00C769CB">
              <w:rPr>
                <w:sz w:val="20"/>
                <w:szCs w:val="20"/>
              </w:rPr>
              <w:t>vč.</w:t>
            </w:r>
            <w:r w:rsidR="00E30A30">
              <w:rPr>
                <w:sz w:val="20"/>
                <w:szCs w:val="20"/>
              </w:rPr>
              <w:t> </w:t>
            </w:r>
            <w:r w:rsidR="00C769CB">
              <w:rPr>
                <w:sz w:val="20"/>
                <w:szCs w:val="20"/>
              </w:rPr>
              <w:t>plocení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075D" w:rsidRPr="00666281" w:rsidRDefault="004B075D" w:rsidP="004B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 Kč</w:t>
            </w:r>
          </w:p>
        </w:tc>
        <w:tc>
          <w:tcPr>
            <w:tcW w:w="3261" w:type="dxa"/>
            <w:shd w:val="clear" w:color="auto" w:fill="auto"/>
          </w:tcPr>
          <w:p w:rsidR="004B075D" w:rsidRDefault="004B075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Povodeň, záplava, sesuv, zemětřesení, tíha sněhu nebo námrazy 10%, min. 20 000 Kč,</w:t>
            </w:r>
          </w:p>
          <w:p w:rsidR="00E30A30" w:rsidRDefault="004B075D" w:rsidP="004B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pojistná nebezpečí </w:t>
            </w:r>
          </w:p>
          <w:p w:rsidR="004B075D" w:rsidRPr="00666281" w:rsidRDefault="004B075D" w:rsidP="004B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75D" w:rsidRPr="00666281" w:rsidRDefault="004B075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E30A30" w:rsidRPr="006368D9" w:rsidTr="00E30A30">
        <w:tc>
          <w:tcPr>
            <w:tcW w:w="709" w:type="dxa"/>
            <w:shd w:val="clear" w:color="auto" w:fill="auto"/>
            <w:vAlign w:val="center"/>
          </w:tcPr>
          <w:p w:rsidR="00E30A30" w:rsidRPr="00666281" w:rsidRDefault="00E30A30" w:rsidP="00C27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0A30" w:rsidRPr="00666281" w:rsidRDefault="00E30A30" w:rsidP="00C27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A30" w:rsidRPr="00666281" w:rsidRDefault="00E30A30" w:rsidP="00E30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3261" w:type="dxa"/>
            <w:shd w:val="clear" w:color="auto" w:fill="auto"/>
          </w:tcPr>
          <w:p w:rsidR="00E30A30" w:rsidRDefault="00E30A30" w:rsidP="00E30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sesuv, zemětřesení 10%, min. 20 000 Kč, ostatní pojistná nebezpečí </w:t>
            </w:r>
          </w:p>
          <w:p w:rsidR="00E30A30" w:rsidRPr="00666281" w:rsidRDefault="00E30A30" w:rsidP="00E30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A30" w:rsidRPr="00666281" w:rsidRDefault="00E30A30" w:rsidP="00C279C6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0A30" w:rsidRPr="00666281" w:rsidRDefault="00E30A30" w:rsidP="00C2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0A30" w:rsidRPr="00666281" w:rsidRDefault="00E30A30" w:rsidP="00C2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E30A30" w:rsidRPr="006368D9" w:rsidTr="00E30A30">
        <w:tc>
          <w:tcPr>
            <w:tcW w:w="10348" w:type="dxa"/>
            <w:gridSpan w:val="7"/>
            <w:shd w:val="clear" w:color="auto" w:fill="auto"/>
          </w:tcPr>
          <w:p w:rsidR="00E30A30" w:rsidRPr="00666281" w:rsidRDefault="00E30A30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4B075D" w:rsidRPr="006368D9" w:rsidRDefault="004B075D" w:rsidP="004B075D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4B075D" w:rsidRDefault="004B075D" w:rsidP="007A4E91">
      <w:pPr>
        <w:rPr>
          <w:sz w:val="20"/>
          <w:szCs w:val="20"/>
        </w:rPr>
      </w:pPr>
    </w:p>
    <w:p w:rsidR="00011F3C" w:rsidRDefault="00011F3C" w:rsidP="007A4E91">
      <w:pPr>
        <w:rPr>
          <w:sz w:val="20"/>
          <w:szCs w:val="20"/>
        </w:rPr>
      </w:pPr>
    </w:p>
    <w:p w:rsidR="00C769CB" w:rsidRPr="00D06D34" w:rsidRDefault="00C769CB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701"/>
        <w:gridCol w:w="2977"/>
        <w:gridCol w:w="1134"/>
        <w:gridCol w:w="992"/>
        <w:gridCol w:w="1134"/>
      </w:tblGrid>
      <w:tr w:rsidR="00C769CB" w:rsidRPr="006368D9" w:rsidTr="00E30A30">
        <w:tc>
          <w:tcPr>
            <w:tcW w:w="10348" w:type="dxa"/>
            <w:gridSpan w:val="7"/>
            <w:shd w:val="clear" w:color="auto" w:fill="auto"/>
          </w:tcPr>
          <w:p w:rsidR="00C769CB" w:rsidRPr="00666281" w:rsidRDefault="00C769CB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69CB">
              <w:rPr>
                <w:sz w:val="20"/>
                <w:szCs w:val="20"/>
              </w:rPr>
              <w:t>Praha 10-Strašnice, Vinohradská ul. – Evangelický hřbitov</w:t>
            </w:r>
            <w:r w:rsidR="00C96787">
              <w:rPr>
                <w:sz w:val="20"/>
                <w:szCs w:val="20"/>
              </w:rPr>
              <w:t xml:space="preserve"> - kostelík</w:t>
            </w:r>
          </w:p>
        </w:tc>
      </w:tr>
      <w:tr w:rsidR="00C769CB" w:rsidRPr="006368D9" w:rsidTr="00E30A30">
        <w:tc>
          <w:tcPr>
            <w:tcW w:w="10348" w:type="dxa"/>
            <w:gridSpan w:val="7"/>
            <w:shd w:val="clear" w:color="auto" w:fill="auto"/>
          </w:tcPr>
          <w:p w:rsidR="00C769CB" w:rsidRPr="00CA248D" w:rsidRDefault="00C769CB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C769CB" w:rsidRPr="006368D9" w:rsidTr="00E30A30">
        <w:tc>
          <w:tcPr>
            <w:tcW w:w="10348" w:type="dxa"/>
            <w:gridSpan w:val="7"/>
            <w:shd w:val="clear" w:color="auto" w:fill="auto"/>
          </w:tcPr>
          <w:p w:rsidR="00C769CB" w:rsidRPr="00666281" w:rsidRDefault="00C769CB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  <w:r w:rsidR="00011F3C">
              <w:rPr>
                <w:sz w:val="20"/>
                <w:szCs w:val="20"/>
              </w:rPr>
              <w:t>, DZ101, DZ112</w:t>
            </w:r>
          </w:p>
        </w:tc>
      </w:tr>
      <w:tr w:rsidR="00C769CB" w:rsidRPr="006368D9" w:rsidTr="00E30A30">
        <w:tc>
          <w:tcPr>
            <w:tcW w:w="709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C769CB" w:rsidRPr="00666281" w:rsidRDefault="00C769CB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9CB" w:rsidRPr="00666281" w:rsidRDefault="00C769CB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769CB" w:rsidRPr="006368D9" w:rsidTr="00E30A30">
        <w:tc>
          <w:tcPr>
            <w:tcW w:w="709" w:type="dxa"/>
            <w:shd w:val="clear" w:color="auto" w:fill="auto"/>
            <w:vAlign w:val="center"/>
          </w:tcPr>
          <w:p w:rsidR="00C769CB" w:rsidRPr="00666281" w:rsidRDefault="00C769CB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9CB" w:rsidRPr="00666281" w:rsidRDefault="00C769CB" w:rsidP="00C76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budova (kostelík)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9CB" w:rsidRPr="00666281" w:rsidRDefault="00C769CB" w:rsidP="00C76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12 000 000 Kč</w:t>
            </w:r>
          </w:p>
        </w:tc>
        <w:tc>
          <w:tcPr>
            <w:tcW w:w="2977" w:type="dxa"/>
            <w:shd w:val="clear" w:color="auto" w:fill="auto"/>
          </w:tcPr>
          <w:p w:rsidR="00C769CB" w:rsidRDefault="00C769CB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Povodeň, záplava, sesuv, zemětřesení, tíha sněhu nebo námrazy 10%, min. 20 000 Kč,</w:t>
            </w:r>
          </w:p>
          <w:p w:rsidR="00C769CB" w:rsidRPr="00666281" w:rsidRDefault="00C769CB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10 000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9CB" w:rsidRPr="00666281" w:rsidRDefault="00C769CB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C769CB" w:rsidRPr="006368D9" w:rsidTr="00E30A30">
        <w:tc>
          <w:tcPr>
            <w:tcW w:w="10348" w:type="dxa"/>
            <w:gridSpan w:val="7"/>
            <w:shd w:val="clear" w:color="auto" w:fill="auto"/>
          </w:tcPr>
          <w:p w:rsidR="00C769CB" w:rsidRPr="00666281" w:rsidRDefault="00C769CB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C769CB" w:rsidRPr="006368D9" w:rsidRDefault="00C769CB" w:rsidP="00C769C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C769CB" w:rsidRDefault="00011F3C" w:rsidP="007A4E9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11F3C" w:rsidRPr="00D06D34" w:rsidRDefault="00011F3C" w:rsidP="00C24371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Živelní pojištění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276"/>
        <w:gridCol w:w="2267"/>
        <w:gridCol w:w="1134"/>
        <w:gridCol w:w="992"/>
        <w:gridCol w:w="1134"/>
      </w:tblGrid>
      <w:tr w:rsidR="00011F3C" w:rsidRPr="006368D9" w:rsidTr="00011F3C">
        <w:tc>
          <w:tcPr>
            <w:tcW w:w="10064" w:type="dxa"/>
            <w:gridSpan w:val="7"/>
            <w:shd w:val="clear" w:color="auto" w:fill="auto"/>
          </w:tcPr>
          <w:p w:rsidR="00011F3C" w:rsidRPr="00666281" w:rsidRDefault="00011F3C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11F3C">
              <w:rPr>
                <w:sz w:val="20"/>
                <w:szCs w:val="20"/>
              </w:rPr>
              <w:t>Praha 4-Modřany, Modřanská 1061/15, PSČ 143 00 - provozovna</w:t>
            </w:r>
          </w:p>
        </w:tc>
      </w:tr>
      <w:tr w:rsidR="00011F3C" w:rsidRPr="006368D9" w:rsidTr="00011F3C">
        <w:tc>
          <w:tcPr>
            <w:tcW w:w="10064" w:type="dxa"/>
            <w:gridSpan w:val="7"/>
            <w:shd w:val="clear" w:color="auto" w:fill="auto"/>
          </w:tcPr>
          <w:p w:rsidR="00011F3C" w:rsidRPr="00CA248D" w:rsidRDefault="00011F3C" w:rsidP="00C6148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sdružený živel</w:t>
            </w:r>
          </w:p>
        </w:tc>
      </w:tr>
      <w:tr w:rsidR="00011F3C" w:rsidRPr="006368D9" w:rsidTr="00011F3C">
        <w:tc>
          <w:tcPr>
            <w:tcW w:w="10064" w:type="dxa"/>
            <w:gridSpan w:val="7"/>
            <w:shd w:val="clear" w:color="auto" w:fill="auto"/>
          </w:tcPr>
          <w:p w:rsidR="00011F3C" w:rsidRPr="00666281" w:rsidRDefault="00011F3C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DOB105, DOB107</w:t>
            </w:r>
          </w:p>
        </w:tc>
      </w:tr>
      <w:tr w:rsidR="00011F3C" w:rsidRPr="006368D9" w:rsidTr="00011F3C">
        <w:tc>
          <w:tcPr>
            <w:tcW w:w="709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F3C" w:rsidRPr="00666281" w:rsidRDefault="00011F3C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11F3C" w:rsidRPr="006368D9" w:rsidTr="00011F3C">
        <w:tc>
          <w:tcPr>
            <w:tcW w:w="709" w:type="dxa"/>
            <w:shd w:val="clear" w:color="auto" w:fill="auto"/>
            <w:vAlign w:val="center"/>
          </w:tcPr>
          <w:p w:rsidR="00011F3C" w:rsidRPr="00666281" w:rsidRDefault="00011F3C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1F3C" w:rsidRPr="00666281" w:rsidRDefault="00011F3C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F3C" w:rsidRPr="00666281" w:rsidRDefault="00011F3C" w:rsidP="0001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2267" w:type="dxa"/>
            <w:shd w:val="clear" w:color="auto" w:fill="auto"/>
          </w:tcPr>
          <w:p w:rsidR="00011F3C" w:rsidRDefault="00011F3C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Povodeň, záplava, </w:t>
            </w:r>
          </w:p>
          <w:p w:rsidR="00011F3C" w:rsidRDefault="00011F3C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sesuv, zemětřesení </w:t>
            </w:r>
          </w:p>
          <w:p w:rsidR="00011F3C" w:rsidRDefault="00011F3C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 20 000 Kč,</w:t>
            </w:r>
          </w:p>
          <w:p w:rsidR="00011F3C" w:rsidRPr="00666281" w:rsidRDefault="00011F3C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10 000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011F3C" w:rsidRPr="006368D9" w:rsidTr="00011F3C">
        <w:tc>
          <w:tcPr>
            <w:tcW w:w="10064" w:type="dxa"/>
            <w:gridSpan w:val="7"/>
            <w:shd w:val="clear" w:color="auto" w:fill="auto"/>
          </w:tcPr>
          <w:p w:rsidR="00011F3C" w:rsidRPr="00666281" w:rsidRDefault="00011F3C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011F3C" w:rsidRPr="006368D9" w:rsidRDefault="00011F3C" w:rsidP="00011F3C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 není-li uvedeno, sjednává se pojištění s pojistnou hodnotou uvedenou v příslušných pojistných podmínkách</w:t>
      </w:r>
    </w:p>
    <w:p w:rsidR="001D6107" w:rsidRDefault="001D6107" w:rsidP="007A4E91">
      <w:pPr>
        <w:rPr>
          <w:sz w:val="20"/>
          <w:szCs w:val="20"/>
        </w:rPr>
      </w:pPr>
    </w:p>
    <w:p w:rsidR="009928BB" w:rsidRPr="00D06D34" w:rsidRDefault="009928BB" w:rsidP="00C24371">
      <w:pPr>
        <w:keepNext/>
        <w:numPr>
          <w:ilvl w:val="0"/>
          <w:numId w:val="19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pro případ odcizení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276"/>
        <w:gridCol w:w="1417"/>
        <w:gridCol w:w="1276"/>
        <w:gridCol w:w="1559"/>
        <w:gridCol w:w="1275"/>
      </w:tblGrid>
      <w:tr w:rsidR="009928BB" w:rsidRPr="006368D9" w:rsidTr="00C019B0">
        <w:tc>
          <w:tcPr>
            <w:tcW w:w="10064" w:type="dxa"/>
            <w:gridSpan w:val="7"/>
            <w:shd w:val="clear" w:color="auto" w:fill="auto"/>
          </w:tcPr>
          <w:p w:rsidR="009928BB" w:rsidRPr="00011F3C" w:rsidRDefault="009928BB" w:rsidP="00E30A30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 w:rsidR="00011F3C">
              <w:rPr>
                <w:b/>
                <w:sz w:val="20"/>
                <w:szCs w:val="20"/>
              </w:rPr>
              <w:t xml:space="preserve"> </w:t>
            </w:r>
            <w:r w:rsidR="00011F3C" w:rsidRPr="00011F3C">
              <w:rPr>
                <w:sz w:val="20"/>
                <w:szCs w:val="20"/>
              </w:rPr>
              <w:t>adresy viz čl.II. body 1.</w:t>
            </w:r>
            <w:r w:rsidR="00011F3C">
              <w:rPr>
                <w:sz w:val="20"/>
                <w:szCs w:val="20"/>
              </w:rPr>
              <w:t>2</w:t>
            </w:r>
            <w:r w:rsidR="00011F3C" w:rsidRPr="00011F3C">
              <w:rPr>
                <w:sz w:val="20"/>
                <w:szCs w:val="20"/>
              </w:rPr>
              <w:t>.1.-1.</w:t>
            </w:r>
            <w:r w:rsidR="00011F3C">
              <w:rPr>
                <w:sz w:val="20"/>
                <w:szCs w:val="20"/>
              </w:rPr>
              <w:t>2</w:t>
            </w:r>
            <w:r w:rsidR="00011F3C" w:rsidRPr="00011F3C">
              <w:rPr>
                <w:sz w:val="20"/>
                <w:szCs w:val="20"/>
              </w:rPr>
              <w:t>.</w:t>
            </w:r>
            <w:r w:rsidR="00E30A30">
              <w:rPr>
                <w:sz w:val="20"/>
                <w:szCs w:val="20"/>
              </w:rPr>
              <w:t>10</w:t>
            </w:r>
            <w:r w:rsidR="00011F3C" w:rsidRPr="00011F3C">
              <w:rPr>
                <w:sz w:val="20"/>
                <w:szCs w:val="20"/>
              </w:rPr>
              <w:t>. a 1.</w:t>
            </w:r>
            <w:r w:rsidR="00011F3C">
              <w:rPr>
                <w:sz w:val="20"/>
                <w:szCs w:val="20"/>
              </w:rPr>
              <w:t>2</w:t>
            </w:r>
            <w:r w:rsidR="00011F3C" w:rsidRPr="00011F3C">
              <w:rPr>
                <w:sz w:val="20"/>
                <w:szCs w:val="20"/>
              </w:rPr>
              <w:t>.12.</w:t>
            </w:r>
          </w:p>
        </w:tc>
      </w:tr>
      <w:tr w:rsidR="008F5954" w:rsidRPr="006368D9" w:rsidTr="00C019B0">
        <w:tc>
          <w:tcPr>
            <w:tcW w:w="10064" w:type="dxa"/>
            <w:gridSpan w:val="7"/>
            <w:shd w:val="clear" w:color="auto" w:fill="auto"/>
          </w:tcPr>
          <w:p w:rsidR="008F5954" w:rsidRPr="00666281" w:rsidRDefault="008F5954" w:rsidP="00F44AEC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Rozsah pojištění:</w:t>
            </w:r>
            <w:r w:rsidR="0096035D" w:rsidRPr="00666281">
              <w:rPr>
                <w:b/>
                <w:sz w:val="20"/>
                <w:szCs w:val="20"/>
              </w:rPr>
              <w:t xml:space="preserve"> </w:t>
            </w:r>
            <w:r w:rsidRPr="00666281">
              <w:rPr>
                <w:sz w:val="20"/>
                <w:szCs w:val="20"/>
              </w:rPr>
              <w:t>pojištění pro případ odcizení</w:t>
            </w:r>
            <w:r w:rsidR="00F44AEC" w:rsidRPr="00666281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6368D9" w:rsidTr="00C019B0">
        <w:tc>
          <w:tcPr>
            <w:tcW w:w="10064" w:type="dxa"/>
            <w:gridSpan w:val="7"/>
            <w:shd w:val="clear" w:color="auto" w:fill="auto"/>
          </w:tcPr>
          <w:p w:rsidR="008F5954" w:rsidRPr="00666281" w:rsidRDefault="008F5954" w:rsidP="00AA7F4B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P-200/14 a doložkami DOB101, DOB103, </w:t>
            </w:r>
            <w:r w:rsidR="00AA7F4B">
              <w:rPr>
                <w:sz w:val="20"/>
                <w:szCs w:val="20"/>
              </w:rPr>
              <w:t>DOZ101, D</w:t>
            </w:r>
            <w:r w:rsidRPr="00666281">
              <w:rPr>
                <w:sz w:val="20"/>
                <w:szCs w:val="20"/>
              </w:rPr>
              <w:t>O</w:t>
            </w:r>
            <w:r w:rsidR="0015517B">
              <w:rPr>
                <w:sz w:val="20"/>
                <w:szCs w:val="20"/>
              </w:rPr>
              <w:t>Z105</w:t>
            </w:r>
          </w:p>
        </w:tc>
      </w:tr>
      <w:tr w:rsidR="00E71674" w:rsidRPr="006368D9" w:rsidTr="00C019B0">
        <w:tc>
          <w:tcPr>
            <w:tcW w:w="709" w:type="dxa"/>
            <w:shd w:val="clear" w:color="auto" w:fill="auto"/>
            <w:vAlign w:val="center"/>
          </w:tcPr>
          <w:p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="001773E3"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C0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28BB" w:rsidRPr="00666281" w:rsidRDefault="009928BB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019B0" w:rsidRPr="006368D9" w:rsidTr="00C019B0">
        <w:tc>
          <w:tcPr>
            <w:tcW w:w="709" w:type="dxa"/>
            <w:shd w:val="clear" w:color="auto" w:fill="auto"/>
            <w:vAlign w:val="center"/>
          </w:tcPr>
          <w:p w:rsidR="00C019B0" w:rsidRPr="00666281" w:rsidRDefault="00C019B0" w:rsidP="00011F3C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19B0" w:rsidRPr="00666281" w:rsidRDefault="00C019B0" w:rsidP="00011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9B0" w:rsidRPr="00666281" w:rsidRDefault="00C019B0" w:rsidP="0001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9B0" w:rsidRPr="00666281" w:rsidRDefault="00C019B0" w:rsidP="0001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9B0" w:rsidRPr="00666281" w:rsidRDefault="00C019B0" w:rsidP="00011F3C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19B0" w:rsidRPr="00666281" w:rsidRDefault="00C019B0" w:rsidP="00C01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 Kč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9B0" w:rsidRPr="00666281" w:rsidRDefault="00C019B0" w:rsidP="0001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011F3C" w:rsidRPr="006368D9" w:rsidTr="00C019B0">
        <w:tc>
          <w:tcPr>
            <w:tcW w:w="10064" w:type="dxa"/>
            <w:gridSpan w:val="7"/>
            <w:shd w:val="clear" w:color="auto" w:fill="auto"/>
          </w:tcPr>
          <w:p w:rsidR="00011F3C" w:rsidRPr="00666281" w:rsidRDefault="00011F3C" w:rsidP="00011F3C">
            <w:pPr>
              <w:rPr>
                <w:rFonts w:cs="Arial"/>
                <w:sz w:val="20"/>
                <w:szCs w:val="20"/>
                <w:highlight w:val="yellow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:rsidR="009928BB" w:rsidRDefault="009928BB" w:rsidP="007A4E91">
      <w:pPr>
        <w:rPr>
          <w:sz w:val="20"/>
          <w:szCs w:val="20"/>
        </w:rPr>
      </w:pPr>
    </w:p>
    <w:p w:rsidR="00011F3C" w:rsidRPr="00D06D34" w:rsidRDefault="00011F3C" w:rsidP="00C24371">
      <w:pPr>
        <w:keepNext/>
        <w:numPr>
          <w:ilvl w:val="0"/>
          <w:numId w:val="19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pro případ odcizení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134"/>
        <w:gridCol w:w="2126"/>
        <w:gridCol w:w="1276"/>
        <w:gridCol w:w="1417"/>
        <w:gridCol w:w="992"/>
      </w:tblGrid>
      <w:tr w:rsidR="00011F3C" w:rsidRPr="006368D9" w:rsidTr="00C019B0">
        <w:tc>
          <w:tcPr>
            <w:tcW w:w="10064" w:type="dxa"/>
            <w:gridSpan w:val="7"/>
            <w:shd w:val="clear" w:color="auto" w:fill="auto"/>
          </w:tcPr>
          <w:p w:rsidR="00011F3C" w:rsidRPr="00011F3C" w:rsidRDefault="00011F3C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A7F4B" w:rsidRPr="00AA7F4B">
              <w:rPr>
                <w:sz w:val="20"/>
                <w:szCs w:val="20"/>
              </w:rPr>
              <w:t>Praha 10-Strašnice, Vinohradská ul. – areál krematoria</w:t>
            </w:r>
          </w:p>
        </w:tc>
      </w:tr>
      <w:tr w:rsidR="00011F3C" w:rsidRPr="006368D9" w:rsidTr="00C019B0">
        <w:tc>
          <w:tcPr>
            <w:tcW w:w="10064" w:type="dxa"/>
            <w:gridSpan w:val="7"/>
            <w:shd w:val="clear" w:color="auto" w:fill="auto"/>
          </w:tcPr>
          <w:p w:rsidR="00011F3C" w:rsidRPr="00666281" w:rsidRDefault="00011F3C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 xml:space="preserve">Rozsah pojištění: </w:t>
            </w:r>
            <w:r w:rsidRPr="00666281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011F3C" w:rsidRPr="006368D9" w:rsidTr="00C019B0">
        <w:tc>
          <w:tcPr>
            <w:tcW w:w="10064" w:type="dxa"/>
            <w:gridSpan w:val="7"/>
            <w:shd w:val="clear" w:color="auto" w:fill="auto"/>
          </w:tcPr>
          <w:p w:rsidR="00011F3C" w:rsidRPr="00666281" w:rsidRDefault="00011F3C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P-200/14 a doložkami DOB101, DOB103, </w:t>
            </w:r>
            <w:r w:rsidR="00AA7F4B">
              <w:rPr>
                <w:sz w:val="20"/>
                <w:szCs w:val="20"/>
              </w:rPr>
              <w:t xml:space="preserve">DOZ101, </w:t>
            </w:r>
            <w:r w:rsidRPr="00666281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>Z105</w:t>
            </w:r>
          </w:p>
        </w:tc>
      </w:tr>
      <w:tr w:rsidR="00011F3C" w:rsidRPr="006368D9" w:rsidTr="00C019B0">
        <w:tc>
          <w:tcPr>
            <w:tcW w:w="709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:rsidR="00011F3C" w:rsidRPr="00666281" w:rsidRDefault="00011F3C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F3C" w:rsidRPr="00666281" w:rsidRDefault="00011F3C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019B0" w:rsidRPr="006368D9" w:rsidTr="00C019B0">
        <w:tc>
          <w:tcPr>
            <w:tcW w:w="709" w:type="dxa"/>
            <w:shd w:val="clear" w:color="auto" w:fill="auto"/>
            <w:vAlign w:val="center"/>
          </w:tcPr>
          <w:p w:rsidR="00C019B0" w:rsidRPr="00666281" w:rsidRDefault="00C019B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9B0" w:rsidRDefault="00C019B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Vlastní budova </w:t>
            </w:r>
          </w:p>
          <w:p w:rsidR="00C019B0" w:rsidRPr="00666281" w:rsidRDefault="00C019B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vč. oplocení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 10 000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9B0" w:rsidRPr="00666281" w:rsidRDefault="00C019B0" w:rsidP="00C01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C019B0" w:rsidRPr="006368D9" w:rsidTr="00C019B0">
        <w:tc>
          <w:tcPr>
            <w:tcW w:w="709" w:type="dxa"/>
            <w:shd w:val="clear" w:color="auto" w:fill="auto"/>
            <w:vAlign w:val="center"/>
          </w:tcPr>
          <w:p w:rsidR="00C019B0" w:rsidRPr="00666281" w:rsidRDefault="00C019B0" w:rsidP="00AA7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66281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0A30" w:rsidRDefault="00C019B0" w:rsidP="00E30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Vlastní </w:t>
            </w:r>
            <w:r w:rsidR="00E30A30">
              <w:rPr>
                <w:sz w:val="20"/>
                <w:szCs w:val="20"/>
              </w:rPr>
              <w:t xml:space="preserve">movité zařízení a vybavení </w:t>
            </w:r>
          </w:p>
          <w:p w:rsidR="00C019B0" w:rsidRDefault="00C019B0" w:rsidP="00E30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F256E">
              <w:rPr>
                <w:sz w:val="20"/>
                <w:szCs w:val="20"/>
              </w:rPr>
              <w:t>komunální stroj Egholm 2100 s</w:t>
            </w:r>
            <w:r w:rsidR="00E30A30">
              <w:rPr>
                <w:sz w:val="20"/>
                <w:szCs w:val="20"/>
              </w:rPr>
              <w:t> </w:t>
            </w:r>
            <w:r w:rsidRPr="00CF256E">
              <w:rPr>
                <w:sz w:val="20"/>
                <w:szCs w:val="20"/>
              </w:rPr>
              <w:t>příslušenstvím, rok výr. 2007,</w:t>
            </w:r>
            <w:r>
              <w:rPr>
                <w:sz w:val="20"/>
                <w:szCs w:val="20"/>
              </w:rPr>
              <w:t xml:space="preserve"> </w:t>
            </w:r>
            <w:r w:rsidRPr="00CF256E">
              <w:rPr>
                <w:sz w:val="20"/>
                <w:szCs w:val="20"/>
              </w:rPr>
              <w:t>VIN UH9PFZ00207EM1179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B0" w:rsidRPr="00666281" w:rsidRDefault="00C019B0" w:rsidP="00AA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19B0" w:rsidRPr="00666281" w:rsidRDefault="00C019B0" w:rsidP="00AA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9B0" w:rsidRPr="00666281" w:rsidRDefault="00C019B0" w:rsidP="00AA7F4B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9B0" w:rsidRPr="00666281" w:rsidRDefault="00C019B0" w:rsidP="00C01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9B0" w:rsidRPr="00666281" w:rsidRDefault="00C019B0" w:rsidP="00AA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011F3C" w:rsidRPr="006368D9" w:rsidTr="00C019B0">
        <w:tc>
          <w:tcPr>
            <w:tcW w:w="10064" w:type="dxa"/>
            <w:gridSpan w:val="7"/>
            <w:shd w:val="clear" w:color="auto" w:fill="auto"/>
          </w:tcPr>
          <w:p w:rsidR="00011F3C" w:rsidRPr="00666281" w:rsidRDefault="00011F3C" w:rsidP="00C6148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  <w:p w:rsidR="00011F3C" w:rsidRPr="00666281" w:rsidRDefault="00AA7F4B" w:rsidP="00C61488">
            <w:pPr>
              <w:pStyle w:val="Prosttext"/>
              <w:tabs>
                <w:tab w:val="left" w:pos="284"/>
              </w:tabs>
              <w:jc w:val="both"/>
              <w:rPr>
                <w:rFonts w:ascii="Koop Office" w:hAnsi="Koop Office" w:cs="Arial"/>
                <w:sz w:val="20"/>
                <w:szCs w:val="20"/>
                <w:highlight w:val="yellow"/>
              </w:rPr>
            </w:pPr>
            <w:r>
              <w:rPr>
                <w:rFonts w:ascii="Koop Office" w:hAnsi="Koop Office"/>
                <w:sz w:val="20"/>
                <w:szCs w:val="20"/>
              </w:rPr>
              <w:t xml:space="preserve">Předmět pojištění poř.č. 2. - </w:t>
            </w:r>
            <w:r w:rsidRPr="00AA7F4B">
              <w:rPr>
                <w:rFonts w:ascii="Koop Office" w:hAnsi="Koop Office"/>
                <w:sz w:val="20"/>
                <w:szCs w:val="20"/>
              </w:rPr>
              <w:t>Kromě dodržení způsobů zabezpečení dle DOZ</w:t>
            </w:r>
            <w:r>
              <w:rPr>
                <w:rFonts w:ascii="Koop Office" w:hAnsi="Koop Office"/>
                <w:sz w:val="20"/>
                <w:szCs w:val="20"/>
              </w:rPr>
              <w:t>10</w:t>
            </w:r>
            <w:r w:rsidRPr="00AA7F4B">
              <w:rPr>
                <w:rFonts w:ascii="Koop Office" w:hAnsi="Koop Office"/>
                <w:sz w:val="20"/>
                <w:szCs w:val="20"/>
              </w:rPr>
              <w:t>1 se dále ujednává, že podmínkou vzniku práva na pojistné plnění je uložení klíče od spínací skříňky stroje na jiném bezpečném místě.</w:t>
            </w:r>
          </w:p>
        </w:tc>
      </w:tr>
    </w:tbl>
    <w:p w:rsidR="00011F3C" w:rsidRPr="006368D9" w:rsidRDefault="00011F3C" w:rsidP="00011F3C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:rsidR="00011F3C" w:rsidRDefault="00011F3C" w:rsidP="007A4E91">
      <w:pPr>
        <w:rPr>
          <w:sz w:val="20"/>
          <w:szCs w:val="20"/>
        </w:rPr>
      </w:pPr>
    </w:p>
    <w:p w:rsidR="002D34DD" w:rsidRPr="00D06D34" w:rsidRDefault="002D34DD" w:rsidP="00C24371">
      <w:pPr>
        <w:keepNext/>
        <w:numPr>
          <w:ilvl w:val="0"/>
          <w:numId w:val="19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pro případ odcizení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1134"/>
        <w:gridCol w:w="1417"/>
        <w:gridCol w:w="1276"/>
        <w:gridCol w:w="1418"/>
        <w:gridCol w:w="1417"/>
      </w:tblGrid>
      <w:tr w:rsidR="002D34DD" w:rsidRPr="006368D9" w:rsidTr="000F2F1F">
        <w:tc>
          <w:tcPr>
            <w:tcW w:w="10064" w:type="dxa"/>
            <w:gridSpan w:val="7"/>
            <w:shd w:val="clear" w:color="auto" w:fill="auto"/>
          </w:tcPr>
          <w:p w:rsidR="002D34DD" w:rsidRPr="00011F3C" w:rsidRDefault="002D34DD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91BE8">
              <w:rPr>
                <w:sz w:val="20"/>
                <w:szCs w:val="20"/>
              </w:rPr>
              <w:t>Praha 8-Karlín, Pobřežní 72, PSČ 186 00 – ústředí</w:t>
            </w:r>
          </w:p>
        </w:tc>
      </w:tr>
      <w:tr w:rsidR="002D34DD" w:rsidRPr="006368D9" w:rsidTr="000F2F1F">
        <w:tc>
          <w:tcPr>
            <w:tcW w:w="10064" w:type="dxa"/>
            <w:gridSpan w:val="7"/>
            <w:shd w:val="clear" w:color="auto" w:fill="auto"/>
          </w:tcPr>
          <w:p w:rsidR="002D34DD" w:rsidRPr="00666281" w:rsidRDefault="002D34DD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 xml:space="preserve">Rozsah pojištění: </w:t>
            </w:r>
            <w:r w:rsidRPr="00666281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2D34DD" w:rsidRPr="006368D9" w:rsidTr="000F2F1F">
        <w:tc>
          <w:tcPr>
            <w:tcW w:w="10064" w:type="dxa"/>
            <w:gridSpan w:val="7"/>
            <w:shd w:val="clear" w:color="auto" w:fill="auto"/>
          </w:tcPr>
          <w:p w:rsidR="002D34DD" w:rsidRPr="00666281" w:rsidRDefault="002D34DD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 xml:space="preserve">DOZ101, </w:t>
            </w:r>
            <w:r w:rsidR="00636306">
              <w:rPr>
                <w:sz w:val="20"/>
                <w:szCs w:val="20"/>
              </w:rPr>
              <w:t xml:space="preserve">DOZ102, </w:t>
            </w:r>
            <w:r w:rsidRPr="00666281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>Z105</w:t>
            </w:r>
          </w:p>
        </w:tc>
      </w:tr>
      <w:tr w:rsidR="002D34DD" w:rsidRPr="006368D9" w:rsidTr="000F2F1F">
        <w:tc>
          <w:tcPr>
            <w:tcW w:w="709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:rsidR="002D34DD" w:rsidRPr="00666281" w:rsidRDefault="002D34DD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4DD" w:rsidRPr="00666281" w:rsidRDefault="002D34DD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019B0" w:rsidRPr="006368D9" w:rsidTr="000F2F1F">
        <w:tc>
          <w:tcPr>
            <w:tcW w:w="709" w:type="dxa"/>
            <w:shd w:val="clear" w:color="auto" w:fill="auto"/>
            <w:vAlign w:val="center"/>
          </w:tcPr>
          <w:p w:rsidR="00C019B0" w:rsidRPr="00666281" w:rsidRDefault="00C019B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9B0" w:rsidRPr="00666281" w:rsidRDefault="00C019B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zásob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9B0" w:rsidRPr="00666281" w:rsidRDefault="00C019B0" w:rsidP="00C01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636306" w:rsidRPr="006368D9" w:rsidTr="000F2F1F">
        <w:tc>
          <w:tcPr>
            <w:tcW w:w="709" w:type="dxa"/>
            <w:shd w:val="clear" w:color="auto" w:fill="auto"/>
            <w:vAlign w:val="center"/>
          </w:tcPr>
          <w:p w:rsidR="002D34DD" w:rsidRPr="00666281" w:rsidRDefault="002D34DD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66281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34DD" w:rsidRDefault="00636306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finanční prostředky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4DD" w:rsidRPr="00666281" w:rsidRDefault="002D34DD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34DD" w:rsidRPr="00666281" w:rsidRDefault="00DE2BC7" w:rsidP="00DE2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306">
              <w:rPr>
                <w:sz w:val="20"/>
                <w:szCs w:val="20"/>
              </w:rPr>
              <w:t>00 000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4DD" w:rsidRPr="00666281" w:rsidRDefault="00636306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2D34DD" w:rsidRPr="006368D9" w:rsidTr="000F2F1F">
        <w:tc>
          <w:tcPr>
            <w:tcW w:w="10064" w:type="dxa"/>
            <w:gridSpan w:val="7"/>
            <w:shd w:val="clear" w:color="auto" w:fill="auto"/>
          </w:tcPr>
          <w:p w:rsidR="002D34DD" w:rsidRPr="00666281" w:rsidRDefault="002D34DD" w:rsidP="00636306">
            <w:pPr>
              <w:rPr>
                <w:rFonts w:cs="Arial"/>
                <w:sz w:val="20"/>
                <w:szCs w:val="20"/>
                <w:highlight w:val="yellow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2D34DD" w:rsidRPr="006368D9" w:rsidRDefault="002D34DD" w:rsidP="00C96787">
      <w:pPr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:rsidR="00C96787" w:rsidRPr="00D06D34" w:rsidRDefault="00C96787" w:rsidP="00C24371">
      <w:pPr>
        <w:keepNext/>
        <w:numPr>
          <w:ilvl w:val="0"/>
          <w:numId w:val="19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pro případ odcizení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1134"/>
        <w:gridCol w:w="2126"/>
        <w:gridCol w:w="1276"/>
        <w:gridCol w:w="1276"/>
        <w:gridCol w:w="992"/>
      </w:tblGrid>
      <w:tr w:rsidR="00C96787" w:rsidRPr="006368D9" w:rsidTr="001B6F1B">
        <w:tc>
          <w:tcPr>
            <w:tcW w:w="10206" w:type="dxa"/>
            <w:gridSpan w:val="7"/>
            <w:shd w:val="clear" w:color="auto" w:fill="auto"/>
          </w:tcPr>
          <w:p w:rsidR="00C96787" w:rsidRPr="00011F3C" w:rsidRDefault="00C96787" w:rsidP="00C96787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33CA">
              <w:rPr>
                <w:sz w:val="20"/>
                <w:szCs w:val="20"/>
              </w:rPr>
              <w:t>Praha 10-Strašnice, Vinohradská ul. – Evangelický hřbitov</w:t>
            </w:r>
            <w:r>
              <w:rPr>
                <w:sz w:val="20"/>
                <w:szCs w:val="20"/>
              </w:rPr>
              <w:t xml:space="preserve"> – správní budova</w:t>
            </w:r>
          </w:p>
        </w:tc>
      </w:tr>
      <w:tr w:rsidR="00C96787" w:rsidRPr="006368D9" w:rsidTr="001B6F1B">
        <w:tc>
          <w:tcPr>
            <w:tcW w:w="10206" w:type="dxa"/>
            <w:gridSpan w:val="7"/>
            <w:shd w:val="clear" w:color="auto" w:fill="auto"/>
          </w:tcPr>
          <w:p w:rsidR="00C96787" w:rsidRPr="00666281" w:rsidRDefault="00C96787" w:rsidP="00C279C6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 xml:space="preserve">Rozsah pojištění: </w:t>
            </w:r>
            <w:r w:rsidRPr="00666281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C96787" w:rsidRPr="006368D9" w:rsidTr="001B6F1B">
        <w:tc>
          <w:tcPr>
            <w:tcW w:w="10206" w:type="dxa"/>
            <w:gridSpan w:val="7"/>
            <w:shd w:val="clear" w:color="auto" w:fill="auto"/>
          </w:tcPr>
          <w:p w:rsidR="00C96787" w:rsidRPr="00666281" w:rsidRDefault="00C96787" w:rsidP="00C279C6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P-200/14 a doložkami DOB101, DOB103</w:t>
            </w:r>
          </w:p>
        </w:tc>
      </w:tr>
      <w:tr w:rsidR="00C96787" w:rsidRPr="006368D9" w:rsidTr="001B6F1B">
        <w:tc>
          <w:tcPr>
            <w:tcW w:w="709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6787" w:rsidRPr="006368D9" w:rsidTr="001B6F1B">
        <w:tc>
          <w:tcPr>
            <w:tcW w:w="709" w:type="dxa"/>
            <w:shd w:val="clear" w:color="auto" w:fill="auto"/>
            <w:vAlign w:val="center"/>
          </w:tcPr>
          <w:p w:rsidR="00C96787" w:rsidRPr="00666281" w:rsidRDefault="00C96787" w:rsidP="00C27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6787" w:rsidRPr="00666281" w:rsidRDefault="00C96787" w:rsidP="001B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Vlastní budova </w:t>
            </w:r>
            <w:r w:rsidR="001B6F1B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č. oplocení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 10 000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 Kč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787" w:rsidRPr="00666281" w:rsidRDefault="00C96787" w:rsidP="00C2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C96787" w:rsidRPr="006368D9" w:rsidTr="001B6F1B">
        <w:tc>
          <w:tcPr>
            <w:tcW w:w="10206" w:type="dxa"/>
            <w:gridSpan w:val="7"/>
            <w:shd w:val="clear" w:color="auto" w:fill="auto"/>
          </w:tcPr>
          <w:p w:rsidR="00C96787" w:rsidRPr="00666281" w:rsidRDefault="00C96787" w:rsidP="00C96787">
            <w:pPr>
              <w:rPr>
                <w:rFonts w:cs="Arial"/>
                <w:sz w:val="20"/>
                <w:szCs w:val="20"/>
                <w:highlight w:val="yellow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</w:tc>
      </w:tr>
    </w:tbl>
    <w:p w:rsidR="00C96787" w:rsidRPr="006368D9" w:rsidRDefault="00C96787" w:rsidP="00C96787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:rsidR="00011F3C" w:rsidRPr="001B6F1B" w:rsidRDefault="00011F3C" w:rsidP="007A4E91">
      <w:pPr>
        <w:rPr>
          <w:sz w:val="16"/>
          <w:szCs w:val="16"/>
        </w:rPr>
      </w:pPr>
    </w:p>
    <w:p w:rsidR="000F2F1F" w:rsidRPr="00D06D34" w:rsidRDefault="000F2F1F" w:rsidP="00C24371">
      <w:pPr>
        <w:keepNext/>
        <w:numPr>
          <w:ilvl w:val="0"/>
          <w:numId w:val="19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pro případ odcizení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134"/>
        <w:gridCol w:w="2126"/>
        <w:gridCol w:w="1276"/>
        <w:gridCol w:w="1559"/>
        <w:gridCol w:w="992"/>
      </w:tblGrid>
      <w:tr w:rsidR="009433CA" w:rsidRPr="006368D9" w:rsidTr="001B6F1B">
        <w:tc>
          <w:tcPr>
            <w:tcW w:w="10206" w:type="dxa"/>
            <w:gridSpan w:val="7"/>
            <w:shd w:val="clear" w:color="auto" w:fill="auto"/>
          </w:tcPr>
          <w:p w:rsidR="000F2F1F" w:rsidRPr="00011F3C" w:rsidRDefault="000F2F1F" w:rsidP="00C6148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33CA" w:rsidRPr="009433CA">
              <w:rPr>
                <w:sz w:val="20"/>
                <w:szCs w:val="20"/>
              </w:rPr>
              <w:t>Praha 10-Strašnice, Vinohradská ul. – Evangelický hřbitov</w:t>
            </w:r>
            <w:r w:rsidR="00C96787">
              <w:rPr>
                <w:sz w:val="20"/>
                <w:szCs w:val="20"/>
              </w:rPr>
              <w:t xml:space="preserve"> - kostelík</w:t>
            </w:r>
          </w:p>
        </w:tc>
      </w:tr>
      <w:tr w:rsidR="009433CA" w:rsidRPr="006368D9" w:rsidTr="001B6F1B">
        <w:tc>
          <w:tcPr>
            <w:tcW w:w="10206" w:type="dxa"/>
            <w:gridSpan w:val="7"/>
            <w:shd w:val="clear" w:color="auto" w:fill="auto"/>
          </w:tcPr>
          <w:p w:rsidR="000F2F1F" w:rsidRPr="00666281" w:rsidRDefault="000F2F1F" w:rsidP="00C61488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 xml:space="preserve">Rozsah pojištění: </w:t>
            </w:r>
            <w:r w:rsidRPr="00666281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9433CA" w:rsidRPr="006368D9" w:rsidTr="001B6F1B">
        <w:tc>
          <w:tcPr>
            <w:tcW w:w="10206" w:type="dxa"/>
            <w:gridSpan w:val="7"/>
            <w:shd w:val="clear" w:color="auto" w:fill="auto"/>
          </w:tcPr>
          <w:p w:rsidR="000F2F1F" w:rsidRPr="00666281" w:rsidRDefault="000F2F1F" w:rsidP="009433CA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P-200/14 a doložkami DOB101, DOB103</w:t>
            </w:r>
          </w:p>
        </w:tc>
      </w:tr>
      <w:tr w:rsidR="009433CA" w:rsidRPr="006368D9" w:rsidTr="001B6F1B">
        <w:tc>
          <w:tcPr>
            <w:tcW w:w="709" w:type="dxa"/>
            <w:shd w:val="clear" w:color="auto" w:fill="auto"/>
            <w:vAlign w:val="center"/>
          </w:tcPr>
          <w:p w:rsidR="000F2F1F" w:rsidRPr="00666281" w:rsidRDefault="000F2F1F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2F1F" w:rsidRPr="00666281" w:rsidRDefault="000F2F1F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F1F" w:rsidRPr="00666281" w:rsidRDefault="000F2F1F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2F1F" w:rsidRPr="00666281" w:rsidRDefault="000F2F1F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2F1F" w:rsidRPr="00666281" w:rsidRDefault="000F2F1F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F1F" w:rsidRPr="00666281" w:rsidRDefault="000F2F1F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:rsidR="000F2F1F" w:rsidRPr="00666281" w:rsidRDefault="000F2F1F" w:rsidP="00C61488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F1F" w:rsidRPr="00666281" w:rsidRDefault="000F2F1F" w:rsidP="00C019B0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019B0" w:rsidRPr="006368D9" w:rsidTr="001B6F1B">
        <w:tc>
          <w:tcPr>
            <w:tcW w:w="709" w:type="dxa"/>
            <w:shd w:val="clear" w:color="auto" w:fill="auto"/>
            <w:vAlign w:val="center"/>
          </w:tcPr>
          <w:p w:rsidR="00C019B0" w:rsidRPr="00666281" w:rsidRDefault="00C019B0" w:rsidP="00C6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9B0" w:rsidRPr="00666281" w:rsidRDefault="00C019B0" w:rsidP="0094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budova (kostelík)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 10 000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19B0" w:rsidRPr="00666281" w:rsidRDefault="00C019B0" w:rsidP="00C01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9B0" w:rsidRPr="00666281" w:rsidRDefault="00C019B0" w:rsidP="00C6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</w:tr>
      <w:tr w:rsidR="009433CA" w:rsidRPr="006368D9" w:rsidTr="001B6F1B">
        <w:tc>
          <w:tcPr>
            <w:tcW w:w="10206" w:type="dxa"/>
            <w:gridSpan w:val="7"/>
            <w:shd w:val="clear" w:color="auto" w:fill="auto"/>
          </w:tcPr>
          <w:p w:rsidR="009433CA" w:rsidRPr="00666281" w:rsidRDefault="000F2F1F" w:rsidP="001B6F1B">
            <w:pPr>
              <w:rPr>
                <w:rFonts w:cs="Arial"/>
                <w:sz w:val="20"/>
                <w:szCs w:val="20"/>
                <w:highlight w:val="yellow"/>
              </w:rPr>
            </w:pPr>
            <w:r w:rsidRPr="00666281">
              <w:rPr>
                <w:sz w:val="20"/>
                <w:szCs w:val="20"/>
              </w:rPr>
              <w:t>Poznámky:</w:t>
            </w:r>
            <w:r w:rsidR="001B6F1B">
              <w:rPr>
                <w:sz w:val="20"/>
                <w:szCs w:val="20"/>
              </w:rPr>
              <w:t xml:space="preserve"> </w:t>
            </w:r>
            <w:r w:rsidR="009433CA" w:rsidRPr="009433CA">
              <w:rPr>
                <w:rFonts w:cs="Arial"/>
                <w:sz w:val="20"/>
                <w:szCs w:val="20"/>
              </w:rPr>
              <w:t>Budova je umístěna v oploceném areálu a je zabezpečena EZS s vyvedením poplachového signálu do místa s</w:t>
            </w:r>
            <w:r w:rsidR="001B6F1B">
              <w:rPr>
                <w:rFonts w:cs="Arial"/>
                <w:sz w:val="20"/>
                <w:szCs w:val="20"/>
              </w:rPr>
              <w:t> </w:t>
            </w:r>
            <w:r w:rsidR="009433CA" w:rsidRPr="009433CA">
              <w:rPr>
                <w:rFonts w:cs="Arial"/>
                <w:sz w:val="20"/>
                <w:szCs w:val="20"/>
              </w:rPr>
              <w:t>nepřetržitou službou.</w:t>
            </w:r>
          </w:p>
        </w:tc>
      </w:tr>
    </w:tbl>
    <w:p w:rsidR="000F2F1F" w:rsidRPr="006368D9" w:rsidRDefault="000F2F1F" w:rsidP="000F2F1F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:rsidR="00D7357B" w:rsidRPr="001B6F1B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  <w:sz w:val="16"/>
          <w:szCs w:val="16"/>
        </w:rPr>
      </w:pPr>
    </w:p>
    <w:p w:rsidR="00D7357B" w:rsidRPr="00D06D34" w:rsidRDefault="00D7357B" w:rsidP="00C24371">
      <w:pPr>
        <w:keepNext/>
        <w:numPr>
          <w:ilvl w:val="0"/>
          <w:numId w:val="20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 xml:space="preserve">Pojištění odpovědnosti za </w:t>
      </w:r>
      <w:r w:rsidR="00A40B91" w:rsidRPr="00D06D34">
        <w:rPr>
          <w:rFonts w:cs="Arial"/>
          <w:b/>
          <w:sz w:val="20"/>
        </w:rPr>
        <w:t>újmu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69"/>
        <w:gridCol w:w="1560"/>
        <w:gridCol w:w="1417"/>
        <w:gridCol w:w="1416"/>
        <w:gridCol w:w="1134"/>
      </w:tblGrid>
      <w:tr w:rsidR="00F60A72" w:rsidRPr="006368D9" w:rsidTr="001B6F1B">
        <w:tc>
          <w:tcPr>
            <w:tcW w:w="10205" w:type="dxa"/>
            <w:gridSpan w:val="6"/>
            <w:shd w:val="clear" w:color="auto" w:fill="auto"/>
          </w:tcPr>
          <w:p w:rsidR="00F60A72" w:rsidRPr="00666281" w:rsidRDefault="00F60A72" w:rsidP="00F60A72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="001D3D4C" w:rsidRPr="00666281">
              <w:rPr>
                <w:b/>
                <w:sz w:val="20"/>
                <w:szCs w:val="20"/>
              </w:rPr>
              <w:t xml:space="preserve"> </w:t>
            </w:r>
            <w:r w:rsidRPr="00666281">
              <w:rPr>
                <w:sz w:val="20"/>
                <w:szCs w:val="20"/>
              </w:rPr>
              <w:t>VPP P-100/14, ZPP P-600/14 a doložkami DOB</w:t>
            </w:r>
            <w:r w:rsidR="00EE5817" w:rsidRPr="00666281">
              <w:rPr>
                <w:sz w:val="20"/>
                <w:szCs w:val="20"/>
              </w:rPr>
              <w:t>10</w:t>
            </w:r>
            <w:r w:rsidRPr="00666281">
              <w:rPr>
                <w:sz w:val="20"/>
                <w:szCs w:val="20"/>
              </w:rPr>
              <w:t>1</w:t>
            </w:r>
            <w:r w:rsidR="009433CA">
              <w:rPr>
                <w:sz w:val="20"/>
                <w:szCs w:val="20"/>
              </w:rPr>
              <w:t>, DODP101</w:t>
            </w:r>
            <w:r w:rsidR="003955BC">
              <w:rPr>
                <w:sz w:val="20"/>
                <w:szCs w:val="20"/>
              </w:rPr>
              <w:t>, DODP109</w:t>
            </w:r>
          </w:p>
        </w:tc>
      </w:tr>
      <w:tr w:rsidR="00E71674" w:rsidRPr="006368D9" w:rsidTr="001B6F1B">
        <w:tc>
          <w:tcPr>
            <w:tcW w:w="709" w:type="dxa"/>
            <w:shd w:val="clear" w:color="auto" w:fill="auto"/>
            <w:vAlign w:val="center"/>
          </w:tcPr>
          <w:p w:rsidR="00F60A72" w:rsidRPr="00666281" w:rsidRDefault="00F60A72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60A72" w:rsidRPr="00666281" w:rsidRDefault="00F60A72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Rozsah pojištění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0A72" w:rsidRPr="00666281" w:rsidRDefault="00F60A72" w:rsidP="00C96787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Limit pojistného plnění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0A72" w:rsidRPr="00666281" w:rsidRDefault="00F60A72" w:rsidP="00C96787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Sublimit pojistn</w:t>
            </w:r>
            <w:r w:rsidR="00EE5817" w:rsidRPr="00666281">
              <w:rPr>
                <w:b/>
                <w:sz w:val="20"/>
                <w:szCs w:val="20"/>
              </w:rPr>
              <w:t>é</w:t>
            </w:r>
            <w:r w:rsidRPr="00666281">
              <w:rPr>
                <w:b/>
                <w:sz w:val="20"/>
                <w:szCs w:val="20"/>
              </w:rPr>
              <w:t>ho plnění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60A72" w:rsidRPr="00666281" w:rsidRDefault="00F60A72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A72" w:rsidRPr="00666281" w:rsidRDefault="00F60A72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Územní platnost pojištění</w:t>
            </w:r>
          </w:p>
        </w:tc>
      </w:tr>
      <w:tr w:rsidR="00E71674" w:rsidRPr="006368D9" w:rsidTr="001B6F1B">
        <w:tc>
          <w:tcPr>
            <w:tcW w:w="709" w:type="dxa"/>
            <w:shd w:val="clear" w:color="auto" w:fill="auto"/>
            <w:vAlign w:val="center"/>
          </w:tcPr>
          <w:p w:rsidR="00F60A72" w:rsidRPr="00666281" w:rsidRDefault="00F60A72" w:rsidP="009433CA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60A72" w:rsidRPr="00666281" w:rsidRDefault="009433CA" w:rsidP="0094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Obecná odpovědnost za újmu – DODP101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0A72" w:rsidRPr="00666281" w:rsidRDefault="009433CA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0A72" w:rsidRPr="00666281" w:rsidRDefault="009433CA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60A72" w:rsidRPr="00666281" w:rsidRDefault="009433CA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A72" w:rsidRPr="00666281" w:rsidRDefault="009433CA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ČR</w:t>
            </w:r>
          </w:p>
        </w:tc>
      </w:tr>
      <w:tr w:rsidR="00C019B0" w:rsidRPr="006368D9" w:rsidTr="001B6F1B">
        <w:tc>
          <w:tcPr>
            <w:tcW w:w="709" w:type="dxa"/>
            <w:shd w:val="clear" w:color="auto" w:fill="auto"/>
            <w:vAlign w:val="center"/>
          </w:tcPr>
          <w:p w:rsidR="00C019B0" w:rsidRPr="00666281" w:rsidRDefault="00C019B0" w:rsidP="0094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019B0" w:rsidRDefault="003955BC" w:rsidP="00943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Provoz pracovních strojů – DODP109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9B0" w:rsidRDefault="003955BC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××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9B0" w:rsidRDefault="003955BC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 Kč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019B0" w:rsidRDefault="003955BC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B0" w:rsidRDefault="003955BC" w:rsidP="0094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ČR</w:t>
            </w:r>
          </w:p>
        </w:tc>
      </w:tr>
      <w:tr w:rsidR="00C96787" w:rsidRPr="006368D9" w:rsidTr="001B6F1B">
        <w:tc>
          <w:tcPr>
            <w:tcW w:w="10205" w:type="dxa"/>
            <w:gridSpan w:val="6"/>
            <w:shd w:val="clear" w:color="auto" w:fill="auto"/>
          </w:tcPr>
          <w:p w:rsidR="00C96787" w:rsidRDefault="00C96787" w:rsidP="00B73E3B">
            <w:pPr>
              <w:pStyle w:val="Styl10bZarovnatdobloku"/>
              <w:tabs>
                <w:tab w:val="clear" w:pos="426"/>
              </w:tabs>
              <w:ind w:left="34"/>
            </w:pPr>
            <w:r w:rsidRPr="00AE4B29">
              <w:t>Pojistitel poskytne pojistné plnění za podmínek a v rozsahu pojištění účinných v okamžiku, kdy nastala příčina vzniku újmy; tím nejsou dotčena ujednání uvedená v čl. 5 ZPP P-600/14.</w:t>
            </w:r>
          </w:p>
          <w:p w:rsidR="00C96787" w:rsidRDefault="00C96787" w:rsidP="00B73E3B">
            <w:pPr>
              <w:pStyle w:val="Styl10bZarovnatdobloku"/>
              <w:tabs>
                <w:tab w:val="clear" w:pos="426"/>
              </w:tabs>
              <w:ind w:left="34"/>
            </w:pPr>
            <w:r w:rsidRPr="00AE4B29">
              <w:t xml:space="preserve">Odchylně od čl. 8 odst. 1) věty druhé ZPP P-600/14 poskytne pojistitel na úhradu všech takových pojistných událostí, </w:t>
            </w:r>
            <w:r>
              <w:t>jejichž</w:t>
            </w:r>
            <w:r w:rsidRPr="00AE4B29">
              <w:t xml:space="preserve"> příčiny vzniku újem nastaly během jednoho pojistného roku, pojistné plnění v souhrnu maximálně do výše limitu pojistného plnění účinného v tom pojistném roce, kdy nastaly příčiny vzniku újem všech těchto pojistných událostí.</w:t>
            </w:r>
          </w:p>
          <w:p w:rsidR="00C96787" w:rsidRPr="006368D9" w:rsidRDefault="00C96787" w:rsidP="00B73E3B">
            <w:pPr>
              <w:pStyle w:val="Styl10bZarovnatdobloku"/>
              <w:tabs>
                <w:tab w:val="clear" w:pos="426"/>
              </w:tabs>
              <w:ind w:left="34"/>
            </w:pPr>
            <w:r w:rsidRPr="00AE4B29">
              <w:t xml:space="preserve">Odchylně od čl. 8 odst. 2) věty třetí ZPP P-600/14 poskytne pojistitel na úhradu všech takových pojistných událostí nastalých ze specifického rozsahu pojištění, </w:t>
            </w:r>
            <w:r>
              <w:t>jejichž</w:t>
            </w:r>
            <w:r w:rsidRPr="00AE4B29">
              <w:t xml:space="preserve"> příčiny vzniku újem nastaly během jednoho pojistného roku, pojistné plnění v souhrnu maximálně do výše příslušného sublimitu účinného v tom pojistném roce, kdy nastaly příčiny vzniku újem všech těchto pojistných událostí.</w:t>
            </w:r>
          </w:p>
        </w:tc>
      </w:tr>
    </w:tbl>
    <w:p w:rsidR="005F5DA0" w:rsidRPr="006368D9" w:rsidRDefault="005F5DA0" w:rsidP="007A2187">
      <w:pPr>
        <w:rPr>
          <w:b/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je limit pojistného plnění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r w:rsidR="00E65AC5" w:rsidRPr="006368D9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se vztahuje pouze na uvedený podíl z pojistné částky ve smyslu čl. 23 odst. 1) písm. b) VPP P-100/14</w:t>
      </w:r>
    </w:p>
    <w:p w:rsidR="005F5DA0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6)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odchylně od čl. 8 odst. 1) </w:t>
      </w:r>
      <w:r w:rsidR="00A501BF" w:rsidRPr="006368D9">
        <w:rPr>
          <w:rFonts w:cs="Arial"/>
          <w:bCs/>
          <w:sz w:val="18"/>
        </w:rPr>
        <w:t xml:space="preserve">věta druhá </w:t>
      </w:r>
      <w:r w:rsidRPr="006368D9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6368D9">
        <w:rPr>
          <w:rFonts w:cs="Arial"/>
          <w:bCs/>
          <w:sz w:val="18"/>
        </w:rPr>
        <w:t>nastalých</w:t>
      </w:r>
      <w:r w:rsidRPr="006368D9">
        <w:rPr>
          <w:rFonts w:cs="Arial"/>
          <w:bCs/>
          <w:sz w:val="18"/>
        </w:rPr>
        <w:t xml:space="preserve"> během jednoho</w:t>
      </w:r>
      <w:r w:rsidRPr="006368D9">
        <w:rPr>
          <w:rFonts w:cs="Arial"/>
          <w:sz w:val="18"/>
        </w:rPr>
        <w:t xml:space="preserve"> pojistného roku pojistné plnění </w:t>
      </w:r>
      <w:r w:rsidR="0071310E" w:rsidRPr="006368D9">
        <w:rPr>
          <w:rFonts w:cs="Arial"/>
          <w:sz w:val="18"/>
        </w:rPr>
        <w:t xml:space="preserve">v souhrnu maximálně </w:t>
      </w:r>
      <w:r w:rsidRPr="006368D9">
        <w:rPr>
          <w:rFonts w:cs="Arial"/>
          <w:sz w:val="18"/>
        </w:rPr>
        <w:t>do výše limitu pojistného plnění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sublimitu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4)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504F1" w:rsidRPr="006368D9" w:rsidRDefault="00D7357B" w:rsidP="00C24371">
      <w:pPr>
        <w:keepNext/>
        <w:numPr>
          <w:ilvl w:val="0"/>
          <w:numId w:val="9"/>
        </w:numPr>
        <w:spacing w:before="120"/>
        <w:ind w:left="391" w:hanging="391"/>
        <w:rPr>
          <w:rFonts w:cs="Arial"/>
          <w:b/>
          <w:szCs w:val="22"/>
        </w:rPr>
      </w:pPr>
      <w:bookmarkStart w:id="18" w:name="_Toc367839357"/>
      <w:r w:rsidRPr="006368D9">
        <w:rPr>
          <w:rFonts w:cs="Arial"/>
          <w:b/>
          <w:szCs w:val="22"/>
        </w:rPr>
        <w:t xml:space="preserve">Pojistné plnění </w:t>
      </w:r>
    </w:p>
    <w:p w:rsidR="002504F1" w:rsidRPr="006368D9" w:rsidRDefault="004D4F69" w:rsidP="00C24371">
      <w:pPr>
        <w:numPr>
          <w:ilvl w:val="0"/>
          <w:numId w:val="10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za všechny pojistné události způsobené </w:t>
      </w:r>
      <w:r w:rsidRPr="00005C05">
        <w:rPr>
          <w:rFonts w:cs="Arial"/>
          <w:b/>
          <w:sz w:val="20"/>
        </w:rPr>
        <w:t>povodní nebo záplavou</w:t>
      </w:r>
      <w:r w:rsidRPr="006368D9">
        <w:rPr>
          <w:rFonts w:cs="Arial"/>
          <w:sz w:val="20"/>
        </w:rPr>
        <w:t>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6368D9"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Pr="006368D9">
        <w:rPr>
          <w:rFonts w:cs="Arial"/>
          <w:sz w:val="20"/>
        </w:rPr>
        <w:t xml:space="preserve"> ve výši </w:t>
      </w:r>
      <w:r w:rsidR="0080593D" w:rsidRPr="00005C05">
        <w:rPr>
          <w:rFonts w:cs="Arial"/>
          <w:b/>
          <w:sz w:val="20"/>
        </w:rPr>
        <w:t>1</w:t>
      </w:r>
      <w:r w:rsidR="009433CA" w:rsidRPr="00005C05">
        <w:rPr>
          <w:rFonts w:cs="Arial"/>
          <w:b/>
          <w:sz w:val="20"/>
        </w:rPr>
        <w:t>5</w:t>
      </w:r>
      <w:r w:rsidR="0080593D" w:rsidRPr="00005C05">
        <w:rPr>
          <w:rFonts w:cs="Arial"/>
          <w:b/>
          <w:sz w:val="20"/>
        </w:rPr>
        <w:t xml:space="preserve">,000.000,- </w:t>
      </w:r>
      <w:r w:rsidRPr="00005C05">
        <w:rPr>
          <w:rFonts w:cs="Arial"/>
          <w:b/>
          <w:sz w:val="20"/>
        </w:rPr>
        <w:t>Kč;</w:t>
      </w:r>
      <w:r w:rsidRPr="006368D9">
        <w:rPr>
          <w:rFonts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:rsidR="002504F1" w:rsidRPr="006368D9" w:rsidRDefault="00987DBC" w:rsidP="00C24371">
      <w:pPr>
        <w:numPr>
          <w:ilvl w:val="0"/>
          <w:numId w:val="10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 xml:space="preserve">v souhrnu </w:t>
      </w:r>
      <w:r w:rsidRPr="000E7A1F">
        <w:rPr>
          <w:rFonts w:cs="Arial"/>
          <w:sz w:val="20"/>
        </w:rPr>
        <w:t>za</w:t>
      </w:r>
      <w:r w:rsidRPr="006368D9">
        <w:rPr>
          <w:rFonts w:cs="Arial"/>
          <w:sz w:val="20"/>
        </w:rPr>
        <w:t xml:space="preserve"> všechny pojistné události způsobené </w:t>
      </w:r>
      <w:r w:rsidRPr="00005C05">
        <w:rPr>
          <w:rFonts w:cs="Arial"/>
          <w:b/>
          <w:sz w:val="20"/>
        </w:rPr>
        <w:t>vichřicí nebo krupobitím</w:t>
      </w:r>
      <w:r w:rsidRPr="006368D9">
        <w:rPr>
          <w:rFonts w:cs="Arial"/>
          <w:sz w:val="20"/>
        </w:rPr>
        <w:t>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9433CA" w:rsidRPr="00005C05">
        <w:rPr>
          <w:rFonts w:cs="Arial"/>
          <w:b/>
          <w:sz w:val="20"/>
        </w:rPr>
        <w:t>20</w:t>
      </w:r>
      <w:r w:rsidR="0080593D" w:rsidRPr="00005C05">
        <w:rPr>
          <w:rFonts w:cs="Arial"/>
          <w:b/>
          <w:sz w:val="20"/>
        </w:rPr>
        <w:t xml:space="preserve">,000.000,- </w:t>
      </w:r>
      <w:r w:rsidRPr="00005C05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2504F1" w:rsidRPr="006368D9" w:rsidRDefault="00987DBC" w:rsidP="00C24371">
      <w:pPr>
        <w:numPr>
          <w:ilvl w:val="0"/>
          <w:numId w:val="10"/>
        </w:numPr>
        <w:tabs>
          <w:tab w:val="left" w:pos="-720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za všechny pojistné události způsobené </w:t>
      </w:r>
      <w:r w:rsidRPr="00005C05">
        <w:rPr>
          <w:rFonts w:cs="Arial"/>
          <w:b/>
          <w:sz w:val="20"/>
        </w:rPr>
        <w:t>sesouváním půdy, zřícením skal nebo zemin, sesouváním nebo zřícením lavin, zemětřesením, tíhou sněhu nebo námrazy</w:t>
      </w:r>
      <w:r w:rsidRPr="006368D9">
        <w:rPr>
          <w:rFonts w:cs="Arial"/>
          <w:sz w:val="20"/>
        </w:rPr>
        <w:t xml:space="preserve">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</w:t>
      </w:r>
      <w:r w:rsidR="001F1C6E">
        <w:rPr>
          <w:sz w:val="20"/>
          <w:szCs w:val="20"/>
        </w:rPr>
        <w:t> </w:t>
      </w:r>
      <w:r w:rsidR="002A23E6"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9433CA" w:rsidRPr="00005C05">
        <w:rPr>
          <w:rFonts w:cs="Arial"/>
          <w:b/>
          <w:sz w:val="20"/>
        </w:rPr>
        <w:t xml:space="preserve">20,000.000,- </w:t>
      </w:r>
      <w:r w:rsidRPr="00005C05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</w:t>
      </w:r>
      <w:r w:rsidR="00D7357B" w:rsidRPr="006368D9">
        <w:rPr>
          <w:rFonts w:cs="Arial"/>
          <w:sz w:val="20"/>
        </w:rPr>
        <w:t>.</w:t>
      </w:r>
    </w:p>
    <w:p w:rsidR="00D7357B" w:rsidRPr="00C24371" w:rsidRDefault="00D7357B" w:rsidP="00C24371">
      <w:pPr>
        <w:pStyle w:val="Styl10bZarovnatdobloku"/>
      </w:pP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DB61CF" w:rsidRPr="006368D9" w:rsidRDefault="00313165" w:rsidP="00C24371">
      <w:pPr>
        <w:keepNext/>
        <w:numPr>
          <w:ilvl w:val="0"/>
          <w:numId w:val="12"/>
        </w:numPr>
        <w:tabs>
          <w:tab w:val="left" w:pos="-1560"/>
        </w:tabs>
        <w:spacing w:before="120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P</w:t>
      </w:r>
      <w:r w:rsidR="00DB61CF" w:rsidRPr="00DB61CF">
        <w:rPr>
          <w:rFonts w:cs="Arial"/>
          <w:sz w:val="20"/>
        </w:rPr>
        <w:t>ojistné za sjednanou dobu pojištění činí:</w:t>
      </w:r>
    </w:p>
    <w:p w:rsidR="00AB2CAD" w:rsidRPr="006368D9" w:rsidRDefault="00AB2CAD" w:rsidP="00C24371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120"/>
        <w:ind w:left="993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AB2CAD" w:rsidRPr="006368D9" w:rsidRDefault="00AB2CAD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713BCA">
        <w:rPr>
          <w:rFonts w:cs="Arial"/>
          <w:sz w:val="20"/>
        </w:rPr>
        <w:t>47</w:t>
      </w:r>
      <w:r w:rsidR="00711588">
        <w:rPr>
          <w:rFonts w:cs="Arial"/>
          <w:sz w:val="20"/>
        </w:rPr>
        <w:t>6</w:t>
      </w:r>
      <w:r w:rsidR="00713BCA">
        <w:rPr>
          <w:rFonts w:cs="Arial"/>
          <w:sz w:val="20"/>
        </w:rPr>
        <w:t>.</w:t>
      </w:r>
      <w:r w:rsidR="00711588">
        <w:rPr>
          <w:rFonts w:cs="Arial"/>
          <w:sz w:val="20"/>
        </w:rPr>
        <w:t>114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C24371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8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:rsidR="00AB2CAD" w:rsidRPr="006368D9" w:rsidRDefault="00AB2CAD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713BCA">
        <w:rPr>
          <w:rFonts w:cs="Arial"/>
          <w:sz w:val="20"/>
        </w:rPr>
        <w:t>8</w:t>
      </w:r>
      <w:r w:rsidR="00711588">
        <w:rPr>
          <w:rFonts w:cs="Arial"/>
          <w:sz w:val="20"/>
        </w:rPr>
        <w:t>3</w:t>
      </w:r>
      <w:r w:rsidR="00713BCA">
        <w:rPr>
          <w:rFonts w:cs="Arial"/>
          <w:sz w:val="20"/>
        </w:rPr>
        <w:t>.</w:t>
      </w:r>
      <w:r w:rsidR="00711588">
        <w:rPr>
          <w:rFonts w:cs="Arial"/>
          <w:sz w:val="20"/>
        </w:rPr>
        <w:t>8</w:t>
      </w:r>
      <w:r w:rsidR="00713BCA">
        <w:rPr>
          <w:rFonts w:cs="Arial"/>
          <w:sz w:val="20"/>
        </w:rPr>
        <w:t>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C24371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8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odpovědnosti za újmu</w:t>
      </w:r>
    </w:p>
    <w:p w:rsidR="00AB2CAD" w:rsidRPr="006368D9" w:rsidRDefault="00AB2CAD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313165">
        <w:rPr>
          <w:rFonts w:cs="Arial"/>
          <w:sz w:val="20"/>
        </w:rPr>
        <w:t>35.000</w:t>
      </w:r>
      <w:r w:rsidRPr="006368D9">
        <w:rPr>
          <w:rFonts w:cs="Arial"/>
          <w:sz w:val="20"/>
        </w:rPr>
        <w:t>,- Kč</w:t>
      </w:r>
    </w:p>
    <w:p w:rsidR="00D729ED" w:rsidRPr="006368D9" w:rsidRDefault="00D729ED" w:rsidP="00D729ED">
      <w:pPr>
        <w:keepNext/>
        <w:tabs>
          <w:tab w:val="right" w:leader="dot" w:pos="9639"/>
        </w:tabs>
        <w:spacing w:before="120"/>
        <w:ind w:left="284" w:right="-709" w:firstLine="142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činí </w:t>
      </w:r>
      <w:r w:rsidRPr="006368D9">
        <w:rPr>
          <w:rFonts w:cs="Arial"/>
          <w:b/>
          <w:sz w:val="20"/>
        </w:rPr>
        <w:tab/>
        <w:t xml:space="preserve"> </w:t>
      </w:r>
      <w:r w:rsidR="00713BCA">
        <w:rPr>
          <w:rFonts w:cs="Arial"/>
          <w:b/>
          <w:sz w:val="20"/>
        </w:rPr>
        <w:t>59</w:t>
      </w:r>
      <w:r w:rsidR="00711588">
        <w:rPr>
          <w:rFonts w:cs="Arial"/>
          <w:b/>
          <w:sz w:val="20"/>
        </w:rPr>
        <w:t>4</w:t>
      </w:r>
      <w:r w:rsidR="00713BCA">
        <w:rPr>
          <w:rFonts w:cs="Arial"/>
          <w:b/>
          <w:sz w:val="20"/>
        </w:rPr>
        <w:t>.</w:t>
      </w:r>
      <w:r w:rsidR="00711588">
        <w:rPr>
          <w:rFonts w:cs="Arial"/>
          <w:b/>
          <w:sz w:val="20"/>
        </w:rPr>
        <w:t>914</w:t>
      </w:r>
      <w:r w:rsidRPr="006368D9">
        <w:rPr>
          <w:rFonts w:cs="Arial"/>
          <w:b/>
          <w:sz w:val="20"/>
        </w:rPr>
        <w:t>,- Kč</w:t>
      </w:r>
      <w:r w:rsidRPr="006368D9">
        <w:rPr>
          <w:rFonts w:cs="Arial"/>
          <w:sz w:val="20"/>
        </w:rPr>
        <w:t>.</w:t>
      </w:r>
    </w:p>
    <w:p w:rsidR="00AB2CAD" w:rsidRPr="006368D9" w:rsidRDefault="00AB2CAD" w:rsidP="001B6F1B">
      <w:pPr>
        <w:keepNext/>
        <w:tabs>
          <w:tab w:val="right" w:leader="dot" w:pos="9781"/>
        </w:tabs>
        <w:spacing w:before="80"/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Obchodní sleva</w:t>
      </w:r>
      <w:r w:rsidR="004B2B44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čin</w:t>
      </w:r>
      <w:r w:rsidR="0080593D">
        <w:rPr>
          <w:rFonts w:cs="Arial"/>
          <w:sz w:val="20"/>
        </w:rPr>
        <w:t>í</w:t>
      </w:r>
      <w:r w:rsidR="00313165">
        <w:rPr>
          <w:rFonts w:cs="Arial"/>
          <w:sz w:val="20"/>
        </w:rPr>
        <w:t xml:space="preserve"> </w:t>
      </w:r>
      <w:r w:rsidR="00713BCA">
        <w:rPr>
          <w:rFonts w:cs="Arial"/>
          <w:sz w:val="20"/>
        </w:rPr>
        <w:t>30</w:t>
      </w:r>
      <w:r w:rsidR="00313165">
        <w:rPr>
          <w:rFonts w:cs="Arial"/>
          <w:sz w:val="20"/>
        </w:rPr>
        <w:t>%</w:t>
      </w:r>
    </w:p>
    <w:p w:rsidR="00D729ED" w:rsidRPr="006368D9" w:rsidRDefault="00D729ED" w:rsidP="001B6F1B">
      <w:pPr>
        <w:tabs>
          <w:tab w:val="right" w:leader="dot" w:pos="9639"/>
        </w:tabs>
        <w:spacing w:before="80"/>
        <w:ind w:left="425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Celkové pojistné za sjednaná pojištění po slevách činí</w:t>
      </w:r>
      <w:r w:rsidRPr="006368D9">
        <w:rPr>
          <w:rFonts w:cs="Arial"/>
          <w:b/>
          <w:sz w:val="20"/>
        </w:rPr>
        <w:tab/>
        <w:t xml:space="preserve"> </w:t>
      </w:r>
      <w:r w:rsidR="00713BCA">
        <w:rPr>
          <w:rFonts w:cs="Arial"/>
          <w:b/>
          <w:sz w:val="20"/>
        </w:rPr>
        <w:t>41</w:t>
      </w:r>
      <w:r w:rsidR="00711588">
        <w:rPr>
          <w:rFonts w:cs="Arial"/>
          <w:b/>
          <w:sz w:val="20"/>
        </w:rPr>
        <w:t>6</w:t>
      </w:r>
      <w:r w:rsidR="00713BCA">
        <w:rPr>
          <w:rFonts w:cs="Arial"/>
          <w:b/>
          <w:sz w:val="20"/>
        </w:rPr>
        <w:t>.</w:t>
      </w:r>
      <w:r w:rsidR="00711588">
        <w:rPr>
          <w:rFonts w:cs="Arial"/>
          <w:b/>
          <w:sz w:val="20"/>
        </w:rPr>
        <w:t>440</w:t>
      </w:r>
      <w:r w:rsidRPr="006368D9">
        <w:rPr>
          <w:rFonts w:cs="Arial"/>
          <w:b/>
          <w:sz w:val="20"/>
        </w:rPr>
        <w:t>,- Kč</w:t>
      </w:r>
      <w:r w:rsidRPr="006368D9">
        <w:rPr>
          <w:rFonts w:cs="Arial"/>
          <w:sz w:val="20"/>
        </w:rPr>
        <w:t>.</w:t>
      </w:r>
    </w:p>
    <w:p w:rsidR="00AB2CAD" w:rsidRPr="006368D9" w:rsidRDefault="00AB2CAD" w:rsidP="00C24371">
      <w:pPr>
        <w:keepNext/>
        <w:numPr>
          <w:ilvl w:val="0"/>
          <w:numId w:val="12"/>
        </w:numPr>
        <w:tabs>
          <w:tab w:val="left" w:pos="-1418"/>
        </w:tabs>
        <w:spacing w:before="18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sjednáno jako běžné. </w:t>
      </w:r>
    </w:p>
    <w:p w:rsidR="00AB2CAD" w:rsidRPr="006368D9" w:rsidRDefault="00AB2CAD" w:rsidP="00AB2CAD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Pojistné období je šestiměsíční. Pojistné je splatné k</w:t>
      </w:r>
      <w:r w:rsidR="00DB61CF"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datům a v částkách takto: </w:t>
      </w:r>
    </w:p>
    <w:p w:rsidR="00AB2CAD" w:rsidRDefault="00AB2CAD" w:rsidP="001B6F1B">
      <w:pPr>
        <w:tabs>
          <w:tab w:val="left" w:pos="-1560"/>
          <w:tab w:val="left" w:pos="-1418"/>
          <w:tab w:val="left" w:pos="3969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DB61CF" w:rsidRPr="005E1D2B" w:rsidRDefault="00C000B9" w:rsidP="00DB61CF">
      <w:pPr>
        <w:tabs>
          <w:tab w:val="left" w:pos="-1560"/>
          <w:tab w:val="left" w:pos="-1418"/>
          <w:tab w:val="left" w:pos="3969"/>
        </w:tabs>
        <w:ind w:left="85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15</w:t>
      </w:r>
      <w:r w:rsidR="00DB61CF" w:rsidRPr="005E1D2B">
        <w:rPr>
          <w:rFonts w:cs="Arial"/>
          <w:sz w:val="20"/>
        </w:rPr>
        <w:t xml:space="preserve">. </w:t>
      </w:r>
      <w:r w:rsidR="00313165">
        <w:rPr>
          <w:rFonts w:cs="Arial"/>
          <w:sz w:val="20"/>
        </w:rPr>
        <w:t>6</w:t>
      </w:r>
      <w:r w:rsidR="00DB61CF" w:rsidRPr="005E1D2B">
        <w:rPr>
          <w:rFonts w:cs="Arial"/>
          <w:sz w:val="20"/>
        </w:rPr>
        <w:t>. 20</w:t>
      </w:r>
      <w:r w:rsidR="00DB61CF">
        <w:rPr>
          <w:rFonts w:cs="Arial"/>
          <w:sz w:val="20"/>
        </w:rPr>
        <w:t>1</w:t>
      </w:r>
      <w:r w:rsidR="009F17B4">
        <w:rPr>
          <w:rFonts w:cs="Arial"/>
          <w:sz w:val="20"/>
        </w:rPr>
        <w:t>7</w:t>
      </w:r>
      <w:r w:rsidR="00313165">
        <w:rPr>
          <w:rFonts w:cs="Arial"/>
          <w:sz w:val="20"/>
        </w:rPr>
        <w:tab/>
      </w:r>
      <w:r w:rsidR="00713BCA">
        <w:rPr>
          <w:rFonts w:cs="Arial"/>
          <w:sz w:val="20"/>
        </w:rPr>
        <w:t>20</w:t>
      </w:r>
      <w:r w:rsidR="00711588">
        <w:rPr>
          <w:rFonts w:cs="Arial"/>
          <w:sz w:val="20"/>
        </w:rPr>
        <w:t>8</w:t>
      </w:r>
      <w:r w:rsidR="00713BCA">
        <w:rPr>
          <w:rFonts w:cs="Arial"/>
          <w:sz w:val="20"/>
        </w:rPr>
        <w:t>.</w:t>
      </w:r>
      <w:r w:rsidR="00711588">
        <w:rPr>
          <w:rFonts w:cs="Arial"/>
          <w:sz w:val="20"/>
        </w:rPr>
        <w:t>220</w:t>
      </w:r>
      <w:r w:rsidR="00DB61CF" w:rsidRPr="005E1D2B">
        <w:rPr>
          <w:rFonts w:cs="Arial"/>
          <w:sz w:val="20"/>
        </w:rPr>
        <w:t>,- Kč</w:t>
      </w:r>
    </w:p>
    <w:p w:rsidR="00DB61CF" w:rsidRPr="005E1D2B" w:rsidRDefault="00DB61CF" w:rsidP="00DB61CF">
      <w:pPr>
        <w:tabs>
          <w:tab w:val="left" w:pos="-1560"/>
          <w:tab w:val="left" w:pos="-1418"/>
          <w:tab w:val="left" w:pos="3969"/>
        </w:tabs>
        <w:ind w:left="851" w:hanging="284"/>
        <w:jc w:val="both"/>
        <w:rPr>
          <w:rFonts w:cs="Arial"/>
          <w:sz w:val="20"/>
        </w:rPr>
      </w:pPr>
      <w:r w:rsidRPr="005E1D2B">
        <w:rPr>
          <w:rFonts w:cs="Arial"/>
          <w:sz w:val="20"/>
        </w:rPr>
        <w:t>1</w:t>
      </w:r>
      <w:r w:rsidR="00313165">
        <w:rPr>
          <w:rFonts w:cs="Arial"/>
          <w:sz w:val="20"/>
        </w:rPr>
        <w:t>5</w:t>
      </w:r>
      <w:r w:rsidRPr="005E1D2B">
        <w:rPr>
          <w:rFonts w:cs="Arial"/>
          <w:sz w:val="20"/>
        </w:rPr>
        <w:t xml:space="preserve">. </w:t>
      </w:r>
      <w:r w:rsidR="00313165">
        <w:rPr>
          <w:rFonts w:cs="Arial"/>
          <w:sz w:val="20"/>
        </w:rPr>
        <w:t>12</w:t>
      </w:r>
      <w:r w:rsidRPr="005E1D2B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r w:rsidRPr="005E1D2B">
        <w:rPr>
          <w:rFonts w:cs="Arial"/>
          <w:sz w:val="20"/>
        </w:rPr>
        <w:t>20</w:t>
      </w:r>
      <w:r>
        <w:rPr>
          <w:rFonts w:cs="Arial"/>
          <w:sz w:val="20"/>
        </w:rPr>
        <w:t>1</w:t>
      </w:r>
      <w:r w:rsidR="009F17B4">
        <w:rPr>
          <w:rFonts w:cs="Arial"/>
          <w:sz w:val="20"/>
        </w:rPr>
        <w:t>7</w:t>
      </w:r>
      <w:r w:rsidRPr="005E1D2B">
        <w:rPr>
          <w:rFonts w:cs="Arial"/>
          <w:sz w:val="20"/>
        </w:rPr>
        <w:tab/>
      </w:r>
      <w:r w:rsidR="00713BCA">
        <w:rPr>
          <w:rFonts w:cs="Arial"/>
          <w:sz w:val="20"/>
        </w:rPr>
        <w:t>20</w:t>
      </w:r>
      <w:r w:rsidR="00711588">
        <w:rPr>
          <w:rFonts w:cs="Arial"/>
          <w:sz w:val="20"/>
        </w:rPr>
        <w:t>8</w:t>
      </w:r>
      <w:r w:rsidR="00713BCA">
        <w:rPr>
          <w:rFonts w:cs="Arial"/>
          <w:sz w:val="20"/>
        </w:rPr>
        <w:t>.</w:t>
      </w:r>
      <w:r w:rsidR="00711588">
        <w:rPr>
          <w:rFonts w:cs="Arial"/>
          <w:sz w:val="20"/>
        </w:rPr>
        <w:t>220</w:t>
      </w:r>
      <w:r w:rsidRPr="005E1D2B">
        <w:rPr>
          <w:rFonts w:cs="Arial"/>
          <w:sz w:val="20"/>
        </w:rPr>
        <w:t>,- Kč</w:t>
      </w:r>
    </w:p>
    <w:p w:rsidR="00AB2CAD" w:rsidRDefault="00AB2CAD" w:rsidP="00C24371">
      <w:pPr>
        <w:keepNext/>
        <w:numPr>
          <w:ilvl w:val="0"/>
          <w:numId w:val="12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je povinen uhradit pojistné v uvedené výši na účet pojistitele č.</w:t>
      </w:r>
      <w:r w:rsidR="00CB2C87" w:rsidRPr="006368D9">
        <w:rPr>
          <w:rFonts w:cs="Arial"/>
          <w:sz w:val="20"/>
        </w:rPr>
        <w:t> </w:t>
      </w:r>
      <w:r w:rsidRPr="006368D9">
        <w:rPr>
          <w:rFonts w:cs="Arial"/>
          <w:sz w:val="20"/>
        </w:rPr>
        <w:t>ú</w:t>
      </w:r>
      <w:r w:rsidR="00AB7146">
        <w:rPr>
          <w:rFonts w:cs="Arial"/>
          <w:sz w:val="20"/>
        </w:rPr>
        <w:t>. 2226222</w:t>
      </w:r>
      <w:r w:rsidRPr="006368D9">
        <w:rPr>
          <w:rFonts w:cs="Arial"/>
          <w:sz w:val="20"/>
        </w:rPr>
        <w:t>/</w:t>
      </w:r>
      <w:r w:rsidR="00AB7146">
        <w:rPr>
          <w:rFonts w:cs="Arial"/>
          <w:sz w:val="20"/>
        </w:rPr>
        <w:t xml:space="preserve">0800, </w:t>
      </w:r>
      <w:r w:rsidRPr="006368D9">
        <w:rPr>
          <w:rFonts w:cs="Arial"/>
          <w:sz w:val="20"/>
        </w:rPr>
        <w:t xml:space="preserve">variabilní symbol: </w:t>
      </w:r>
      <w:r w:rsidR="009F17B4">
        <w:rPr>
          <w:rFonts w:cs="Arial"/>
          <w:sz w:val="20"/>
        </w:rPr>
        <w:t>7721040576.</w:t>
      </w:r>
    </w:p>
    <w:p w:rsidR="001B6F1B" w:rsidRPr="001B6F1B" w:rsidRDefault="001B6F1B" w:rsidP="00C24371">
      <w:pPr>
        <w:keepNext/>
        <w:numPr>
          <w:ilvl w:val="0"/>
          <w:numId w:val="12"/>
        </w:numPr>
        <w:tabs>
          <w:tab w:val="left" w:pos="-1560"/>
        </w:tabs>
        <w:spacing w:before="120"/>
        <w:jc w:val="both"/>
        <w:rPr>
          <w:rFonts w:cs="Arial"/>
          <w:sz w:val="20"/>
          <w:szCs w:val="20"/>
        </w:rPr>
      </w:pPr>
      <w:r w:rsidRPr="001B6F1B">
        <w:rPr>
          <w:sz w:val="20"/>
          <w:szCs w:val="20"/>
        </w:rPr>
        <w:t>Výše uvedené pojistné je stanoveno bez pojistné či jiné obdobné daně (dále jen „</w:t>
      </w:r>
      <w:r w:rsidRPr="001B6F1B">
        <w:rPr>
          <w:b/>
          <w:sz w:val="20"/>
          <w:szCs w:val="20"/>
        </w:rPr>
        <w:t>daň</w:t>
      </w:r>
      <w:r w:rsidRPr="001B6F1B">
        <w:rPr>
          <w:sz w:val="20"/>
          <w:szCs w:val="20"/>
        </w:rPr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112144" w:rsidRPr="006368D9" w:rsidRDefault="00112144" w:rsidP="001B6F1B">
      <w:pPr>
        <w:tabs>
          <w:tab w:val="left" w:pos="-720"/>
        </w:tabs>
        <w:jc w:val="center"/>
        <w:rPr>
          <w:rFonts w:cs="Arial"/>
          <w:b/>
          <w:i/>
          <w:sz w:val="20"/>
          <w:szCs w:val="20"/>
        </w:rPr>
      </w:pPr>
    </w:p>
    <w:p w:rsidR="00D7357B" w:rsidRPr="006368D9" w:rsidRDefault="00D7357B" w:rsidP="00DA2C42">
      <w:pPr>
        <w:keepNext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:rsidR="00D7357B" w:rsidRPr="006368D9" w:rsidRDefault="00D7357B" w:rsidP="00DA2C42">
      <w:pPr>
        <w:keepNext/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7357B" w:rsidP="001B6F1B">
      <w:pPr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6368D9">
        <w:rPr>
          <w:rFonts w:cs="Arial"/>
          <w:sz w:val="20"/>
        </w:rPr>
        <w:t>jeden z níže uvedených kontaktních údajů</w:t>
      </w:r>
      <w:r w:rsidRPr="006368D9">
        <w:rPr>
          <w:rFonts w:cs="Arial"/>
          <w:sz w:val="20"/>
        </w:rPr>
        <w:t>:</w:t>
      </w:r>
    </w:p>
    <w:p w:rsidR="00D7357B" w:rsidRPr="006368D9" w:rsidRDefault="00D7357B" w:rsidP="00C24371">
      <w:pPr>
        <w:keepNext/>
        <w:numPr>
          <w:ilvl w:val="12"/>
          <w:numId w:val="0"/>
        </w:numPr>
        <w:tabs>
          <w:tab w:val="left" w:pos="-720"/>
          <w:tab w:val="left" w:pos="5954"/>
        </w:tabs>
        <w:spacing w:before="120"/>
        <w:jc w:val="center"/>
        <w:rPr>
          <w:sz w:val="20"/>
        </w:rPr>
      </w:pPr>
      <w:r w:rsidRPr="006368D9">
        <w:rPr>
          <w:sz w:val="20"/>
        </w:rPr>
        <w:t>Kooperativa pojišťovna, a.s., Vienna Insurance Group</w:t>
      </w:r>
    </w:p>
    <w:p w:rsidR="00D7357B" w:rsidRPr="006368D9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272535" w:rsidRPr="006368D9" w:rsidRDefault="00D7357B" w:rsidP="00DB61CF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 xml:space="preserve">Tel.: </w:t>
      </w:r>
      <w:r w:rsidR="009F17B4">
        <w:rPr>
          <w:sz w:val="20"/>
        </w:rPr>
        <w:t>957</w:t>
      </w:r>
      <w:r w:rsidRPr="006368D9">
        <w:rPr>
          <w:sz w:val="20"/>
        </w:rPr>
        <w:t> 105</w:t>
      </w:r>
      <w:r w:rsidR="008C3BA4" w:rsidRPr="006368D9">
        <w:rPr>
          <w:sz w:val="20"/>
        </w:rPr>
        <w:t> </w:t>
      </w:r>
      <w:r w:rsidRPr="006368D9">
        <w:rPr>
          <w:sz w:val="20"/>
        </w:rPr>
        <w:t>105</w:t>
      </w:r>
    </w:p>
    <w:p w:rsidR="00272535" w:rsidRPr="006368D9" w:rsidRDefault="00D7357B" w:rsidP="00DB61CF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</w:t>
      </w:r>
      <w:r w:rsidR="00974B31" w:rsidRPr="006368D9">
        <w:rPr>
          <w:sz w:val="20"/>
        </w:rPr>
        <w:t> </w:t>
      </w:r>
      <w:r w:rsidRPr="006368D9">
        <w:rPr>
          <w:sz w:val="20"/>
        </w:rPr>
        <w:t>561</w:t>
      </w:r>
    </w:p>
    <w:p w:rsidR="00974B31" w:rsidRPr="006368D9" w:rsidRDefault="00974B31" w:rsidP="00DB61CF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Pr="006368D9" w:rsidRDefault="00974B31" w:rsidP="00DB61CF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D7357B" w:rsidRPr="006368D9" w:rsidRDefault="008C3BA4" w:rsidP="001B6F1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p w:rsidR="00D7357B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8"/>
    <w:p w:rsidR="00D7357B" w:rsidRPr="006368D9" w:rsidRDefault="00D7357B" w:rsidP="001B6F1B">
      <w:pPr>
        <w:keepNext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Pr="006368D9" w:rsidRDefault="00D7357B" w:rsidP="00DA2C42">
      <w:pPr>
        <w:keepNext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85333E" w:rsidRDefault="00645880" w:rsidP="00C24371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Ujednává se, že se ruší ustanovení čl. 1 odst. 7) a 8), čl. 3 odst. </w:t>
      </w:r>
      <w:r w:rsidR="00313165">
        <w:rPr>
          <w:rFonts w:cs="Arial"/>
          <w:sz w:val="20"/>
        </w:rPr>
        <w:t xml:space="preserve">4) a </w:t>
      </w:r>
      <w:r w:rsidRPr="006368D9">
        <w:rPr>
          <w:rFonts w:cs="Arial"/>
          <w:sz w:val="20"/>
        </w:rPr>
        <w:t>5), čl. 6 odst. 3) a čl. 9</w:t>
      </w:r>
      <w:r w:rsidR="009B2AEF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ZPP P-150/14.</w:t>
      </w:r>
      <w:r w:rsidR="007309D4">
        <w:rPr>
          <w:rFonts w:cs="Arial"/>
          <w:sz w:val="20"/>
        </w:rPr>
        <w:t xml:space="preserve"> </w:t>
      </w:r>
    </w:p>
    <w:p w:rsidR="00104E9D" w:rsidRPr="000E7A1F" w:rsidRDefault="00104E9D" w:rsidP="00C24371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9B4765">
        <w:rPr>
          <w:rFonts w:cs="Arial"/>
          <w:sz w:val="20"/>
        </w:rPr>
        <w:t>Ujedná</w:t>
      </w:r>
      <w:r>
        <w:rPr>
          <w:rFonts w:cs="Arial"/>
          <w:sz w:val="20"/>
        </w:rPr>
        <w:t>vá se, že se ustanovení čl. 3 odst. 3) ZPP P-150/14 ruší a nově zní:</w:t>
      </w:r>
    </w:p>
    <w:p w:rsidR="00104E9D" w:rsidRPr="009B4765" w:rsidRDefault="00104E9D" w:rsidP="00104E9D">
      <w:pPr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„Z pojištění nevzniká právo na plnění pojistitele za škody vzniklé na pojištěné věci během její přepravy jako nákladu.“</w:t>
      </w:r>
    </w:p>
    <w:p w:rsidR="002927DA" w:rsidRPr="002927DA" w:rsidRDefault="002927DA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D729ED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D543B8" w:rsidRPr="00D543B8" w:rsidRDefault="00A068D2" w:rsidP="00C24371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D543B8" w:rsidRPr="00D543B8" w:rsidRDefault="00B16FA4" w:rsidP="00C24371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mu byly oznámeny informace v souladu s ustanovením § 2760 občanského zákoníku.</w:t>
      </w:r>
    </w:p>
    <w:p w:rsidR="00D543B8" w:rsidRPr="00D543B8" w:rsidRDefault="00B16FA4" w:rsidP="00C24371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6368D9" w:rsidRDefault="00B16FA4" w:rsidP="00C24371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</w:t>
      </w:r>
      <w:r w:rsidR="004036F1" w:rsidRPr="006368D9">
        <w:rPr>
          <w:rFonts w:cs="Arial"/>
          <w:sz w:val="20"/>
        </w:rPr>
        <w:t xml:space="preserve"> </w:t>
      </w:r>
      <w:r w:rsidR="00A068D2" w:rsidRPr="006368D9">
        <w:rPr>
          <w:rFonts w:cs="Arial"/>
          <w:sz w:val="20"/>
        </w:rPr>
        <w:t>potvrzuje, že před uzavřením pojistné smlouvy převzal v listinné nebo jiné textové podobě (např. na trvalém nosiči dat) dokumenty uvedené v</w:t>
      </w:r>
      <w:r w:rsidR="008B3DF9" w:rsidRPr="006368D9">
        <w:rPr>
          <w:rFonts w:cs="Arial"/>
          <w:sz w:val="20"/>
        </w:rPr>
        <w:t> čl.</w:t>
      </w:r>
      <w:r w:rsidR="00A068D2" w:rsidRPr="006368D9">
        <w:rPr>
          <w:rFonts w:cs="Arial"/>
          <w:sz w:val="20"/>
        </w:rPr>
        <w:t xml:space="preserve"> </w:t>
      </w:r>
      <w:r w:rsidR="008D79F6" w:rsidRPr="006368D9">
        <w:rPr>
          <w:rFonts w:cs="Arial"/>
          <w:sz w:val="20"/>
        </w:rPr>
        <w:t>I</w:t>
      </w:r>
      <w:r w:rsidR="007309D4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bodu</w:t>
      </w:r>
      <w:r w:rsidR="00A068D2" w:rsidRPr="006368D9">
        <w:rPr>
          <w:rFonts w:cs="Arial"/>
          <w:sz w:val="20"/>
        </w:rPr>
        <w:t xml:space="preserve"> </w:t>
      </w:r>
      <w:r w:rsidR="00786148">
        <w:rPr>
          <w:rFonts w:cs="Arial"/>
          <w:sz w:val="20"/>
        </w:rPr>
        <w:t>2</w:t>
      </w:r>
      <w:r w:rsidR="002A2FC0" w:rsidRPr="006368D9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5F7341" w:rsidRPr="006368D9">
        <w:rPr>
          <w:rFonts w:cs="Arial"/>
          <w:sz w:val="20"/>
        </w:rPr>
        <w:t xml:space="preserve">této </w:t>
      </w:r>
      <w:r w:rsidR="00967528" w:rsidRPr="006368D9">
        <w:rPr>
          <w:rFonts w:cs="Arial"/>
          <w:sz w:val="20"/>
        </w:rPr>
        <w:t xml:space="preserve">pojistné </w:t>
      </w:r>
      <w:r w:rsidR="00A068D2" w:rsidRPr="006368D9">
        <w:rPr>
          <w:rFonts w:cs="Arial"/>
          <w:sz w:val="20"/>
        </w:rPr>
        <w:t>smlouvy a seznámil se s nimi. Pojistník si je vědom, že tyto dokumenty tvoří nedílnou součást pojistné smlouvy a upravují rozsah pojištění, jeho omezení (včetně výluk), práva a povinnosti účastníků pojištění a následky jejich porušení a</w:t>
      </w:r>
      <w:r w:rsidR="007309D4">
        <w:rPr>
          <w:rFonts w:cs="Arial"/>
          <w:sz w:val="20"/>
        </w:rPr>
        <w:t> </w:t>
      </w:r>
      <w:r w:rsidR="00A068D2" w:rsidRPr="006368D9">
        <w:rPr>
          <w:rFonts w:cs="Arial"/>
          <w:sz w:val="20"/>
        </w:rPr>
        <w:t>další podmínky pojištění a pojistník je jimi vázán stejně jako pojistnou smlouvou.</w:t>
      </w:r>
    </w:p>
    <w:p w:rsidR="006368D9" w:rsidRDefault="00A068D2" w:rsidP="00C24371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potvrzuje, že adresa jeho </w:t>
      </w:r>
      <w:r w:rsidR="00AA716D" w:rsidRPr="006368D9">
        <w:rPr>
          <w:rFonts w:cs="Arial"/>
          <w:sz w:val="20"/>
        </w:rPr>
        <w:t>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</w:t>
      </w:r>
      <w:r w:rsidR="001C46FA"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pro případ, kdy pojistiteli oznámí změnu </w:t>
      </w:r>
      <w:r w:rsidR="00AA716D" w:rsidRPr="006368D9">
        <w:rPr>
          <w:rFonts w:cs="Arial"/>
          <w:sz w:val="20"/>
        </w:rPr>
        <w:t>jeho 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nebo kontaktů elektronické komunikace v době trvání této pojistné smlouvy.</w:t>
      </w:r>
      <w:r w:rsidR="00AA716D" w:rsidRPr="006368D9">
        <w:rPr>
          <w:rFonts w:cs="Arial"/>
          <w:sz w:val="20"/>
        </w:rPr>
        <w:t xml:space="preserve"> Tím není dotčena možnost používání jiných údajů uvedených v dříve uzavřených pojistných smlouvách.</w:t>
      </w:r>
    </w:p>
    <w:p w:rsidR="006368D9" w:rsidRPr="002250DE" w:rsidRDefault="00527B81" w:rsidP="00C24371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</w:t>
      </w:r>
      <w:r w:rsidR="00A068D2" w:rsidRPr="006368D9">
        <w:rPr>
          <w:rFonts w:cs="Arial"/>
          <w:sz w:val="20"/>
        </w:rPr>
        <w:t>ojistník souhlasí, aby pojistitel předával jeho osobní údaje členům pojišťovací skupiny Vienna Insurance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</w:t>
      </w:r>
      <w:r w:rsidR="006B6F68" w:rsidRPr="006368D9">
        <w:rPr>
          <w:rFonts w:cs="Arial"/>
          <w:sz w:val="20"/>
        </w:rPr>
        <w:t>.</w:t>
      </w:r>
    </w:p>
    <w:p w:rsidR="002250DE" w:rsidRPr="002250DE" w:rsidRDefault="002250DE" w:rsidP="00C24371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2250DE">
        <w:rPr>
          <w:rFonts w:cs="Arial"/>
          <w:sz w:val="20"/>
        </w:rPr>
        <w:t>Pojistník prohlašuje, že má oprávněnou potřebu ochrany před následky pojistné události (pojistný zájem)</w:t>
      </w:r>
      <w:r>
        <w:rPr>
          <w:rFonts w:cs="Arial"/>
          <w:sz w:val="20"/>
        </w:rPr>
        <w:t>.</w:t>
      </w:r>
      <w:r w:rsidRPr="002250DE">
        <w:rPr>
          <w:rFonts w:cs="Arial"/>
          <w:sz w:val="20"/>
        </w:rPr>
        <w:t xml:space="preserve"> </w:t>
      </w:r>
    </w:p>
    <w:p w:rsidR="006368D9" w:rsidRDefault="00A068D2" w:rsidP="00C24371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prohlašuje, že věci nebo jiné hodnoty pojistného zájmu pojištěné touto pojistnou smlouvou nejsou k datu uzavření </w:t>
      </w:r>
      <w:r w:rsidR="00967528"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 xml:space="preserve">smlouvy pojištěny proti stejným nebezpečím u jiného pojistitele, pokud není </w:t>
      </w:r>
      <w:r w:rsidR="00974B31" w:rsidRPr="006368D9">
        <w:rPr>
          <w:rFonts w:cs="Arial"/>
          <w:sz w:val="20"/>
        </w:rPr>
        <w:t xml:space="preserve">v </w:t>
      </w:r>
      <w:r w:rsidRPr="006368D9">
        <w:rPr>
          <w:rFonts w:cs="Arial"/>
          <w:sz w:val="20"/>
        </w:rPr>
        <w:t>této pojistné smlouv</w:t>
      </w:r>
      <w:r w:rsidR="00974B31" w:rsidRPr="006368D9">
        <w:rPr>
          <w:rFonts w:cs="Arial"/>
          <w:sz w:val="20"/>
        </w:rPr>
        <w:t>ě</w:t>
      </w:r>
      <w:r w:rsidRPr="006368D9">
        <w:rPr>
          <w:rFonts w:cs="Arial"/>
          <w:sz w:val="20"/>
        </w:rPr>
        <w:t xml:space="preserve"> výslovně uvedeno jinak.</w:t>
      </w:r>
    </w:p>
    <w:p w:rsidR="001B6F1B" w:rsidRPr="000969FB" w:rsidRDefault="001B6F1B" w:rsidP="00C24371">
      <w:pPr>
        <w:pStyle w:val="slovn-rove1-netunb"/>
        <w:numPr>
          <w:ilvl w:val="0"/>
          <w:numId w:val="14"/>
        </w:numPr>
        <w:spacing w:before="60" w:after="0"/>
      </w:pPr>
      <w:r w:rsidRPr="000969FB">
        <w:t>Smluvní strany se dohodly, že pokud tato pojistná smlouva podléhá povinnosti uveřejnění podle zákona č. 340/2015 Sb., o zvláštních podmínkách účinnosti některých smluv, uveřejňování těchto smluv a o registru smluv (dále jen „</w:t>
      </w:r>
      <w:r w:rsidRPr="000969FB">
        <w:rPr>
          <w:b/>
        </w:rPr>
        <w:t>zákon o registru smluv</w:t>
      </w:r>
      <w:r w:rsidRPr="000969FB">
        <w:t>“), je tuto smlouvu povinen uveřejnit pojistník, a to ve lhůtě a způsobem stanoveným tímto zákonem. Pojistník je povinen bezodkladně informovat pojistitele o zaslání smlouvy správci registru smluv zprávou do datové schránky ID: n6tetn3.</w:t>
      </w:r>
    </w:p>
    <w:p w:rsidR="001B6F1B" w:rsidRPr="001B6F1B" w:rsidRDefault="001B6F1B" w:rsidP="001B6F1B">
      <w:pPr>
        <w:spacing w:before="60"/>
        <w:ind w:left="425"/>
        <w:jc w:val="both"/>
        <w:rPr>
          <w:sz w:val="20"/>
          <w:szCs w:val="20"/>
        </w:rPr>
      </w:pPr>
      <w:r w:rsidRPr="001B6F1B">
        <w:rPr>
          <w:sz w:val="20"/>
          <w:szCs w:val="20"/>
        </w:rPr>
        <w:t>Nezajistí-li pojistník uveřejnění této pojistné smlouvy podle předchozího odstavce ve lhůtě 30 dní ode dne jejího uzavření, je pojistitel oprávněn sám tuto pojistnou smlouvu uveřejnit. Pro tento případ pojistník výslovně souhlasí s poskytnutím/uveřejněním informací o této smlouvě, a to v rozsahu nezbytném pro splnění povinnosti dle zákona o registru smluv. Pojistník, je-li osobou odlišnou od pojištěného, dále potvrzuje, že pojištěný dal souhlas s poskytnutím/zveřejněním informací o této pojistné smlouvě na základě plné moci udělené mu pojištěným. Takové uveřejnění nebude porušením povinnosti mlčenlivosti pojistitele ve smyslu platných právních předpisů.</w:t>
      </w:r>
    </w:p>
    <w:p w:rsidR="002927DA" w:rsidRDefault="002927DA" w:rsidP="001B6F1B">
      <w:pPr>
        <w:jc w:val="center"/>
        <w:rPr>
          <w:rFonts w:cs="Arial"/>
          <w:sz w:val="20"/>
        </w:rPr>
      </w:pPr>
    </w:p>
    <w:p w:rsidR="006368D9" w:rsidRPr="000341AF" w:rsidRDefault="00D7357B" w:rsidP="00DA2C42">
      <w:pPr>
        <w:pStyle w:val="Zkladntext32"/>
        <w:keepNext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341AF" w:rsidRDefault="00D7357B" w:rsidP="00DA2C42">
      <w:pPr>
        <w:pStyle w:val="Zkladntext32"/>
        <w:keepNext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Default="00637581" w:rsidP="00C24371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 w:rsidR="001C46FA">
        <w:rPr>
          <w:rFonts w:cs="Arial"/>
          <w:sz w:val="20"/>
        </w:rPr>
        <w:t xml:space="preserve"> </w:t>
      </w:r>
      <w:r w:rsidR="00DB61CF" w:rsidRPr="00DB61CF">
        <w:rPr>
          <w:rFonts w:cs="Arial"/>
          <w:b/>
          <w:sz w:val="20"/>
        </w:rPr>
        <w:t>1</w:t>
      </w:r>
      <w:r w:rsidR="00313165">
        <w:rPr>
          <w:rFonts w:cs="Arial"/>
          <w:b/>
          <w:sz w:val="20"/>
        </w:rPr>
        <w:t>5</w:t>
      </w:r>
      <w:r w:rsidR="00DB61CF" w:rsidRPr="00DB61CF">
        <w:rPr>
          <w:rFonts w:cs="Arial"/>
          <w:b/>
          <w:sz w:val="20"/>
        </w:rPr>
        <w:t xml:space="preserve">. </w:t>
      </w:r>
      <w:r w:rsidR="00313165">
        <w:rPr>
          <w:rFonts w:cs="Arial"/>
          <w:b/>
          <w:sz w:val="20"/>
        </w:rPr>
        <w:t>6</w:t>
      </w:r>
      <w:r w:rsidR="00DB61CF" w:rsidRPr="00DB61CF">
        <w:rPr>
          <w:rFonts w:cs="Arial"/>
          <w:b/>
          <w:sz w:val="20"/>
        </w:rPr>
        <w:t>. 201</w:t>
      </w:r>
      <w:r w:rsidR="001B6F1B">
        <w:rPr>
          <w:rFonts w:cs="Arial"/>
          <w:b/>
          <w:sz w:val="20"/>
        </w:rPr>
        <w:t>7</w:t>
      </w:r>
      <w:r w:rsidR="00DB61CF" w:rsidRPr="00DB61CF">
        <w:rPr>
          <w:rFonts w:cs="Arial"/>
          <w:b/>
          <w:sz w:val="20"/>
        </w:rPr>
        <w:t xml:space="preserve"> </w:t>
      </w:r>
      <w:r w:rsidRPr="006368D9">
        <w:rPr>
          <w:rFonts w:cs="Arial"/>
          <w:sz w:val="20"/>
        </w:rPr>
        <w:t xml:space="preserve">(počátek pojištění) </w:t>
      </w:r>
      <w:r w:rsidR="00D7357B" w:rsidRPr="006368D9">
        <w:rPr>
          <w:rFonts w:cs="Arial"/>
          <w:sz w:val="20"/>
        </w:rPr>
        <w:t>do</w:t>
      </w:r>
      <w:r w:rsidR="00873AA8">
        <w:rPr>
          <w:rFonts w:cs="Arial"/>
          <w:sz w:val="20"/>
        </w:rPr>
        <w:t xml:space="preserve"> </w:t>
      </w:r>
      <w:r w:rsidR="00DB61CF" w:rsidRPr="00DB61CF">
        <w:rPr>
          <w:rFonts w:cs="Arial"/>
          <w:b/>
          <w:sz w:val="20"/>
        </w:rPr>
        <w:t>1</w:t>
      </w:r>
      <w:r w:rsidR="00313165">
        <w:rPr>
          <w:rFonts w:cs="Arial"/>
          <w:b/>
          <w:sz w:val="20"/>
        </w:rPr>
        <w:t>4</w:t>
      </w:r>
      <w:r w:rsidR="00DB61CF" w:rsidRPr="00DB61CF">
        <w:rPr>
          <w:rFonts w:cs="Arial"/>
          <w:b/>
          <w:sz w:val="20"/>
        </w:rPr>
        <w:t xml:space="preserve">. </w:t>
      </w:r>
      <w:r w:rsidR="00313165">
        <w:rPr>
          <w:rFonts w:cs="Arial"/>
          <w:b/>
          <w:sz w:val="20"/>
        </w:rPr>
        <w:t>6</w:t>
      </w:r>
      <w:r w:rsidR="00DB61CF" w:rsidRPr="00DB61CF">
        <w:rPr>
          <w:rFonts w:cs="Arial"/>
          <w:b/>
          <w:sz w:val="20"/>
        </w:rPr>
        <w:t>. 201</w:t>
      </w:r>
      <w:r w:rsidR="001B6F1B">
        <w:rPr>
          <w:rFonts w:cs="Arial"/>
          <w:b/>
          <w:sz w:val="20"/>
        </w:rPr>
        <w:t>8</w:t>
      </w:r>
      <w:r w:rsidR="001C46FA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</w:t>
      </w:r>
      <w:r w:rsidR="00D7357B" w:rsidRPr="006368D9">
        <w:rPr>
          <w:rFonts w:cs="Arial"/>
          <w:sz w:val="20"/>
        </w:rPr>
        <w:t>.</w:t>
      </w:r>
    </w:p>
    <w:p w:rsidR="006368D9" w:rsidRDefault="00C453FF" w:rsidP="00C24371">
      <w:pPr>
        <w:numPr>
          <w:ilvl w:val="0"/>
          <w:numId w:val="15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:rsidR="003955BC" w:rsidRPr="00AC353D" w:rsidRDefault="003955BC" w:rsidP="00C24371">
      <w:pPr>
        <w:numPr>
          <w:ilvl w:val="0"/>
          <w:numId w:val="15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AC353D">
        <w:rPr>
          <w:rFonts w:cs="Arial"/>
          <w:sz w:val="20"/>
        </w:rPr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3955BC" w:rsidRPr="00AC353D" w:rsidRDefault="003955BC" w:rsidP="00C24371">
      <w:pPr>
        <w:numPr>
          <w:ilvl w:val="0"/>
          <w:numId w:val="15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AC353D">
        <w:rPr>
          <w:rFonts w:cs="Arial"/>
          <w:sz w:val="20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10" w:history="1">
        <w:r w:rsidRPr="00AC353D">
          <w:rPr>
            <w:rFonts w:cs="Arial"/>
            <w:sz w:val="20"/>
          </w:rPr>
          <w:t>www.coi.cz</w:t>
        </w:r>
      </w:hyperlink>
      <w:r w:rsidRPr="00AC353D">
        <w:rPr>
          <w:rFonts w:cs="Arial"/>
          <w:sz w:val="20"/>
        </w:rPr>
        <w:t>.</w:t>
      </w:r>
    </w:p>
    <w:p w:rsidR="006368D9" w:rsidRDefault="00747EE5" w:rsidP="00C24371">
      <w:pPr>
        <w:numPr>
          <w:ilvl w:val="0"/>
          <w:numId w:val="15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</w:t>
      </w:r>
      <w:r w:rsidR="00967528"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>smlouvy. Smluvní strany se dohodly, že veškeré písemnosti mající vztah k pojištění sjednané</w:t>
      </w:r>
      <w:r w:rsidR="001C46FA"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19" w:name="_Ref489759092"/>
    </w:p>
    <w:p w:rsidR="006368D9" w:rsidRPr="000341AF" w:rsidRDefault="00D7357B" w:rsidP="00C24371">
      <w:pPr>
        <w:numPr>
          <w:ilvl w:val="0"/>
          <w:numId w:val="15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Pojistná smlouva byla vypracována ve </w:t>
      </w:r>
      <w:r w:rsidR="00DB61CF">
        <w:rPr>
          <w:rFonts w:cs="Arial"/>
          <w:sz w:val="20"/>
        </w:rPr>
        <w:t>čtyřech</w:t>
      </w:r>
      <w:r w:rsidRPr="006368D9">
        <w:rPr>
          <w:rFonts w:cs="Arial"/>
          <w:sz w:val="20"/>
        </w:rPr>
        <w:t xml:space="preserve"> stejnopisech, pojistník obdrží </w:t>
      </w:r>
      <w:r w:rsidR="00DB61CF">
        <w:rPr>
          <w:rFonts w:cs="Arial"/>
          <w:sz w:val="20"/>
        </w:rPr>
        <w:t>jeden</w:t>
      </w:r>
      <w:r w:rsidRPr="006368D9">
        <w:rPr>
          <w:rFonts w:cs="Arial"/>
          <w:sz w:val="20"/>
        </w:rPr>
        <w:t xml:space="preserve"> stejnopis, pojistitel si ponechá </w:t>
      </w:r>
      <w:r w:rsidR="00DB61CF">
        <w:rPr>
          <w:rFonts w:cs="Arial"/>
          <w:sz w:val="20"/>
        </w:rPr>
        <w:t>dva</w:t>
      </w:r>
      <w:r w:rsidRPr="006368D9">
        <w:rPr>
          <w:rFonts w:cs="Arial"/>
          <w:sz w:val="20"/>
        </w:rPr>
        <w:t xml:space="preserve"> stejnopisy, pojišťovací makléř obdrží </w:t>
      </w:r>
      <w:r w:rsidR="00DB61CF">
        <w:rPr>
          <w:rFonts w:cs="Arial"/>
          <w:sz w:val="20"/>
        </w:rPr>
        <w:t xml:space="preserve">jeden </w:t>
      </w:r>
      <w:r w:rsidRPr="006368D9">
        <w:rPr>
          <w:rFonts w:cs="Arial"/>
          <w:sz w:val="20"/>
        </w:rPr>
        <w:t>stejnopis</w:t>
      </w:r>
      <w:r w:rsidR="003679A4" w:rsidRPr="006368D9">
        <w:rPr>
          <w:rFonts w:cs="Arial"/>
          <w:sz w:val="20"/>
        </w:rPr>
        <w:t>.</w:t>
      </w:r>
    </w:p>
    <w:p w:rsidR="006368D9" w:rsidRDefault="003679A4" w:rsidP="00C24371">
      <w:pPr>
        <w:keepNext/>
        <w:numPr>
          <w:ilvl w:val="0"/>
          <w:numId w:val="15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T</w:t>
      </w:r>
      <w:r w:rsidR="00D7357B" w:rsidRPr="006368D9">
        <w:rPr>
          <w:rFonts w:cs="Arial"/>
          <w:sz w:val="20"/>
        </w:rPr>
        <w:t xml:space="preserve">ato pojistná smlouva obsahuje </w:t>
      </w:r>
      <w:r w:rsidR="00D260DC">
        <w:rPr>
          <w:rFonts w:cs="Arial"/>
          <w:sz w:val="20"/>
        </w:rPr>
        <w:fldChar w:fldCharType="begin"/>
      </w:r>
      <w:r w:rsidR="00DB61CF">
        <w:rPr>
          <w:rFonts w:cs="Arial"/>
          <w:sz w:val="20"/>
        </w:rPr>
        <w:instrText xml:space="preserve"> PAGE   \* MERGEFORMAT </w:instrText>
      </w:r>
      <w:r w:rsidR="00D260DC">
        <w:rPr>
          <w:rFonts w:cs="Arial"/>
          <w:sz w:val="20"/>
        </w:rPr>
        <w:fldChar w:fldCharType="separate"/>
      </w:r>
      <w:r w:rsidR="00A41E41">
        <w:rPr>
          <w:rFonts w:cs="Arial"/>
          <w:noProof/>
          <w:sz w:val="20"/>
        </w:rPr>
        <w:t>18</w:t>
      </w:r>
      <w:r w:rsidR="00D260DC">
        <w:rPr>
          <w:rFonts w:cs="Arial"/>
          <w:sz w:val="20"/>
        </w:rPr>
        <w:fldChar w:fldCharType="end"/>
      </w:r>
      <w:r w:rsidR="00DB61CF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stran</w:t>
      </w:r>
      <w:r w:rsidR="00D7357B" w:rsidRPr="006368D9">
        <w:rPr>
          <w:rFonts w:cs="Arial"/>
          <w:sz w:val="20"/>
        </w:rPr>
        <w:t xml:space="preserve"> a příloh</w:t>
      </w:r>
      <w:bookmarkEnd w:id="19"/>
      <w:r w:rsidR="00BD1622">
        <w:rPr>
          <w:rFonts w:cs="Arial"/>
          <w:sz w:val="20"/>
        </w:rPr>
        <w:t>u č. 1</w:t>
      </w:r>
      <w:r w:rsidR="00D7357B" w:rsidRPr="006368D9">
        <w:rPr>
          <w:rFonts w:cs="Arial"/>
          <w:sz w:val="20"/>
        </w:rPr>
        <w:t xml:space="preserve">. Její součástí jsou pojistné podmínky </w:t>
      </w:r>
      <w:r w:rsidRPr="006368D9">
        <w:rPr>
          <w:rFonts w:cs="Arial"/>
          <w:sz w:val="20"/>
        </w:rPr>
        <w:t>pojistitele uvedené</w:t>
      </w:r>
      <w:r w:rsidR="00D7357B" w:rsidRPr="006368D9">
        <w:rPr>
          <w:rFonts w:cs="Arial"/>
          <w:sz w:val="20"/>
        </w:rPr>
        <w:t xml:space="preserve"> v</w:t>
      </w:r>
      <w:r w:rsidR="008B3DF9" w:rsidRPr="006368D9">
        <w:rPr>
          <w:rFonts w:cs="Arial"/>
          <w:sz w:val="20"/>
        </w:rPr>
        <w:t> čl.</w:t>
      </w:r>
      <w:r w:rsidR="00D7357B" w:rsidRPr="006368D9">
        <w:rPr>
          <w:rFonts w:cs="Arial"/>
          <w:sz w:val="20"/>
        </w:rPr>
        <w:t xml:space="preserve"> I. této </w:t>
      </w:r>
      <w:r w:rsidR="00967528" w:rsidRPr="006368D9">
        <w:rPr>
          <w:rFonts w:cs="Arial"/>
          <w:sz w:val="20"/>
        </w:rPr>
        <w:t xml:space="preserve">pojistné </w:t>
      </w:r>
      <w:r w:rsidR="00D7357B" w:rsidRPr="006368D9">
        <w:rPr>
          <w:rFonts w:cs="Arial"/>
          <w:sz w:val="20"/>
        </w:rPr>
        <w:t>smlouvy</w:t>
      </w:r>
      <w:r w:rsidR="0023273B" w:rsidRPr="006368D9">
        <w:rPr>
          <w:rFonts w:cs="Arial"/>
          <w:sz w:val="20"/>
        </w:rPr>
        <w:t xml:space="preserve"> a dokument Informace pro zájemce o pojištění. V případě, že je jakékoli ustanovení uvedené v Informacích pro zájemce</w:t>
      </w:r>
      <w:r w:rsidR="00873AA8">
        <w:rPr>
          <w:rFonts w:cs="Arial"/>
          <w:sz w:val="20"/>
        </w:rPr>
        <w:t xml:space="preserve"> o pojištění</w:t>
      </w:r>
      <w:r w:rsidR="0023273B" w:rsidRPr="006368D9">
        <w:rPr>
          <w:rFonts w:cs="Arial"/>
          <w:sz w:val="20"/>
        </w:rPr>
        <w:t xml:space="preserve"> v rozporu s ustanovením pojistné smlouvy, má přednost příslušné ustanovení pojistné smlouvy.</w:t>
      </w:r>
    </w:p>
    <w:p w:rsidR="006368D9" w:rsidRPr="00BD1622" w:rsidRDefault="00D7357B" w:rsidP="001B6F1B">
      <w:pPr>
        <w:tabs>
          <w:tab w:val="left" w:pos="1843"/>
        </w:tabs>
        <w:ind w:left="425"/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Pr="003465BD">
        <w:rPr>
          <w:sz w:val="20"/>
          <w:szCs w:val="20"/>
        </w:rPr>
        <w:tab/>
        <w:t xml:space="preserve">příloha č. 1 </w:t>
      </w:r>
      <w:r w:rsidR="00BD1622">
        <w:rPr>
          <w:sz w:val="20"/>
          <w:szCs w:val="20"/>
        </w:rPr>
        <w:t>–</w:t>
      </w:r>
      <w:r w:rsidRPr="003465BD">
        <w:rPr>
          <w:sz w:val="20"/>
          <w:szCs w:val="20"/>
        </w:rPr>
        <w:t xml:space="preserve"> </w:t>
      </w:r>
      <w:r w:rsidR="00BD1622">
        <w:rPr>
          <w:i/>
          <w:sz w:val="20"/>
          <w:szCs w:val="20"/>
        </w:rPr>
        <w:t>Výpis z veřejné části Živnostenského rejstříku</w:t>
      </w:r>
    </w:p>
    <w:p w:rsidR="00D7357B" w:rsidRPr="00DB61CF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B61CF" w:rsidRDefault="00DB61CF" w:rsidP="004A73A8">
      <w:pPr>
        <w:rPr>
          <w:rFonts w:cs="Arial"/>
          <w:sz w:val="20"/>
        </w:rPr>
      </w:pPr>
    </w:p>
    <w:p w:rsidR="00DB61CF" w:rsidRDefault="00DB61CF" w:rsidP="004A73A8">
      <w:pPr>
        <w:rPr>
          <w:rFonts w:cs="Arial"/>
          <w:sz w:val="20"/>
        </w:rPr>
      </w:pPr>
    </w:p>
    <w:p w:rsidR="00C24371" w:rsidRDefault="00C24371" w:rsidP="004A73A8">
      <w:pPr>
        <w:rPr>
          <w:rFonts w:cs="Arial"/>
          <w:sz w:val="20"/>
        </w:rPr>
      </w:pPr>
    </w:p>
    <w:p w:rsidR="00C24371" w:rsidRPr="006368D9" w:rsidRDefault="00C24371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DB61CF">
        <w:rPr>
          <w:rFonts w:cs="Arial"/>
          <w:sz w:val="20"/>
        </w:rPr>
        <w:t xml:space="preserve"> Praze </w:t>
      </w:r>
      <w:r w:rsidRPr="006368D9">
        <w:rPr>
          <w:rFonts w:cs="Arial"/>
          <w:sz w:val="20"/>
        </w:rPr>
        <w:t>dne</w:t>
      </w:r>
      <w:r w:rsidR="00BD1622">
        <w:rPr>
          <w:rFonts w:cs="Arial"/>
          <w:sz w:val="20"/>
        </w:rPr>
        <w:t xml:space="preserve"> </w:t>
      </w:r>
      <w:r w:rsidR="00711588">
        <w:rPr>
          <w:rFonts w:cs="Arial"/>
          <w:sz w:val="20"/>
        </w:rPr>
        <w:t>30</w:t>
      </w:r>
      <w:r w:rsidR="00BD1622">
        <w:rPr>
          <w:rFonts w:cs="Arial"/>
          <w:sz w:val="20"/>
        </w:rPr>
        <w:t xml:space="preserve">. </w:t>
      </w:r>
      <w:r w:rsidR="001B6F1B">
        <w:rPr>
          <w:rFonts w:cs="Arial"/>
          <w:sz w:val="20"/>
        </w:rPr>
        <w:t>5</w:t>
      </w:r>
      <w:r w:rsidR="00BD1622">
        <w:rPr>
          <w:rFonts w:cs="Arial"/>
          <w:sz w:val="20"/>
        </w:rPr>
        <w:t>. 201</w:t>
      </w:r>
      <w:r w:rsidR="001B6F1B">
        <w:rPr>
          <w:rFonts w:cs="Arial"/>
          <w:sz w:val="20"/>
        </w:rPr>
        <w:t>7</w:t>
      </w:r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Default="00D7357B" w:rsidP="004A73A8">
      <w:pPr>
        <w:rPr>
          <w:rFonts w:cs="Arial"/>
          <w:sz w:val="20"/>
        </w:rPr>
      </w:pPr>
    </w:p>
    <w:p w:rsidR="00112144" w:rsidRDefault="00112144" w:rsidP="004A73A8">
      <w:pPr>
        <w:rPr>
          <w:rFonts w:cs="Arial"/>
          <w:sz w:val="20"/>
        </w:rPr>
      </w:pPr>
    </w:p>
    <w:p w:rsidR="00112144" w:rsidRDefault="00112144" w:rsidP="004A73A8">
      <w:pPr>
        <w:rPr>
          <w:rFonts w:cs="Arial"/>
          <w:sz w:val="20"/>
        </w:rPr>
      </w:pPr>
    </w:p>
    <w:p w:rsidR="001B6F1B" w:rsidRDefault="001B6F1B" w:rsidP="004A73A8">
      <w:pPr>
        <w:rPr>
          <w:rFonts w:cs="Arial"/>
          <w:sz w:val="20"/>
        </w:rPr>
      </w:pPr>
    </w:p>
    <w:p w:rsidR="00C24371" w:rsidRDefault="00C24371" w:rsidP="004A73A8">
      <w:pPr>
        <w:rPr>
          <w:rFonts w:cs="Arial"/>
          <w:sz w:val="20"/>
        </w:rPr>
      </w:pPr>
    </w:p>
    <w:p w:rsidR="00C24371" w:rsidRDefault="00C24371" w:rsidP="004A73A8">
      <w:pPr>
        <w:rPr>
          <w:rFonts w:cs="Arial"/>
          <w:sz w:val="20"/>
        </w:rPr>
      </w:pPr>
    </w:p>
    <w:p w:rsidR="00112144" w:rsidRDefault="00112144" w:rsidP="004A73A8">
      <w:pPr>
        <w:rPr>
          <w:rFonts w:cs="Arial"/>
          <w:sz w:val="20"/>
        </w:rPr>
      </w:pPr>
    </w:p>
    <w:p w:rsidR="00112144" w:rsidRPr="006368D9" w:rsidRDefault="00112144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>V</w:t>
      </w:r>
      <w:r w:rsidR="00DB61CF">
        <w:rPr>
          <w:rFonts w:cs="Arial"/>
          <w:sz w:val="20"/>
        </w:rPr>
        <w:t xml:space="preserve"> Praze </w:t>
      </w:r>
      <w:r w:rsidRPr="006368D9">
        <w:rPr>
          <w:rFonts w:cs="Arial"/>
          <w:sz w:val="20"/>
        </w:rPr>
        <w:t>dne</w:t>
      </w:r>
      <w:r w:rsidRPr="006368D9">
        <w:rPr>
          <w:rFonts w:cs="Arial"/>
          <w:sz w:val="20"/>
        </w:rPr>
        <w:tab/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</w:p>
    <w:p w:rsidR="00112144" w:rsidRDefault="00112144" w:rsidP="004A73A8">
      <w:pPr>
        <w:rPr>
          <w:rFonts w:cs="Arial"/>
          <w:sz w:val="20"/>
          <w:szCs w:val="20"/>
        </w:rPr>
      </w:pPr>
    </w:p>
    <w:p w:rsidR="00C24371" w:rsidRDefault="00C24371" w:rsidP="004A73A8">
      <w:pPr>
        <w:rPr>
          <w:rFonts w:cs="Arial"/>
          <w:sz w:val="20"/>
          <w:szCs w:val="20"/>
        </w:rPr>
      </w:pPr>
    </w:p>
    <w:p w:rsidR="00C24371" w:rsidRDefault="00C24371" w:rsidP="004A73A8">
      <w:pPr>
        <w:rPr>
          <w:rFonts w:cs="Arial"/>
          <w:sz w:val="20"/>
          <w:szCs w:val="20"/>
        </w:rPr>
      </w:pPr>
    </w:p>
    <w:p w:rsidR="00207BD3" w:rsidRPr="00DB61CF" w:rsidRDefault="00D7357B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  <w:szCs w:val="20"/>
        </w:rPr>
      </w:pPr>
      <w:r w:rsidRPr="00DB61CF">
        <w:rPr>
          <w:rFonts w:ascii="Koop Office" w:hAnsi="Koop Office"/>
          <w:sz w:val="20"/>
          <w:szCs w:val="20"/>
        </w:rPr>
        <w:t>Pojistnou smlouvu vypracoval</w:t>
      </w:r>
      <w:r w:rsidR="00DB61CF" w:rsidRPr="00DB61CF">
        <w:rPr>
          <w:rFonts w:ascii="Koop Office" w:hAnsi="Koop Office"/>
          <w:sz w:val="20"/>
          <w:szCs w:val="20"/>
        </w:rPr>
        <w:t>a</w:t>
      </w:r>
      <w:r w:rsidRPr="00DB61CF">
        <w:rPr>
          <w:rFonts w:ascii="Koop Office" w:hAnsi="Koop Office"/>
          <w:sz w:val="20"/>
          <w:szCs w:val="20"/>
        </w:rPr>
        <w:t xml:space="preserve">: </w:t>
      </w:r>
      <w:bookmarkStart w:id="20" w:name="_GoBack"/>
      <w:bookmarkEnd w:id="20"/>
    </w:p>
    <w:sectPr w:rsidR="00207BD3" w:rsidRPr="00DB61CF" w:rsidSect="00C769CB">
      <w:headerReference w:type="default" r:id="rId11"/>
      <w:headerReference w:type="first" r:id="rId12"/>
      <w:pgSz w:w="11906" w:h="16838" w:code="9"/>
      <w:pgMar w:top="1134" w:right="1134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69" w:rsidRDefault="006C6C69">
      <w:r>
        <w:separator/>
      </w:r>
    </w:p>
  </w:endnote>
  <w:endnote w:type="continuationSeparator" w:id="0">
    <w:p w:rsidR="006C6C69" w:rsidRDefault="006C6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Koop Office">
    <w:altName w:val="Microsoft YaHe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69" w:rsidRDefault="006C6C69">
      <w:r>
        <w:separator/>
      </w:r>
    </w:p>
  </w:footnote>
  <w:footnote w:type="continuationSeparator" w:id="0">
    <w:p w:rsidR="006C6C69" w:rsidRDefault="006C6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9D" w:rsidRPr="00203043" w:rsidRDefault="00104E9D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Stránka </w:t>
    </w:r>
    <w:r w:rsidR="00D260DC" w:rsidRPr="00203043">
      <w:rPr>
        <w:sz w:val="20"/>
        <w:szCs w:val="20"/>
      </w:rPr>
      <w:fldChar w:fldCharType="begin"/>
    </w:r>
    <w:r w:rsidRPr="00203043">
      <w:rPr>
        <w:sz w:val="20"/>
        <w:szCs w:val="20"/>
      </w:rPr>
      <w:instrText>PAGE   \* MERGEFORMAT</w:instrText>
    </w:r>
    <w:r w:rsidR="00D260DC" w:rsidRPr="00203043">
      <w:rPr>
        <w:sz w:val="20"/>
        <w:szCs w:val="20"/>
      </w:rPr>
      <w:fldChar w:fldCharType="separate"/>
    </w:r>
    <w:r w:rsidR="00A41E41">
      <w:rPr>
        <w:noProof/>
        <w:sz w:val="20"/>
        <w:szCs w:val="20"/>
      </w:rPr>
      <w:t>18</w:t>
    </w:r>
    <w:r w:rsidR="00D260DC" w:rsidRPr="00203043">
      <w:rPr>
        <w:sz w:val="20"/>
        <w:szCs w:val="20"/>
      </w:rPr>
      <w:fldChar w:fldCharType="end"/>
    </w:r>
  </w:p>
  <w:p w:rsidR="00104E9D" w:rsidRPr="00203043" w:rsidRDefault="00104E9D" w:rsidP="00652055">
    <w:pPr>
      <w:pStyle w:val="Zhlav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9D" w:rsidRPr="00A61619" w:rsidRDefault="00104E9D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104E9D" w:rsidRDefault="00104E9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35AE2"/>
    <w:multiLevelType w:val="multilevel"/>
    <w:tmpl w:val="498CF56A"/>
    <w:lvl w:ilvl="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2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5A00191"/>
    <w:multiLevelType w:val="multilevel"/>
    <w:tmpl w:val="B3D2FA6A"/>
    <w:lvl w:ilvl="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E3D5A"/>
    <w:multiLevelType w:val="multilevel"/>
    <w:tmpl w:val="FC54B1A2"/>
    <w:lvl w:ilvl="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7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20"/>
  </w:num>
  <w:num w:numId="10">
    <w:abstractNumId w:val="2"/>
  </w:num>
  <w:num w:numId="11">
    <w:abstractNumId w:val="15"/>
  </w:num>
  <w:num w:numId="12">
    <w:abstractNumId w:val="13"/>
  </w:num>
  <w:num w:numId="13">
    <w:abstractNumId w:val="23"/>
  </w:num>
  <w:num w:numId="14">
    <w:abstractNumId w:val="9"/>
  </w:num>
  <w:num w:numId="15">
    <w:abstractNumId w:val="16"/>
  </w:num>
  <w:num w:numId="16">
    <w:abstractNumId w:val="14"/>
  </w:num>
  <w:num w:numId="17">
    <w:abstractNumId w:val="21"/>
  </w:num>
  <w:num w:numId="18">
    <w:abstractNumId w:val="5"/>
  </w:num>
  <w:num w:numId="19">
    <w:abstractNumId w:val="18"/>
  </w:num>
  <w:num w:numId="20">
    <w:abstractNumId w:val="22"/>
  </w:num>
  <w:num w:numId="21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1FB6"/>
    <w:rsid w:val="00000AEC"/>
    <w:rsid w:val="000031E3"/>
    <w:rsid w:val="00004162"/>
    <w:rsid w:val="000056C9"/>
    <w:rsid w:val="00005C05"/>
    <w:rsid w:val="000067B5"/>
    <w:rsid w:val="0001024B"/>
    <w:rsid w:val="0001084B"/>
    <w:rsid w:val="00011F3C"/>
    <w:rsid w:val="0001259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1E6D"/>
    <w:rsid w:val="00081E97"/>
    <w:rsid w:val="000839F7"/>
    <w:rsid w:val="00084DA2"/>
    <w:rsid w:val="00084F31"/>
    <w:rsid w:val="00085618"/>
    <w:rsid w:val="00090ECC"/>
    <w:rsid w:val="000910E5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C117C"/>
    <w:rsid w:val="000C19A5"/>
    <w:rsid w:val="000C6477"/>
    <w:rsid w:val="000C676E"/>
    <w:rsid w:val="000D0067"/>
    <w:rsid w:val="000D04DB"/>
    <w:rsid w:val="000D0FEA"/>
    <w:rsid w:val="000E51F6"/>
    <w:rsid w:val="000E7A1F"/>
    <w:rsid w:val="000F0B7B"/>
    <w:rsid w:val="000F2EBD"/>
    <w:rsid w:val="000F2F1F"/>
    <w:rsid w:val="000F414C"/>
    <w:rsid w:val="000F4D58"/>
    <w:rsid w:val="000F4DC1"/>
    <w:rsid w:val="000F5B35"/>
    <w:rsid w:val="001031FB"/>
    <w:rsid w:val="0010468E"/>
    <w:rsid w:val="00104E9D"/>
    <w:rsid w:val="001050E9"/>
    <w:rsid w:val="00107F95"/>
    <w:rsid w:val="001109FB"/>
    <w:rsid w:val="00110EE9"/>
    <w:rsid w:val="00112144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17B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1DC3"/>
    <w:rsid w:val="001A2CD7"/>
    <w:rsid w:val="001A3F5A"/>
    <w:rsid w:val="001A50C9"/>
    <w:rsid w:val="001A523E"/>
    <w:rsid w:val="001A7313"/>
    <w:rsid w:val="001A738F"/>
    <w:rsid w:val="001B1FBE"/>
    <w:rsid w:val="001B6F1B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6107"/>
    <w:rsid w:val="001D7F15"/>
    <w:rsid w:val="001E311D"/>
    <w:rsid w:val="001F1C6E"/>
    <w:rsid w:val="001F77D4"/>
    <w:rsid w:val="00200FF3"/>
    <w:rsid w:val="00201613"/>
    <w:rsid w:val="002021DB"/>
    <w:rsid w:val="00203043"/>
    <w:rsid w:val="00207BD3"/>
    <w:rsid w:val="00213AAC"/>
    <w:rsid w:val="002153D3"/>
    <w:rsid w:val="00215E8B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904DC"/>
    <w:rsid w:val="002910B4"/>
    <w:rsid w:val="0029187F"/>
    <w:rsid w:val="002927DA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4B57"/>
    <w:rsid w:val="002B57A6"/>
    <w:rsid w:val="002B6EAE"/>
    <w:rsid w:val="002C18E9"/>
    <w:rsid w:val="002C2B1D"/>
    <w:rsid w:val="002C2B9F"/>
    <w:rsid w:val="002C4130"/>
    <w:rsid w:val="002C42C6"/>
    <w:rsid w:val="002C6A91"/>
    <w:rsid w:val="002D15A4"/>
    <w:rsid w:val="002D22B3"/>
    <w:rsid w:val="002D34DD"/>
    <w:rsid w:val="002E6FFB"/>
    <w:rsid w:val="002F05B2"/>
    <w:rsid w:val="002F0718"/>
    <w:rsid w:val="002F0CD4"/>
    <w:rsid w:val="002F40FB"/>
    <w:rsid w:val="003068FE"/>
    <w:rsid w:val="00311B0D"/>
    <w:rsid w:val="00312551"/>
    <w:rsid w:val="00313165"/>
    <w:rsid w:val="003154F3"/>
    <w:rsid w:val="00317AD3"/>
    <w:rsid w:val="00320BB3"/>
    <w:rsid w:val="0032209A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55BC"/>
    <w:rsid w:val="003971E3"/>
    <w:rsid w:val="0039741A"/>
    <w:rsid w:val="003A118E"/>
    <w:rsid w:val="003A155F"/>
    <w:rsid w:val="003A279D"/>
    <w:rsid w:val="003A4222"/>
    <w:rsid w:val="003B3C93"/>
    <w:rsid w:val="003B73D9"/>
    <w:rsid w:val="003B79BF"/>
    <w:rsid w:val="003C0DEB"/>
    <w:rsid w:val="003C191B"/>
    <w:rsid w:val="003C2CE5"/>
    <w:rsid w:val="003C2DB7"/>
    <w:rsid w:val="003C3394"/>
    <w:rsid w:val="003C4B96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4800"/>
    <w:rsid w:val="003F7218"/>
    <w:rsid w:val="004036F1"/>
    <w:rsid w:val="00404905"/>
    <w:rsid w:val="00406A5F"/>
    <w:rsid w:val="004149EA"/>
    <w:rsid w:val="0042166D"/>
    <w:rsid w:val="00421FDC"/>
    <w:rsid w:val="004239DC"/>
    <w:rsid w:val="00425023"/>
    <w:rsid w:val="00426552"/>
    <w:rsid w:val="004337FE"/>
    <w:rsid w:val="0043399E"/>
    <w:rsid w:val="00433D9F"/>
    <w:rsid w:val="004458BA"/>
    <w:rsid w:val="00445E75"/>
    <w:rsid w:val="0044603E"/>
    <w:rsid w:val="00452183"/>
    <w:rsid w:val="00453225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075D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46FE"/>
    <w:rsid w:val="004F681F"/>
    <w:rsid w:val="00501006"/>
    <w:rsid w:val="0050101E"/>
    <w:rsid w:val="005015FA"/>
    <w:rsid w:val="00502A56"/>
    <w:rsid w:val="00502BF0"/>
    <w:rsid w:val="00506C8E"/>
    <w:rsid w:val="005128B6"/>
    <w:rsid w:val="00512999"/>
    <w:rsid w:val="00513C02"/>
    <w:rsid w:val="00516021"/>
    <w:rsid w:val="00517364"/>
    <w:rsid w:val="00521A2D"/>
    <w:rsid w:val="0052287A"/>
    <w:rsid w:val="005249F1"/>
    <w:rsid w:val="00527B81"/>
    <w:rsid w:val="0053028B"/>
    <w:rsid w:val="005302DA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6CF6"/>
    <w:rsid w:val="00556F6C"/>
    <w:rsid w:val="00561901"/>
    <w:rsid w:val="00561DCF"/>
    <w:rsid w:val="00563C77"/>
    <w:rsid w:val="005679B6"/>
    <w:rsid w:val="005715B2"/>
    <w:rsid w:val="00575F21"/>
    <w:rsid w:val="0058382A"/>
    <w:rsid w:val="00587741"/>
    <w:rsid w:val="00593137"/>
    <w:rsid w:val="00593FB6"/>
    <w:rsid w:val="00597601"/>
    <w:rsid w:val="005A24AA"/>
    <w:rsid w:val="005A375C"/>
    <w:rsid w:val="005A5936"/>
    <w:rsid w:val="005A79D1"/>
    <w:rsid w:val="005C1B8E"/>
    <w:rsid w:val="005C305B"/>
    <w:rsid w:val="005C66A6"/>
    <w:rsid w:val="005D342B"/>
    <w:rsid w:val="005D4E95"/>
    <w:rsid w:val="005D5494"/>
    <w:rsid w:val="005D6BBE"/>
    <w:rsid w:val="005E246A"/>
    <w:rsid w:val="005F060A"/>
    <w:rsid w:val="005F11F1"/>
    <w:rsid w:val="005F183C"/>
    <w:rsid w:val="005F5DA0"/>
    <w:rsid w:val="005F7341"/>
    <w:rsid w:val="005F77BE"/>
    <w:rsid w:val="006019EF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6C01"/>
    <w:rsid w:val="00627369"/>
    <w:rsid w:val="00627496"/>
    <w:rsid w:val="00627B14"/>
    <w:rsid w:val="0063279B"/>
    <w:rsid w:val="00634335"/>
    <w:rsid w:val="00636306"/>
    <w:rsid w:val="006368D9"/>
    <w:rsid w:val="00637581"/>
    <w:rsid w:val="006404B6"/>
    <w:rsid w:val="0064460A"/>
    <w:rsid w:val="0064470C"/>
    <w:rsid w:val="00645880"/>
    <w:rsid w:val="00651A18"/>
    <w:rsid w:val="00652055"/>
    <w:rsid w:val="00653F9E"/>
    <w:rsid w:val="00661340"/>
    <w:rsid w:val="00661B98"/>
    <w:rsid w:val="00661D7E"/>
    <w:rsid w:val="00665130"/>
    <w:rsid w:val="00666281"/>
    <w:rsid w:val="0066668E"/>
    <w:rsid w:val="00666A40"/>
    <w:rsid w:val="006670E0"/>
    <w:rsid w:val="0067014F"/>
    <w:rsid w:val="00670416"/>
    <w:rsid w:val="00671CAA"/>
    <w:rsid w:val="00671F52"/>
    <w:rsid w:val="00675B7D"/>
    <w:rsid w:val="00676DAE"/>
    <w:rsid w:val="006772F3"/>
    <w:rsid w:val="006821A1"/>
    <w:rsid w:val="00682D19"/>
    <w:rsid w:val="00686F62"/>
    <w:rsid w:val="0068794D"/>
    <w:rsid w:val="006879E1"/>
    <w:rsid w:val="00690862"/>
    <w:rsid w:val="00690A7B"/>
    <w:rsid w:val="0069250C"/>
    <w:rsid w:val="00695652"/>
    <w:rsid w:val="006A0B1A"/>
    <w:rsid w:val="006A3365"/>
    <w:rsid w:val="006A5330"/>
    <w:rsid w:val="006A6442"/>
    <w:rsid w:val="006B6671"/>
    <w:rsid w:val="006B6F68"/>
    <w:rsid w:val="006C2792"/>
    <w:rsid w:val="006C349E"/>
    <w:rsid w:val="006C3690"/>
    <w:rsid w:val="006C6C69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1AC2"/>
    <w:rsid w:val="007024F2"/>
    <w:rsid w:val="007037B8"/>
    <w:rsid w:val="00704FA8"/>
    <w:rsid w:val="00707684"/>
    <w:rsid w:val="00707D1B"/>
    <w:rsid w:val="00711588"/>
    <w:rsid w:val="0071310E"/>
    <w:rsid w:val="00713175"/>
    <w:rsid w:val="00713BCA"/>
    <w:rsid w:val="00716E15"/>
    <w:rsid w:val="007211D0"/>
    <w:rsid w:val="00724C83"/>
    <w:rsid w:val="00725F46"/>
    <w:rsid w:val="007268E3"/>
    <w:rsid w:val="007271CC"/>
    <w:rsid w:val="007309D4"/>
    <w:rsid w:val="00734423"/>
    <w:rsid w:val="00737B01"/>
    <w:rsid w:val="007440FF"/>
    <w:rsid w:val="007451FC"/>
    <w:rsid w:val="007459FA"/>
    <w:rsid w:val="00745B01"/>
    <w:rsid w:val="00747005"/>
    <w:rsid w:val="00747EE5"/>
    <w:rsid w:val="00750001"/>
    <w:rsid w:val="00752B1B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86148"/>
    <w:rsid w:val="00790CF7"/>
    <w:rsid w:val="0079560F"/>
    <w:rsid w:val="007A0D3C"/>
    <w:rsid w:val="007A14CE"/>
    <w:rsid w:val="007A2187"/>
    <w:rsid w:val="007A24DE"/>
    <w:rsid w:val="007A3504"/>
    <w:rsid w:val="007A4E91"/>
    <w:rsid w:val="007A7820"/>
    <w:rsid w:val="007B07B3"/>
    <w:rsid w:val="007B0D43"/>
    <w:rsid w:val="007B5A3D"/>
    <w:rsid w:val="007C3392"/>
    <w:rsid w:val="007C5C59"/>
    <w:rsid w:val="007C6242"/>
    <w:rsid w:val="007C7672"/>
    <w:rsid w:val="007D03A0"/>
    <w:rsid w:val="007D1F7E"/>
    <w:rsid w:val="007D63E7"/>
    <w:rsid w:val="007D6E4C"/>
    <w:rsid w:val="007D7C4F"/>
    <w:rsid w:val="007E5D56"/>
    <w:rsid w:val="007E77EC"/>
    <w:rsid w:val="007F03FE"/>
    <w:rsid w:val="007F5278"/>
    <w:rsid w:val="007F610A"/>
    <w:rsid w:val="00802B85"/>
    <w:rsid w:val="0080593D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A2F"/>
    <w:rsid w:val="00841E18"/>
    <w:rsid w:val="00843283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5CCB"/>
    <w:rsid w:val="008761BB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2228"/>
    <w:rsid w:val="008B3B19"/>
    <w:rsid w:val="008B3DF9"/>
    <w:rsid w:val="008B593C"/>
    <w:rsid w:val="008B60DF"/>
    <w:rsid w:val="008C0B86"/>
    <w:rsid w:val="008C1B8D"/>
    <w:rsid w:val="008C2446"/>
    <w:rsid w:val="008C28C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F213B"/>
    <w:rsid w:val="008F3E07"/>
    <w:rsid w:val="008F5671"/>
    <w:rsid w:val="008F5954"/>
    <w:rsid w:val="009006E2"/>
    <w:rsid w:val="0090147A"/>
    <w:rsid w:val="00907146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33CA"/>
    <w:rsid w:val="00945654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DD5"/>
    <w:rsid w:val="00987DBC"/>
    <w:rsid w:val="00991A45"/>
    <w:rsid w:val="00992296"/>
    <w:rsid w:val="009928BB"/>
    <w:rsid w:val="009939B9"/>
    <w:rsid w:val="00997131"/>
    <w:rsid w:val="009A0E3C"/>
    <w:rsid w:val="009A2F62"/>
    <w:rsid w:val="009A340F"/>
    <w:rsid w:val="009A3C2C"/>
    <w:rsid w:val="009A7349"/>
    <w:rsid w:val="009B14DA"/>
    <w:rsid w:val="009B1C0B"/>
    <w:rsid w:val="009B2AEF"/>
    <w:rsid w:val="009B2E61"/>
    <w:rsid w:val="009B6503"/>
    <w:rsid w:val="009C1FF3"/>
    <w:rsid w:val="009C25E9"/>
    <w:rsid w:val="009C434C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872"/>
    <w:rsid w:val="009E5C33"/>
    <w:rsid w:val="009E73BC"/>
    <w:rsid w:val="009F08A1"/>
    <w:rsid w:val="009F17B4"/>
    <w:rsid w:val="009F541E"/>
    <w:rsid w:val="009F6117"/>
    <w:rsid w:val="009F6C54"/>
    <w:rsid w:val="009F7689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1E41"/>
    <w:rsid w:val="00A46BF6"/>
    <w:rsid w:val="00A47E9D"/>
    <w:rsid w:val="00A501BF"/>
    <w:rsid w:val="00A50917"/>
    <w:rsid w:val="00A548FF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87ED1"/>
    <w:rsid w:val="00A92E5F"/>
    <w:rsid w:val="00A94337"/>
    <w:rsid w:val="00AA0586"/>
    <w:rsid w:val="00AA34DB"/>
    <w:rsid w:val="00AA4846"/>
    <w:rsid w:val="00AA59FC"/>
    <w:rsid w:val="00AA5E00"/>
    <w:rsid w:val="00AA716D"/>
    <w:rsid w:val="00AA7F4B"/>
    <w:rsid w:val="00AB010E"/>
    <w:rsid w:val="00AB2CAD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4C35"/>
    <w:rsid w:val="00AF521E"/>
    <w:rsid w:val="00AF59C8"/>
    <w:rsid w:val="00AF6C78"/>
    <w:rsid w:val="00B03EC1"/>
    <w:rsid w:val="00B118DC"/>
    <w:rsid w:val="00B1378E"/>
    <w:rsid w:val="00B140DB"/>
    <w:rsid w:val="00B15405"/>
    <w:rsid w:val="00B16FA4"/>
    <w:rsid w:val="00B21C0A"/>
    <w:rsid w:val="00B225C5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BF4"/>
    <w:rsid w:val="00B71C4B"/>
    <w:rsid w:val="00B71D41"/>
    <w:rsid w:val="00B72440"/>
    <w:rsid w:val="00B72F91"/>
    <w:rsid w:val="00B73D27"/>
    <w:rsid w:val="00B73E3B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622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2BC9"/>
    <w:rsid w:val="00BB34CF"/>
    <w:rsid w:val="00BB3728"/>
    <w:rsid w:val="00BB52BC"/>
    <w:rsid w:val="00BB7AC2"/>
    <w:rsid w:val="00BC0629"/>
    <w:rsid w:val="00BC2609"/>
    <w:rsid w:val="00BC4F0B"/>
    <w:rsid w:val="00BC665C"/>
    <w:rsid w:val="00BC6BE6"/>
    <w:rsid w:val="00BD1622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B52"/>
    <w:rsid w:val="00BF7D0C"/>
    <w:rsid w:val="00C000B9"/>
    <w:rsid w:val="00C009F1"/>
    <w:rsid w:val="00C019B0"/>
    <w:rsid w:val="00C01DF2"/>
    <w:rsid w:val="00C04539"/>
    <w:rsid w:val="00C0463C"/>
    <w:rsid w:val="00C0582E"/>
    <w:rsid w:val="00C1083B"/>
    <w:rsid w:val="00C12222"/>
    <w:rsid w:val="00C125D3"/>
    <w:rsid w:val="00C15B00"/>
    <w:rsid w:val="00C15F1C"/>
    <w:rsid w:val="00C16350"/>
    <w:rsid w:val="00C1778E"/>
    <w:rsid w:val="00C17C35"/>
    <w:rsid w:val="00C24371"/>
    <w:rsid w:val="00C3353B"/>
    <w:rsid w:val="00C3522F"/>
    <w:rsid w:val="00C41101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7B66"/>
    <w:rsid w:val="00C61488"/>
    <w:rsid w:val="00C63B67"/>
    <w:rsid w:val="00C6767D"/>
    <w:rsid w:val="00C73135"/>
    <w:rsid w:val="00C73C17"/>
    <w:rsid w:val="00C742CF"/>
    <w:rsid w:val="00C769CB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6787"/>
    <w:rsid w:val="00C97235"/>
    <w:rsid w:val="00CA03DC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174B"/>
    <w:rsid w:val="00CD222C"/>
    <w:rsid w:val="00CD46C4"/>
    <w:rsid w:val="00CD75D7"/>
    <w:rsid w:val="00CE32B0"/>
    <w:rsid w:val="00CF256E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6D34"/>
    <w:rsid w:val="00D0788F"/>
    <w:rsid w:val="00D1692E"/>
    <w:rsid w:val="00D16E48"/>
    <w:rsid w:val="00D177FC"/>
    <w:rsid w:val="00D2042B"/>
    <w:rsid w:val="00D21BCE"/>
    <w:rsid w:val="00D25059"/>
    <w:rsid w:val="00D260DC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5385"/>
    <w:rsid w:val="00D65D59"/>
    <w:rsid w:val="00D729ED"/>
    <w:rsid w:val="00D72F3E"/>
    <w:rsid w:val="00D7357B"/>
    <w:rsid w:val="00D737F3"/>
    <w:rsid w:val="00D74929"/>
    <w:rsid w:val="00D75496"/>
    <w:rsid w:val="00D81456"/>
    <w:rsid w:val="00D856DD"/>
    <w:rsid w:val="00D86F64"/>
    <w:rsid w:val="00D91BE8"/>
    <w:rsid w:val="00D97A66"/>
    <w:rsid w:val="00DA0532"/>
    <w:rsid w:val="00DA1EB6"/>
    <w:rsid w:val="00DA2C42"/>
    <w:rsid w:val="00DB0D88"/>
    <w:rsid w:val="00DB488E"/>
    <w:rsid w:val="00DB52CC"/>
    <w:rsid w:val="00DB61CF"/>
    <w:rsid w:val="00DC0324"/>
    <w:rsid w:val="00DC0C0E"/>
    <w:rsid w:val="00DC10E6"/>
    <w:rsid w:val="00DC2701"/>
    <w:rsid w:val="00DC3430"/>
    <w:rsid w:val="00DC5B69"/>
    <w:rsid w:val="00DC7E96"/>
    <w:rsid w:val="00DD3DE5"/>
    <w:rsid w:val="00DD78E3"/>
    <w:rsid w:val="00DE2116"/>
    <w:rsid w:val="00DE2BC7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1786"/>
    <w:rsid w:val="00E25D29"/>
    <w:rsid w:val="00E261D5"/>
    <w:rsid w:val="00E265F8"/>
    <w:rsid w:val="00E27A97"/>
    <w:rsid w:val="00E30A30"/>
    <w:rsid w:val="00E32292"/>
    <w:rsid w:val="00E34ED3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1674"/>
    <w:rsid w:val="00E71CB1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44E0"/>
    <w:rsid w:val="00EB3DC1"/>
    <w:rsid w:val="00EB704F"/>
    <w:rsid w:val="00EC06BF"/>
    <w:rsid w:val="00EC13F3"/>
    <w:rsid w:val="00EC2FF2"/>
    <w:rsid w:val="00EC3149"/>
    <w:rsid w:val="00EC38DE"/>
    <w:rsid w:val="00EC4461"/>
    <w:rsid w:val="00EC490F"/>
    <w:rsid w:val="00EC7610"/>
    <w:rsid w:val="00ED0EB3"/>
    <w:rsid w:val="00ED4085"/>
    <w:rsid w:val="00ED53F8"/>
    <w:rsid w:val="00ED6795"/>
    <w:rsid w:val="00ED79E9"/>
    <w:rsid w:val="00ED7D27"/>
    <w:rsid w:val="00EE20B6"/>
    <w:rsid w:val="00EE2C1A"/>
    <w:rsid w:val="00EE5817"/>
    <w:rsid w:val="00EF0042"/>
    <w:rsid w:val="00EF04CC"/>
    <w:rsid w:val="00EF1FB6"/>
    <w:rsid w:val="00EF283B"/>
    <w:rsid w:val="00EF336A"/>
    <w:rsid w:val="00EF7822"/>
    <w:rsid w:val="00F03FC0"/>
    <w:rsid w:val="00F04CE8"/>
    <w:rsid w:val="00F06E2A"/>
    <w:rsid w:val="00F12A1A"/>
    <w:rsid w:val="00F1320E"/>
    <w:rsid w:val="00F16D39"/>
    <w:rsid w:val="00F220A4"/>
    <w:rsid w:val="00F23BE1"/>
    <w:rsid w:val="00F24FCF"/>
    <w:rsid w:val="00F27BD8"/>
    <w:rsid w:val="00F31EB4"/>
    <w:rsid w:val="00F340CA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5AE6"/>
    <w:rsid w:val="00FB24DB"/>
    <w:rsid w:val="00FB34F2"/>
    <w:rsid w:val="00FB4CBB"/>
    <w:rsid w:val="00FB6952"/>
    <w:rsid w:val="00FC1FD0"/>
    <w:rsid w:val="00FC40E3"/>
    <w:rsid w:val="00FC4B16"/>
    <w:rsid w:val="00FD1B55"/>
    <w:rsid w:val="00FD23A0"/>
    <w:rsid w:val="00FE204E"/>
    <w:rsid w:val="00FE32B0"/>
    <w:rsid w:val="00FE4C16"/>
    <w:rsid w:val="00FE4F39"/>
    <w:rsid w:val="00FE52CE"/>
    <w:rsid w:val="00FE68D0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titulChar">
    <w:name w:val="Podtitul Char"/>
    <w:link w:val="Podtitul"/>
    <w:rsid w:val="00A068D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627369"/>
    <w:pPr>
      <w:spacing w:before="120"/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C24371"/>
    <w:pPr>
      <w:tabs>
        <w:tab w:val="left" w:pos="426"/>
      </w:tabs>
      <w:ind w:left="426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7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-netunb">
    <w:name w:val="Číslování - úroveň 1 - netučné b"/>
    <w:basedOn w:val="Normln"/>
    <w:qFormat/>
    <w:rsid w:val="001B6F1B"/>
    <w:pPr>
      <w:numPr>
        <w:numId w:val="21"/>
      </w:numPr>
      <w:spacing w:before="120" w:after="120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9C05-897B-40BF-A823-AEECC702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2</TotalTime>
  <Pages>3</Pages>
  <Words>4415</Words>
  <Characters>26052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30407</CharactersWithSpaces>
  <SharedDoc>false</SharedDoc>
  <HLinks>
    <vt:vector size="6" baseType="variant">
      <vt:variant>
        <vt:i4>6226035</vt:i4>
      </vt:variant>
      <vt:variant>
        <vt:i4>0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Martina Malá</cp:lastModifiedBy>
  <cp:revision>2</cp:revision>
  <cp:lastPrinted>2017-06-08T07:59:00Z</cp:lastPrinted>
  <dcterms:created xsi:type="dcterms:W3CDTF">2017-06-08T08:01:00Z</dcterms:created>
  <dcterms:modified xsi:type="dcterms:W3CDTF">2017-06-08T08:01:00Z</dcterms:modified>
</cp:coreProperties>
</file>