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F3E" w:rsidRPr="00D85F3E" w:rsidRDefault="00D85F3E" w:rsidP="00D85F3E">
      <w:pPr>
        <w:rPr>
          <w:rStyle w:val="Siln"/>
          <w:rFonts w:asciiTheme="minorHAnsi" w:hAnsiTheme="minorHAnsi"/>
          <w:sz w:val="22"/>
          <w:szCs w:val="22"/>
        </w:rPr>
      </w:pPr>
      <w:r w:rsidRPr="00D85F3E">
        <w:rPr>
          <w:rStyle w:val="Siln"/>
          <w:rFonts w:asciiTheme="minorHAnsi" w:hAnsiTheme="minorHAnsi"/>
          <w:sz w:val="22"/>
          <w:szCs w:val="22"/>
        </w:rPr>
        <w:t xml:space="preserve">Národní památkový ústav, </w:t>
      </w:r>
      <w:r w:rsidRPr="00D85F3E">
        <w:rPr>
          <w:rFonts w:asciiTheme="minorHAnsi" w:hAnsiTheme="minorHAnsi"/>
          <w:sz w:val="22"/>
          <w:szCs w:val="22"/>
        </w:rPr>
        <w:t>státní příspěvková organizace</w:t>
      </w:r>
      <w:r w:rsidRPr="00D85F3E">
        <w:rPr>
          <w:rStyle w:val="Siln"/>
          <w:rFonts w:asciiTheme="minorHAnsi" w:hAnsiTheme="minorHAnsi"/>
          <w:sz w:val="22"/>
          <w:szCs w:val="22"/>
        </w:rPr>
        <w:t xml:space="preserve"> </w:t>
      </w:r>
    </w:p>
    <w:p w:rsidR="00D85F3E" w:rsidRPr="00D85F3E" w:rsidRDefault="00D85F3E" w:rsidP="00D85F3E">
      <w:pPr>
        <w:rPr>
          <w:sz w:val="22"/>
          <w:szCs w:val="22"/>
        </w:rPr>
      </w:pPr>
      <w:r w:rsidRPr="00D85F3E">
        <w:rPr>
          <w:rFonts w:asciiTheme="minorHAnsi" w:hAnsiTheme="minorHAnsi" w:cstheme="minorHAnsi"/>
          <w:sz w:val="22"/>
          <w:szCs w:val="22"/>
        </w:rPr>
        <w:t>Valdštejnské nám. 3, PSČ 118 01 Praha 1 – Malá Strana,</w:t>
      </w:r>
    </w:p>
    <w:p w:rsidR="00D85F3E" w:rsidRPr="00D85F3E" w:rsidRDefault="00D85F3E" w:rsidP="00D85F3E">
      <w:pPr>
        <w:rPr>
          <w:rFonts w:asciiTheme="minorHAnsi" w:hAnsiTheme="minorHAnsi" w:cstheme="minorHAnsi"/>
          <w:sz w:val="22"/>
          <w:szCs w:val="22"/>
        </w:rPr>
      </w:pPr>
      <w:r w:rsidRPr="00D85F3E">
        <w:rPr>
          <w:rFonts w:asciiTheme="minorHAnsi" w:hAnsiTheme="minorHAnsi" w:cstheme="minorHAnsi"/>
          <w:sz w:val="22"/>
          <w:szCs w:val="22"/>
        </w:rPr>
        <w:t>IČ: 75032333, DIČ: CZ75032333,</w:t>
      </w:r>
    </w:p>
    <w:p w:rsidR="00D85F3E" w:rsidRPr="00D85F3E" w:rsidRDefault="00D85F3E" w:rsidP="00D85F3E">
      <w:pPr>
        <w:rPr>
          <w:rFonts w:asciiTheme="minorHAnsi" w:hAnsiTheme="minorHAnsi" w:cstheme="minorHAnsi"/>
          <w:sz w:val="22"/>
          <w:szCs w:val="22"/>
        </w:rPr>
      </w:pPr>
      <w:r w:rsidRPr="00D85F3E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22779E">
        <w:rPr>
          <w:rFonts w:asciiTheme="minorHAnsi" w:hAnsiTheme="minorHAnsi" w:cstheme="minorHAnsi"/>
          <w:sz w:val="22"/>
          <w:szCs w:val="22"/>
        </w:rPr>
        <w:t>XXXX</w:t>
      </w:r>
    </w:p>
    <w:p w:rsidR="00D85F3E" w:rsidRPr="00D85F3E" w:rsidRDefault="00D85F3E" w:rsidP="00D85F3E">
      <w:pPr>
        <w:rPr>
          <w:rFonts w:asciiTheme="minorHAnsi" w:hAnsiTheme="minorHAnsi" w:cstheme="minorHAnsi"/>
          <w:sz w:val="22"/>
          <w:szCs w:val="22"/>
        </w:rPr>
      </w:pPr>
      <w:r w:rsidRPr="00D85F3E">
        <w:rPr>
          <w:rFonts w:asciiTheme="minorHAnsi" w:hAnsiTheme="minorHAnsi" w:cstheme="minorHAnsi"/>
          <w:sz w:val="22"/>
          <w:szCs w:val="22"/>
        </w:rPr>
        <w:t xml:space="preserve">zastoupený: Ing. Petrem </w:t>
      </w:r>
      <w:proofErr w:type="spellStart"/>
      <w:r w:rsidRPr="00D85F3E">
        <w:rPr>
          <w:rFonts w:asciiTheme="minorHAnsi" w:hAnsiTheme="minorHAnsi" w:cstheme="minorHAnsi"/>
          <w:sz w:val="22"/>
          <w:szCs w:val="22"/>
        </w:rPr>
        <w:t>Digrinem</w:t>
      </w:r>
      <w:proofErr w:type="spellEnd"/>
      <w:r w:rsidRPr="00D85F3E">
        <w:rPr>
          <w:rFonts w:asciiTheme="minorHAnsi" w:hAnsiTheme="minorHAnsi" w:cstheme="minorHAnsi"/>
          <w:sz w:val="22"/>
          <w:szCs w:val="22"/>
        </w:rPr>
        <w:t>, PhD., vedoucím odboru správy SZ Mníšek pod Brdy</w:t>
      </w:r>
    </w:p>
    <w:p w:rsidR="00D85F3E" w:rsidRDefault="00D85F3E" w:rsidP="00D85F3E">
      <w:pPr>
        <w:rPr>
          <w:rFonts w:asciiTheme="minorHAnsi" w:hAnsiTheme="minorHAnsi" w:cstheme="minorHAnsi"/>
          <w:szCs w:val="22"/>
        </w:rPr>
      </w:pPr>
    </w:p>
    <w:p w:rsidR="00D85F3E" w:rsidRPr="00D85F3E" w:rsidRDefault="00D85F3E" w:rsidP="00D85F3E">
      <w:pPr>
        <w:rPr>
          <w:rStyle w:val="Siln"/>
          <w:rFonts w:asciiTheme="minorHAnsi" w:hAnsiTheme="minorHAnsi"/>
          <w:sz w:val="22"/>
          <w:szCs w:val="22"/>
        </w:rPr>
      </w:pPr>
      <w:r w:rsidRPr="00D85F3E">
        <w:rPr>
          <w:rStyle w:val="Siln"/>
          <w:rFonts w:asciiTheme="minorHAnsi" w:hAnsiTheme="minorHAnsi"/>
          <w:sz w:val="22"/>
          <w:szCs w:val="22"/>
        </w:rPr>
        <w:t>Doručovací adresa:</w:t>
      </w:r>
    </w:p>
    <w:p w:rsidR="00D85F3E" w:rsidRPr="00D85F3E" w:rsidRDefault="00D85F3E" w:rsidP="00D85F3E">
      <w:pPr>
        <w:rPr>
          <w:rFonts w:asciiTheme="minorHAnsi" w:hAnsiTheme="minorHAnsi" w:cstheme="minorHAnsi"/>
          <w:sz w:val="22"/>
          <w:szCs w:val="22"/>
        </w:rPr>
      </w:pPr>
      <w:r w:rsidRPr="00D85F3E">
        <w:rPr>
          <w:rFonts w:asciiTheme="minorHAnsi" w:hAnsiTheme="minorHAnsi" w:cstheme="minorHAnsi"/>
          <w:b/>
          <w:bCs/>
          <w:sz w:val="22"/>
          <w:szCs w:val="22"/>
        </w:rPr>
        <w:t>Národní památkový ústav,</w:t>
      </w:r>
      <w:r w:rsidRPr="00D85F3E">
        <w:rPr>
          <w:rFonts w:asciiTheme="minorHAnsi" w:hAnsiTheme="minorHAnsi" w:cstheme="minorHAnsi"/>
          <w:sz w:val="22"/>
          <w:szCs w:val="22"/>
        </w:rPr>
        <w:t xml:space="preserve"> správa státního zámku Mníšek pod Brdy</w:t>
      </w:r>
    </w:p>
    <w:p w:rsidR="00D85F3E" w:rsidRPr="00D85F3E" w:rsidRDefault="00D85F3E" w:rsidP="00D85F3E">
      <w:pPr>
        <w:rPr>
          <w:rFonts w:asciiTheme="minorHAnsi" w:hAnsiTheme="minorHAnsi" w:cstheme="minorHAnsi"/>
          <w:sz w:val="22"/>
          <w:szCs w:val="22"/>
        </w:rPr>
      </w:pPr>
      <w:r w:rsidRPr="00D85F3E">
        <w:rPr>
          <w:rFonts w:asciiTheme="minorHAnsi" w:hAnsiTheme="minorHAnsi" w:cstheme="minorHAnsi"/>
          <w:sz w:val="22"/>
          <w:szCs w:val="22"/>
        </w:rPr>
        <w:t>adresa: Náměstí F.X. Svobody 1, Mníšek pod Brdy, 25210</w:t>
      </w:r>
    </w:p>
    <w:p w:rsidR="00D85F3E" w:rsidRPr="00D85F3E" w:rsidRDefault="00D85F3E" w:rsidP="00D85F3E">
      <w:pPr>
        <w:rPr>
          <w:rFonts w:asciiTheme="minorHAnsi" w:hAnsiTheme="minorHAnsi" w:cstheme="minorHAnsi"/>
          <w:sz w:val="22"/>
          <w:szCs w:val="22"/>
        </w:rPr>
      </w:pPr>
      <w:r w:rsidRPr="00D85F3E">
        <w:rPr>
          <w:rFonts w:asciiTheme="minorHAnsi" w:hAnsiTheme="minorHAnsi" w:cstheme="minorHAnsi"/>
          <w:sz w:val="22"/>
          <w:szCs w:val="22"/>
        </w:rPr>
        <w:t xml:space="preserve">tel.: </w:t>
      </w:r>
      <w:r w:rsidR="0022779E">
        <w:rPr>
          <w:rFonts w:asciiTheme="minorHAnsi" w:hAnsiTheme="minorHAnsi" w:cstheme="minorHAnsi"/>
          <w:sz w:val="22"/>
          <w:szCs w:val="22"/>
        </w:rPr>
        <w:t>XXXX</w:t>
      </w:r>
      <w:r w:rsidRPr="00D85F3E">
        <w:rPr>
          <w:rFonts w:asciiTheme="minorHAnsi" w:hAnsiTheme="minorHAnsi" w:cstheme="minorHAnsi"/>
          <w:sz w:val="22"/>
          <w:szCs w:val="22"/>
        </w:rPr>
        <w:t xml:space="preserve">, e-mail: </w:t>
      </w:r>
      <w:r w:rsidR="0022779E">
        <w:rPr>
          <w:rFonts w:asciiTheme="minorHAnsi" w:hAnsiTheme="minorHAnsi" w:cstheme="minorHAnsi"/>
          <w:sz w:val="22"/>
          <w:szCs w:val="22"/>
        </w:rPr>
        <w:t>XXXX</w:t>
      </w:r>
    </w:p>
    <w:p w:rsidR="00C56250" w:rsidRPr="00D85F3E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D85F3E">
        <w:rPr>
          <w:rFonts w:asciiTheme="minorHAnsi" w:hAnsiTheme="minorHAnsi" w:cs="Arial"/>
          <w:sz w:val="22"/>
          <w:szCs w:val="22"/>
        </w:rPr>
        <w:t>(dále jen „</w:t>
      </w:r>
      <w:r w:rsidRPr="00D85F3E">
        <w:rPr>
          <w:rFonts w:asciiTheme="minorHAnsi" w:hAnsiTheme="minorHAnsi" w:cs="Arial"/>
          <w:b/>
          <w:sz w:val="22"/>
          <w:szCs w:val="22"/>
        </w:rPr>
        <w:t>objednatel</w:t>
      </w:r>
      <w:r w:rsidRPr="00D85F3E">
        <w:rPr>
          <w:rFonts w:asciiTheme="minorHAnsi" w:hAnsiTheme="minorHAnsi" w:cs="Arial"/>
          <w:sz w:val="22"/>
          <w:szCs w:val="22"/>
        </w:rPr>
        <w:t>“)</w:t>
      </w:r>
    </w:p>
    <w:p w:rsidR="00C56250" w:rsidRPr="00D85F3E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D85F3E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D85F3E">
        <w:rPr>
          <w:rFonts w:asciiTheme="minorHAnsi" w:hAnsiTheme="minorHAnsi" w:cs="Arial"/>
          <w:sz w:val="22"/>
          <w:szCs w:val="22"/>
        </w:rPr>
        <w:t>a</w:t>
      </w:r>
    </w:p>
    <w:p w:rsidR="00C56250" w:rsidRPr="00D85F3E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D85F3E" w:rsidRPr="00D85F3E" w:rsidRDefault="00D85F3E" w:rsidP="00D85F3E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D85F3E">
        <w:rPr>
          <w:rFonts w:asciiTheme="minorHAnsi" w:hAnsiTheme="minorHAnsi"/>
          <w:b/>
          <w:sz w:val="22"/>
          <w:szCs w:val="22"/>
        </w:rPr>
        <w:t>Komwag</w:t>
      </w:r>
      <w:proofErr w:type="spellEnd"/>
      <w:r w:rsidRPr="00D85F3E">
        <w:rPr>
          <w:rFonts w:asciiTheme="minorHAnsi" w:hAnsiTheme="minorHAnsi"/>
          <w:b/>
          <w:sz w:val="22"/>
          <w:szCs w:val="22"/>
        </w:rPr>
        <w:t>, podnik čistoty a údržby, a.s.</w:t>
      </w:r>
    </w:p>
    <w:p w:rsidR="00D85F3E" w:rsidRPr="00D85F3E" w:rsidRDefault="00D85F3E" w:rsidP="00D85F3E">
      <w:pPr>
        <w:rPr>
          <w:rFonts w:asciiTheme="minorHAnsi" w:hAnsiTheme="minorHAnsi"/>
          <w:sz w:val="22"/>
          <w:szCs w:val="22"/>
        </w:rPr>
      </w:pPr>
      <w:r w:rsidRPr="00D85F3E">
        <w:rPr>
          <w:rFonts w:asciiTheme="minorHAnsi" w:hAnsiTheme="minorHAnsi"/>
          <w:sz w:val="22"/>
          <w:szCs w:val="22"/>
        </w:rPr>
        <w:t>se sídlem: Perucká 10/2542, 120 00 Praha 2 - Vinohrady</w:t>
      </w:r>
    </w:p>
    <w:p w:rsidR="00D85F3E" w:rsidRPr="00D85F3E" w:rsidRDefault="00D85F3E" w:rsidP="00D85F3E">
      <w:pPr>
        <w:rPr>
          <w:rFonts w:asciiTheme="minorHAnsi" w:hAnsiTheme="minorHAnsi"/>
          <w:sz w:val="22"/>
          <w:szCs w:val="22"/>
        </w:rPr>
      </w:pPr>
      <w:r w:rsidRPr="00D85F3E">
        <w:rPr>
          <w:rFonts w:asciiTheme="minorHAnsi" w:hAnsiTheme="minorHAnsi"/>
          <w:sz w:val="22"/>
          <w:szCs w:val="22"/>
        </w:rPr>
        <w:t>zapsána v obchodním rejstříku vedeného Městským soudem v Praze</w:t>
      </w:r>
    </w:p>
    <w:p w:rsidR="00D85F3E" w:rsidRPr="00D85F3E" w:rsidRDefault="00D85F3E" w:rsidP="00D85F3E">
      <w:pPr>
        <w:rPr>
          <w:rFonts w:asciiTheme="minorHAnsi" w:hAnsiTheme="minorHAnsi"/>
          <w:sz w:val="22"/>
          <w:szCs w:val="22"/>
        </w:rPr>
      </w:pPr>
      <w:r w:rsidRPr="00D85F3E">
        <w:rPr>
          <w:rFonts w:asciiTheme="minorHAnsi" w:hAnsiTheme="minorHAnsi"/>
          <w:sz w:val="22"/>
          <w:szCs w:val="22"/>
        </w:rPr>
        <w:t>pod spisovou značkou oddíl B, vložka 3826</w:t>
      </w:r>
    </w:p>
    <w:p w:rsidR="00D85F3E" w:rsidRPr="00D85F3E" w:rsidRDefault="00D85F3E" w:rsidP="00D85F3E">
      <w:pPr>
        <w:rPr>
          <w:rFonts w:asciiTheme="minorHAnsi" w:hAnsiTheme="minorHAnsi"/>
          <w:sz w:val="22"/>
          <w:szCs w:val="22"/>
        </w:rPr>
      </w:pPr>
      <w:r w:rsidRPr="00D85F3E">
        <w:rPr>
          <w:rFonts w:asciiTheme="minorHAnsi" w:hAnsiTheme="minorHAnsi"/>
          <w:sz w:val="22"/>
          <w:szCs w:val="22"/>
        </w:rPr>
        <w:t>IČ: 61057606</w:t>
      </w:r>
      <w:r w:rsidRPr="00D85F3E">
        <w:rPr>
          <w:rFonts w:asciiTheme="minorHAnsi" w:hAnsiTheme="minorHAnsi"/>
          <w:sz w:val="22"/>
          <w:szCs w:val="22"/>
        </w:rPr>
        <w:tab/>
        <w:t>DIČ: CZ61057606</w:t>
      </w:r>
    </w:p>
    <w:p w:rsidR="00D85F3E" w:rsidRPr="00D85F3E" w:rsidRDefault="00D85F3E" w:rsidP="00D85F3E">
      <w:pPr>
        <w:rPr>
          <w:rFonts w:asciiTheme="minorHAnsi" w:hAnsiTheme="minorHAnsi"/>
          <w:sz w:val="22"/>
          <w:szCs w:val="22"/>
        </w:rPr>
      </w:pPr>
      <w:r w:rsidRPr="00D85F3E">
        <w:rPr>
          <w:rFonts w:asciiTheme="minorHAnsi" w:hAnsiTheme="minorHAnsi"/>
          <w:sz w:val="22"/>
          <w:szCs w:val="22"/>
        </w:rPr>
        <w:t xml:space="preserve">bankovní spojení: </w:t>
      </w:r>
      <w:r w:rsidR="0022779E">
        <w:rPr>
          <w:rFonts w:asciiTheme="minorHAnsi" w:hAnsiTheme="minorHAnsi"/>
          <w:sz w:val="22"/>
          <w:szCs w:val="22"/>
        </w:rPr>
        <w:t>XXXX</w:t>
      </w:r>
    </w:p>
    <w:p w:rsidR="00D85F3E" w:rsidRPr="00D85F3E" w:rsidRDefault="00D85F3E" w:rsidP="00D85F3E">
      <w:pPr>
        <w:rPr>
          <w:rFonts w:asciiTheme="minorHAnsi" w:hAnsiTheme="minorHAnsi"/>
          <w:sz w:val="22"/>
          <w:szCs w:val="22"/>
        </w:rPr>
      </w:pPr>
      <w:r w:rsidRPr="00D85F3E">
        <w:rPr>
          <w:rFonts w:asciiTheme="minorHAnsi" w:hAnsiTheme="minorHAnsi"/>
          <w:sz w:val="22"/>
          <w:szCs w:val="22"/>
        </w:rPr>
        <w:t xml:space="preserve">zastoupený: Jaroslavem Stružkou, předsedou představenstva a Ing. Janem </w:t>
      </w:r>
      <w:proofErr w:type="spellStart"/>
      <w:r w:rsidRPr="00D85F3E">
        <w:rPr>
          <w:rFonts w:asciiTheme="minorHAnsi" w:hAnsiTheme="minorHAnsi"/>
          <w:sz w:val="22"/>
          <w:szCs w:val="22"/>
        </w:rPr>
        <w:t>Petružálkem</w:t>
      </w:r>
      <w:proofErr w:type="spellEnd"/>
      <w:r w:rsidRPr="00D85F3E">
        <w:rPr>
          <w:rFonts w:asciiTheme="minorHAnsi" w:hAnsiTheme="minorHAnsi"/>
          <w:sz w:val="22"/>
          <w:szCs w:val="22"/>
        </w:rPr>
        <w:t>, místopředsedou představenstva</w:t>
      </w:r>
    </w:p>
    <w:p w:rsidR="00C56250" w:rsidRPr="00D85F3E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D85F3E">
        <w:rPr>
          <w:rFonts w:asciiTheme="minorHAnsi" w:hAnsiTheme="minorHAnsi" w:cs="Arial"/>
          <w:sz w:val="22"/>
          <w:szCs w:val="22"/>
        </w:rPr>
        <w:t>(dále jen „</w:t>
      </w:r>
      <w:r w:rsidRPr="00D85F3E">
        <w:rPr>
          <w:rFonts w:asciiTheme="minorHAnsi" w:hAnsiTheme="minorHAnsi" w:cs="Arial"/>
          <w:b/>
          <w:sz w:val="22"/>
          <w:szCs w:val="22"/>
        </w:rPr>
        <w:t>zhotovitel</w:t>
      </w:r>
      <w:r w:rsidRPr="00D85F3E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734B3B">
        <w:rPr>
          <w:rFonts w:asciiTheme="minorHAnsi" w:hAnsiTheme="minorHAnsi"/>
          <w:sz w:val="22"/>
        </w:rPr>
        <w:t xml:space="preserve"> </w:t>
      </w:r>
      <w:r w:rsidR="00734B3B" w:rsidRPr="00734B3B">
        <w:rPr>
          <w:rFonts w:asciiTheme="minorHAnsi" w:hAnsiTheme="minorHAnsi"/>
          <w:sz w:val="22"/>
        </w:rPr>
        <w:t>„</w:t>
      </w:r>
      <w:r w:rsidR="00734B3B" w:rsidRPr="00734B3B">
        <w:rPr>
          <w:rFonts w:asciiTheme="minorHAnsi" w:hAnsiTheme="minorHAnsi"/>
          <w:b/>
          <w:sz w:val="22"/>
        </w:rPr>
        <w:t>SZ Mníšek pod Brdy – zajištění údržby části zámeckého parku</w:t>
      </w:r>
      <w:r w:rsidR="002A10D7">
        <w:rPr>
          <w:rFonts w:asciiTheme="minorHAnsi" w:hAnsiTheme="minorHAnsi"/>
          <w:b/>
          <w:sz w:val="22"/>
        </w:rPr>
        <w:t xml:space="preserve"> 202</w:t>
      </w:r>
      <w:r w:rsidR="00D66318">
        <w:rPr>
          <w:rFonts w:asciiTheme="minorHAnsi" w:hAnsiTheme="minorHAnsi"/>
          <w:b/>
          <w:sz w:val="22"/>
        </w:rPr>
        <w:t>3</w:t>
      </w:r>
      <w:r w:rsidR="00734B3B" w:rsidRPr="00734B3B">
        <w:rPr>
          <w:rFonts w:asciiTheme="minorHAnsi" w:hAnsiTheme="minorHAnsi"/>
          <w:b/>
          <w:sz w:val="22"/>
        </w:rPr>
        <w:t>“</w:t>
      </w:r>
      <w:r w:rsidR="00734B3B" w:rsidRPr="00734B3B">
        <w:rPr>
          <w:rFonts w:asciiTheme="minorHAnsi" w:hAnsiTheme="minorHAnsi"/>
          <w:sz w:val="22"/>
        </w:rPr>
        <w:t xml:space="preserve"> </w:t>
      </w:r>
      <w:r w:rsidRPr="00840271">
        <w:rPr>
          <w:rFonts w:asciiTheme="minorHAnsi" w:hAnsiTheme="minorHAnsi"/>
          <w:sz w:val="22"/>
        </w:rPr>
        <w:t>(dále jen „dílo“).</w:t>
      </w:r>
    </w:p>
    <w:p w:rsidR="0007084B" w:rsidRPr="004C130B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4C130B">
        <w:rPr>
          <w:rFonts w:asciiTheme="minorHAnsi" w:hAnsiTheme="minorHAnsi"/>
          <w:sz w:val="22"/>
        </w:rPr>
        <w:t>Tuto smlouvu uzavírá objednatel se zhotovitelem na základě veřejné zakázky pod názvem „</w:t>
      </w:r>
      <w:r w:rsidR="004C130B" w:rsidRPr="004C130B">
        <w:rPr>
          <w:rFonts w:asciiTheme="minorHAnsi" w:hAnsiTheme="minorHAnsi"/>
          <w:sz w:val="22"/>
        </w:rPr>
        <w:t>SZ Mníšek pod Brdy – zajištění údržby části zámeckého parku</w:t>
      </w:r>
      <w:r w:rsidR="002A10D7">
        <w:rPr>
          <w:rFonts w:asciiTheme="minorHAnsi" w:hAnsiTheme="minorHAnsi"/>
          <w:sz w:val="22"/>
        </w:rPr>
        <w:t xml:space="preserve"> 2022</w:t>
      </w:r>
      <w:r w:rsidRPr="004C130B">
        <w:rPr>
          <w:rFonts w:asciiTheme="minorHAnsi" w:hAnsiTheme="minorHAnsi"/>
          <w:sz w:val="22"/>
        </w:rPr>
        <w:t xml:space="preserve">“, č. zakázky v Národním elektronickém nástroji: </w:t>
      </w:r>
      <w:r w:rsidR="00D66318" w:rsidRPr="00D66318">
        <w:rPr>
          <w:rFonts w:asciiTheme="minorHAnsi" w:hAnsiTheme="minorHAnsi"/>
          <w:b/>
          <w:sz w:val="22"/>
        </w:rPr>
        <w:t>N006/23/V00011947</w:t>
      </w:r>
      <w:r w:rsidR="00D66318">
        <w:rPr>
          <w:rFonts w:asciiTheme="minorHAnsi" w:hAnsiTheme="minorHAnsi"/>
          <w:b/>
          <w:sz w:val="22"/>
        </w:rPr>
        <w:t>.</w:t>
      </w:r>
      <w:r w:rsidR="004C130B">
        <w:rPr>
          <w:rFonts w:asciiTheme="minorHAnsi" w:hAnsiTheme="minorHAnsi"/>
          <w:sz w:val="22"/>
        </w:rPr>
        <w:t xml:space="preserve"> </w:t>
      </w:r>
      <w:r w:rsidRPr="004C130B">
        <w:rPr>
          <w:rFonts w:asciiTheme="minorHAnsi" w:hAnsiTheme="minorHAnsi"/>
          <w:sz w:val="22"/>
        </w:rPr>
        <w:t>Smluvní strany se dohodly, že závaznou část jejich smluvních ujednání tvoří rovněž nabídka zhotovitele a zadávací dokumentace objednatele.</w:t>
      </w:r>
    </w:p>
    <w:p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F20A8C" w:rsidRPr="00840271" w:rsidRDefault="00F20A8C" w:rsidP="00734B3B">
      <w:pPr>
        <w:rPr>
          <w:rFonts w:asciiTheme="minorHAnsi" w:hAnsiTheme="minorHAnsi"/>
          <w:b/>
          <w:sz w:val="22"/>
          <w:szCs w:val="22"/>
        </w:rPr>
      </w:pPr>
    </w:p>
    <w:p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6E2010" w:rsidRDefault="006E2010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Plnění díla bude zahájeno 1.</w:t>
      </w:r>
      <w:r w:rsidR="00D66318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>.202</w:t>
      </w:r>
      <w:r w:rsidR="00D66318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.</w:t>
      </w:r>
    </w:p>
    <w:p w:rsidR="00822AFC" w:rsidRPr="0084027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632C65">
        <w:rPr>
          <w:rFonts w:asciiTheme="minorHAnsi" w:hAnsiTheme="minorHAnsi"/>
          <w:sz w:val="22"/>
        </w:rPr>
        <w:t xml:space="preserve">nejpozději do </w:t>
      </w:r>
      <w:r w:rsidR="00632C65" w:rsidRPr="00632C65">
        <w:rPr>
          <w:rFonts w:asciiTheme="minorHAnsi" w:hAnsiTheme="minorHAnsi"/>
          <w:sz w:val="22"/>
        </w:rPr>
        <w:t>30.11.202</w:t>
      </w:r>
      <w:r w:rsidR="00D66318">
        <w:rPr>
          <w:rFonts w:asciiTheme="minorHAnsi" w:hAnsiTheme="minorHAnsi"/>
          <w:sz w:val="22"/>
        </w:rPr>
        <w:t>3</w:t>
      </w:r>
      <w:r w:rsidR="00632C65" w:rsidRPr="00632C65">
        <w:rPr>
          <w:rFonts w:asciiTheme="minorHAnsi" w:hAnsiTheme="minorHAnsi"/>
          <w:sz w:val="22"/>
        </w:rPr>
        <w:t xml:space="preserve"> </w:t>
      </w:r>
      <w:r w:rsidR="00560D18" w:rsidRPr="00632C65">
        <w:rPr>
          <w:rFonts w:asciiTheme="minorHAnsi" w:hAnsiTheme="minorHAnsi"/>
          <w:sz w:val="22"/>
        </w:rPr>
        <w:t>na adrese objednatele uvedené v záhlaví této smlouvy.</w:t>
      </w:r>
    </w:p>
    <w:p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Pr="00632C65">
        <w:rPr>
          <w:rFonts w:asciiTheme="minorHAnsi" w:hAnsiTheme="minorHAnsi"/>
          <w:sz w:val="22"/>
        </w:rPr>
        <w:t>24 měsíců</w:t>
      </w:r>
      <w:r w:rsidRPr="00840271">
        <w:rPr>
          <w:rFonts w:asciiTheme="minorHAnsi" w:hAnsiTheme="minorHAnsi"/>
          <w:sz w:val="22"/>
        </w:rPr>
        <w:t xml:space="preserve"> ode dne předání díla.</w:t>
      </w:r>
      <w:r w:rsidR="00632C65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632C65" w:rsidRDefault="00560D18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632C65">
        <w:rPr>
          <w:rFonts w:asciiTheme="minorHAnsi" w:hAnsiTheme="minorHAnsi"/>
          <w:sz w:val="22"/>
        </w:rPr>
        <w:t>Zhotovitel je povinen odstranit bez prodlení a bezplatně zjištěn</w:t>
      </w:r>
      <w:r w:rsidR="00632C65">
        <w:rPr>
          <w:rFonts w:asciiTheme="minorHAnsi" w:hAnsiTheme="minorHAnsi"/>
          <w:sz w:val="22"/>
        </w:rPr>
        <w:t>é vady svých prací nebo dodávek.</w:t>
      </w:r>
    </w:p>
    <w:p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632C65">
        <w:rPr>
          <w:rFonts w:asciiTheme="minorHAnsi" w:hAnsiTheme="minorHAnsi"/>
          <w:sz w:val="22"/>
        </w:rPr>
        <w:lastRenderedPageBreak/>
        <w:t>V případě prodlení zhotovitele s provedením díla</w:t>
      </w:r>
      <w:r w:rsidR="006D7E95" w:rsidRPr="00632C65">
        <w:rPr>
          <w:rFonts w:asciiTheme="minorHAnsi" w:hAnsiTheme="minorHAnsi"/>
          <w:sz w:val="22"/>
        </w:rPr>
        <w:t>,</w:t>
      </w:r>
      <w:r w:rsidRPr="00632C65">
        <w:rPr>
          <w:rFonts w:asciiTheme="minorHAnsi" w:hAnsiTheme="minorHAnsi"/>
          <w:sz w:val="22"/>
        </w:rPr>
        <w:t xml:space="preserve"> anebo s odstraněním vady díla, je zhotovitel povinen uhradit objednateli smluvní pokutu ve výši 100 Kč, a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2F160D" w:rsidRPr="00840271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E9728B">
        <w:rPr>
          <w:rFonts w:asciiTheme="minorHAnsi" w:hAnsiTheme="minorHAnsi"/>
          <w:sz w:val="22"/>
        </w:rPr>
        <w:t xml:space="preserve">Celková cena díla je </w:t>
      </w:r>
      <w:r w:rsidR="002A10D7">
        <w:rPr>
          <w:rFonts w:asciiTheme="minorHAnsi" w:hAnsiTheme="minorHAnsi"/>
          <w:sz w:val="22"/>
        </w:rPr>
        <w:t>1</w:t>
      </w:r>
      <w:r w:rsidR="00D66318">
        <w:rPr>
          <w:rFonts w:asciiTheme="minorHAnsi" w:hAnsiTheme="minorHAnsi"/>
          <w:sz w:val="22"/>
        </w:rPr>
        <w:t>57</w:t>
      </w:r>
      <w:r w:rsidR="00AC3168">
        <w:rPr>
          <w:rFonts w:asciiTheme="minorHAnsi" w:hAnsiTheme="minorHAnsi"/>
          <w:sz w:val="22"/>
        </w:rPr>
        <w:t>.</w:t>
      </w:r>
      <w:r w:rsidR="00D66318">
        <w:rPr>
          <w:rFonts w:asciiTheme="minorHAnsi" w:hAnsiTheme="minorHAnsi"/>
          <w:sz w:val="22"/>
        </w:rPr>
        <w:t>980</w:t>
      </w:r>
      <w:r w:rsidRPr="00E9728B">
        <w:rPr>
          <w:rFonts w:asciiTheme="minorHAnsi" w:hAnsiTheme="minorHAnsi"/>
          <w:sz w:val="22"/>
        </w:rPr>
        <w:t xml:space="preserve">,- Kč bez DPH, DPH ve výši </w:t>
      </w:r>
      <w:r w:rsidR="00AC3168">
        <w:rPr>
          <w:rFonts w:asciiTheme="minorHAnsi" w:hAnsiTheme="minorHAnsi"/>
          <w:sz w:val="22"/>
        </w:rPr>
        <w:t>21</w:t>
      </w:r>
      <w:r w:rsidR="00AC3168">
        <w:rPr>
          <w:rFonts w:asciiTheme="minorHAnsi" w:hAnsiTheme="minorHAnsi"/>
          <w:sz w:val="22"/>
          <w:lang w:val="en-US"/>
        </w:rPr>
        <w:t>%</w:t>
      </w:r>
      <w:r w:rsidRPr="00E9728B">
        <w:rPr>
          <w:rFonts w:asciiTheme="minorHAnsi" w:hAnsiTheme="minorHAnsi"/>
          <w:sz w:val="22"/>
        </w:rPr>
        <w:t xml:space="preserve"> činí </w:t>
      </w:r>
      <w:r w:rsidR="00D66318">
        <w:rPr>
          <w:rFonts w:asciiTheme="minorHAnsi" w:hAnsiTheme="minorHAnsi"/>
          <w:sz w:val="22"/>
        </w:rPr>
        <w:t>33</w:t>
      </w:r>
      <w:r w:rsidR="00AC3168">
        <w:rPr>
          <w:rFonts w:asciiTheme="minorHAnsi" w:hAnsiTheme="minorHAnsi"/>
          <w:sz w:val="22"/>
        </w:rPr>
        <w:t>.1</w:t>
      </w:r>
      <w:r w:rsidR="00D66318">
        <w:rPr>
          <w:rFonts w:asciiTheme="minorHAnsi" w:hAnsiTheme="minorHAnsi"/>
          <w:sz w:val="22"/>
        </w:rPr>
        <w:t>75</w:t>
      </w:r>
      <w:r w:rsidR="00AC3168">
        <w:rPr>
          <w:rFonts w:asciiTheme="minorHAnsi" w:hAnsiTheme="minorHAnsi"/>
          <w:sz w:val="22"/>
        </w:rPr>
        <w:t>,</w:t>
      </w:r>
      <w:r w:rsidR="00D66318">
        <w:rPr>
          <w:rFonts w:asciiTheme="minorHAnsi" w:hAnsiTheme="minorHAnsi"/>
          <w:sz w:val="22"/>
        </w:rPr>
        <w:t>80</w:t>
      </w:r>
      <w:r w:rsidRPr="00E9728B">
        <w:rPr>
          <w:rFonts w:asciiTheme="minorHAnsi" w:hAnsiTheme="minorHAnsi"/>
          <w:sz w:val="22"/>
        </w:rPr>
        <w:t>,</w:t>
      </w:r>
      <w:r w:rsidR="00AC3168">
        <w:rPr>
          <w:rFonts w:asciiTheme="minorHAnsi" w:hAnsiTheme="minorHAnsi"/>
          <w:sz w:val="22"/>
        </w:rPr>
        <w:t>- Kč,</w:t>
      </w:r>
      <w:r w:rsidRPr="00E9728B">
        <w:rPr>
          <w:rFonts w:asciiTheme="minorHAnsi" w:hAnsiTheme="minorHAnsi"/>
          <w:sz w:val="22"/>
        </w:rPr>
        <w:t xml:space="preserve"> celková cena díla je </w:t>
      </w:r>
      <w:r w:rsidR="00D66318">
        <w:rPr>
          <w:rFonts w:asciiTheme="minorHAnsi" w:hAnsiTheme="minorHAnsi"/>
          <w:sz w:val="22"/>
        </w:rPr>
        <w:t>191</w:t>
      </w:r>
      <w:r w:rsidR="00AC3168">
        <w:rPr>
          <w:rFonts w:asciiTheme="minorHAnsi" w:hAnsiTheme="minorHAnsi"/>
          <w:sz w:val="22"/>
        </w:rPr>
        <w:t>.</w:t>
      </w:r>
      <w:r w:rsidR="00D66318">
        <w:rPr>
          <w:rFonts w:asciiTheme="minorHAnsi" w:hAnsiTheme="minorHAnsi"/>
          <w:sz w:val="22"/>
        </w:rPr>
        <w:t>155</w:t>
      </w:r>
      <w:r w:rsidR="00AC3168">
        <w:rPr>
          <w:rFonts w:asciiTheme="minorHAnsi" w:hAnsiTheme="minorHAnsi"/>
          <w:sz w:val="22"/>
        </w:rPr>
        <w:t>,</w:t>
      </w:r>
      <w:r w:rsidR="00D66318">
        <w:rPr>
          <w:rFonts w:asciiTheme="minorHAnsi" w:hAnsiTheme="minorHAnsi"/>
          <w:sz w:val="22"/>
        </w:rPr>
        <w:t>80</w:t>
      </w:r>
      <w:r w:rsidRPr="00E9728B">
        <w:rPr>
          <w:rFonts w:asciiTheme="minorHAnsi" w:hAnsiTheme="minorHAnsi"/>
          <w:sz w:val="22"/>
        </w:rPr>
        <w:t>,- Kč</w:t>
      </w:r>
      <w:r w:rsidR="0024001E" w:rsidRPr="00840271">
        <w:rPr>
          <w:rFonts w:asciiTheme="minorHAnsi" w:hAnsiTheme="minorHAnsi"/>
          <w:sz w:val="22"/>
        </w:rPr>
        <w:t xml:space="preserve">. 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AC3168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:rsidR="00560D18" w:rsidRPr="00746A2D" w:rsidRDefault="00560D18" w:rsidP="00746A2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746A2D">
        <w:rPr>
          <w:rFonts w:asciiTheme="minorHAnsi" w:hAnsiTheme="minorHAnsi"/>
          <w:sz w:val="22"/>
        </w:rPr>
        <w:t xml:space="preserve">Po řádném předání díla </w:t>
      </w:r>
      <w:r w:rsidR="007960F2">
        <w:rPr>
          <w:rFonts w:asciiTheme="minorHAnsi" w:hAnsiTheme="minorHAnsi"/>
          <w:sz w:val="22"/>
        </w:rPr>
        <w:t xml:space="preserve">nebo jeho části </w:t>
      </w:r>
      <w:r w:rsidRPr="00746A2D">
        <w:rPr>
          <w:rFonts w:asciiTheme="minorHAnsi" w:hAnsiTheme="minorHAnsi"/>
          <w:sz w:val="22"/>
        </w:rPr>
        <w:t>objednateli</w:t>
      </w:r>
      <w:r w:rsidR="007960F2">
        <w:rPr>
          <w:rFonts w:asciiTheme="minorHAnsi" w:hAnsiTheme="minorHAnsi"/>
          <w:sz w:val="22"/>
        </w:rPr>
        <w:t>,</w:t>
      </w:r>
      <w:r w:rsidR="00507E25">
        <w:rPr>
          <w:rFonts w:asciiTheme="minorHAnsi" w:hAnsiTheme="minorHAnsi"/>
          <w:sz w:val="22"/>
        </w:rPr>
        <w:t xml:space="preserve"> zpravidla v rozsahu měsíčního plnění díla,</w:t>
      </w:r>
      <w:r w:rsidRPr="00746A2D">
        <w:rPr>
          <w:rFonts w:asciiTheme="minorHAnsi" w:hAnsiTheme="minorHAnsi"/>
          <w:sz w:val="22"/>
        </w:rPr>
        <w:t xml:space="preserve"> vystaví zhotovitel na úhradu díla</w:t>
      </w:r>
      <w:r w:rsidR="00507E25">
        <w:rPr>
          <w:rFonts w:asciiTheme="minorHAnsi" w:hAnsiTheme="minorHAnsi"/>
          <w:sz w:val="22"/>
        </w:rPr>
        <w:t xml:space="preserve"> nebo jeho části</w:t>
      </w:r>
      <w:r w:rsidRPr="00746A2D">
        <w:rPr>
          <w:rFonts w:asciiTheme="minorHAnsi" w:hAnsiTheme="minorHAnsi"/>
          <w:sz w:val="22"/>
        </w:rPr>
        <w:t xml:space="preserve"> bez zbytečného odkladu daňový doklad (fakturu) se splatností 21 dní ode dne jejího doručení objednateli.</w:t>
      </w:r>
    </w:p>
    <w:p w:rsidR="001738DB" w:rsidRPr="00746A2D" w:rsidRDefault="00560D18" w:rsidP="00746A2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746A2D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746A2D" w:rsidRDefault="00560D18" w:rsidP="00746A2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746A2D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746A2D" w:rsidRDefault="00560D18" w:rsidP="00746A2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746A2D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</w:t>
      </w:r>
      <w:r w:rsidR="00FA6B9F" w:rsidRPr="00746A2D">
        <w:rPr>
          <w:rFonts w:asciiTheme="minorHAnsi" w:hAnsiTheme="minorHAnsi"/>
          <w:sz w:val="22"/>
        </w:rPr>
        <w:t>díla.</w:t>
      </w:r>
      <w:r w:rsidRPr="00746A2D">
        <w:rPr>
          <w:rFonts w:asciiTheme="minorHAnsi" w:hAnsiTheme="minorHAnsi"/>
          <w:sz w:val="22"/>
        </w:rPr>
        <w:t xml:space="preserve">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840271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734B3B">
        <w:rPr>
          <w:rFonts w:asciiTheme="minorHAnsi" w:hAnsiTheme="minorHAnsi"/>
          <w:sz w:val="22"/>
        </w:rPr>
        <w:t>ve dvou</w:t>
      </w:r>
      <w:r w:rsidRPr="00840271">
        <w:rPr>
          <w:rFonts w:asciiTheme="minorHAnsi" w:hAnsiTheme="minorHAnsi"/>
          <w:sz w:val="22"/>
        </w:rPr>
        <w:t xml:space="preserve"> vyhotoveních. Každá ze smluvních stran obdržela </w:t>
      </w:r>
      <w:r w:rsidRPr="00734B3B">
        <w:rPr>
          <w:rFonts w:asciiTheme="minorHAnsi" w:hAnsiTheme="minorHAnsi"/>
          <w:sz w:val="22"/>
        </w:rPr>
        <w:t>po jednom</w:t>
      </w:r>
      <w:r w:rsidRPr="00840271">
        <w:rPr>
          <w:rFonts w:asciiTheme="minorHAnsi" w:hAnsiTheme="minorHAnsi"/>
          <w:sz w:val="22"/>
        </w:rPr>
        <w:t xml:space="preserve"> totožném vyhotovení.</w:t>
      </w:r>
    </w:p>
    <w:p w:rsidR="00C56250" w:rsidRPr="00A3593D" w:rsidRDefault="00560D18" w:rsidP="00A3593D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3593D">
        <w:rPr>
          <w:rFonts w:asciiTheme="minorHAnsi" w:hAnsiTheme="minorHAnsi"/>
          <w:snapToGrid w:val="0"/>
          <w:sz w:val="22"/>
          <w:szCs w:val="22"/>
        </w:rPr>
        <w:t xml:space="preserve">Tato smlouva nabývá platnosti a účinnosti dnem podpisu oběma smluvními stranami. Pokud tato smlouva podléhá povinnosti uveřejnění dle zákona č. 340/2015 Sb., o zvláštních podmínkách účinnosti některých smluv, uveřejňování těchto smluv a o registru smluv (zákon o registru smluv), nabude účinnosti dnem uveřejnění a její uveřejnění zajistí </w:t>
      </w:r>
      <w:r w:rsidR="0086585B" w:rsidRPr="00A3593D">
        <w:rPr>
          <w:rFonts w:asciiTheme="minorHAnsi" w:hAnsiTheme="minorHAnsi"/>
          <w:snapToGrid w:val="0"/>
          <w:sz w:val="22"/>
          <w:szCs w:val="22"/>
        </w:rPr>
        <w:t>objednatel</w:t>
      </w:r>
      <w:r w:rsidRPr="00A3593D">
        <w:rPr>
          <w:rFonts w:asciiTheme="minorHAnsi" w:hAnsiTheme="minorHAnsi"/>
          <w:snapToGrid w:val="0"/>
          <w:sz w:val="22"/>
          <w:szCs w:val="22"/>
        </w:rPr>
        <w:t>.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lastRenderedPageBreak/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="0022779E">
          <w:rPr>
            <w:rStyle w:val="Hypertextovodkaz"/>
            <w:rFonts w:asciiTheme="minorHAnsi" w:hAnsiTheme="minorHAnsi"/>
            <w:sz w:val="22"/>
          </w:rPr>
          <w:t>XXXX</w:t>
        </w:r>
        <w:bookmarkStart w:id="0" w:name="_GoBack"/>
        <w:bookmarkEnd w:id="0"/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 w:rsidRPr="00A3593D">
        <w:rPr>
          <w:rFonts w:asciiTheme="minorHAnsi" w:hAnsiTheme="minorHAnsi"/>
          <w:color w:val="000000"/>
          <w:sz w:val="22"/>
          <w:szCs w:val="22"/>
        </w:rPr>
        <w:t>(Příloha: Specifikace díla)</w:t>
      </w:r>
    </w:p>
    <w:p w:rsidR="00DD6CBD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F5313" w:rsidRPr="00840271" w:rsidRDefault="001F5313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7615EB">
              <w:rPr>
                <w:rFonts w:asciiTheme="minorHAnsi" w:hAnsiTheme="minorHAnsi"/>
                <w:sz w:val="22"/>
                <w:szCs w:val="22"/>
              </w:rPr>
              <w:t> Mníšku pod Brdy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2A10D7">
              <w:rPr>
                <w:rFonts w:asciiTheme="minorHAnsi" w:hAnsiTheme="minorHAnsi"/>
                <w:sz w:val="22"/>
                <w:szCs w:val="22"/>
              </w:rPr>
              <w:t>1</w:t>
            </w:r>
            <w:r w:rsidR="007615EB">
              <w:rPr>
                <w:rFonts w:asciiTheme="minorHAnsi" w:hAnsiTheme="minorHAnsi"/>
                <w:sz w:val="22"/>
                <w:szCs w:val="22"/>
              </w:rPr>
              <w:t>.</w:t>
            </w:r>
            <w:r w:rsidR="00E758B8">
              <w:rPr>
                <w:rFonts w:asciiTheme="minorHAnsi" w:hAnsiTheme="minorHAnsi"/>
                <w:sz w:val="22"/>
                <w:szCs w:val="22"/>
              </w:rPr>
              <w:t>5</w:t>
            </w:r>
            <w:r w:rsidR="007615EB">
              <w:rPr>
                <w:rFonts w:asciiTheme="minorHAnsi" w:hAnsiTheme="minorHAnsi"/>
                <w:sz w:val="22"/>
                <w:szCs w:val="22"/>
              </w:rPr>
              <w:t>.202</w:t>
            </w:r>
            <w:r w:rsidR="00E758B8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5313" w:rsidRPr="00840271" w:rsidRDefault="001F531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7615EB">
              <w:rPr>
                <w:rFonts w:asciiTheme="minorHAnsi" w:hAnsiTheme="minorHAnsi"/>
                <w:sz w:val="22"/>
                <w:szCs w:val="22"/>
              </w:rPr>
              <w:t>Praze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2E0A8B">
              <w:rPr>
                <w:rFonts w:asciiTheme="minorHAnsi" w:hAnsiTheme="minorHAnsi"/>
                <w:sz w:val="22"/>
                <w:szCs w:val="22"/>
              </w:rPr>
              <w:t>1.5.2023</w:t>
            </w: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5313" w:rsidRPr="00840271" w:rsidRDefault="001F531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DE3E84" w:rsidRDefault="00DE3E84" w:rsidP="00DE3E84">
      <w:pPr>
        <w:pStyle w:val="Zkladntext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Podmínky provádění prací, zejména zajištění PO a BOZP : </w:t>
      </w:r>
    </w:p>
    <w:p w:rsidR="00DE3E84" w:rsidRPr="00DE3E84" w:rsidRDefault="00DE3E84" w:rsidP="00DE3E84">
      <w:pPr>
        <w:pStyle w:val="Zkladntext"/>
        <w:numPr>
          <w:ilvl w:val="1"/>
          <w:numId w:val="40"/>
        </w:numPr>
        <w:ind w:left="567" w:hanging="567"/>
        <w:jc w:val="both"/>
        <w:rPr>
          <w:rFonts w:ascii="Calibri" w:hAnsi="Calibri" w:cs="Arial"/>
          <w:b w:val="0"/>
          <w:sz w:val="22"/>
          <w:szCs w:val="22"/>
        </w:rPr>
      </w:pPr>
      <w:r w:rsidRPr="00DE3E84">
        <w:rPr>
          <w:rFonts w:ascii="Calibri" w:hAnsi="Calibri" w:cs="Arial"/>
          <w:b w:val="0"/>
          <w:sz w:val="22"/>
          <w:szCs w:val="22"/>
        </w:rPr>
        <w:t xml:space="preserve">Práce </w:t>
      </w:r>
      <w:r w:rsidRPr="00DE3E84">
        <w:rPr>
          <w:rFonts w:ascii="Calibri" w:hAnsi="Calibri" w:cs="Arial"/>
          <w:b w:val="0"/>
          <w:snapToGrid w:val="0"/>
          <w:sz w:val="22"/>
          <w:szCs w:val="22"/>
        </w:rPr>
        <w:t>budou</w:t>
      </w:r>
      <w:r w:rsidRPr="00DE3E84">
        <w:rPr>
          <w:rFonts w:ascii="Calibri" w:hAnsi="Calibri" w:cs="Arial"/>
          <w:b w:val="0"/>
          <w:sz w:val="22"/>
          <w:szCs w:val="22"/>
        </w:rPr>
        <w:t xml:space="preserve"> prováděny tak, aby co nejméně ovlivňovaly chod provozu pracoviště. NPÚ může i ústně upravit podmínky provádění prací i v jejich průběhu. </w:t>
      </w:r>
    </w:p>
    <w:p w:rsidR="00DE3E84" w:rsidRPr="00DE3E84" w:rsidRDefault="00DE3E84" w:rsidP="00DE3E84">
      <w:pPr>
        <w:pStyle w:val="Zkladntext"/>
        <w:numPr>
          <w:ilvl w:val="1"/>
          <w:numId w:val="40"/>
        </w:numPr>
        <w:ind w:left="567" w:hanging="567"/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DE3E84">
        <w:rPr>
          <w:rFonts w:ascii="Calibri" w:hAnsi="Calibri" w:cs="Arial"/>
          <w:b w:val="0"/>
          <w:snapToGrid w:val="0"/>
          <w:sz w:val="22"/>
          <w:szCs w:val="22"/>
        </w:rPr>
        <w:t xml:space="preserve">Zhotovitel musí sám dbát na to, aby se na jeho pracovištích nacházely jen fyzické osoby, které se na staveništi s jeho vědomím mohou zdržovat. </w:t>
      </w:r>
    </w:p>
    <w:p w:rsidR="00DE3E84" w:rsidRPr="00DE3E84" w:rsidRDefault="00DE3E84" w:rsidP="00DE3E84">
      <w:pPr>
        <w:pStyle w:val="Zkladntext"/>
        <w:numPr>
          <w:ilvl w:val="1"/>
          <w:numId w:val="40"/>
        </w:numPr>
        <w:ind w:left="567" w:hanging="567"/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DE3E84">
        <w:rPr>
          <w:rFonts w:ascii="Calibri" w:hAnsi="Calibri" w:cs="Arial"/>
          <w:b w:val="0"/>
          <w:snapToGrid w:val="0"/>
          <w:sz w:val="22"/>
          <w:szCs w:val="22"/>
        </w:rPr>
        <w:t xml:space="preserve">Čas pro provádění prací s vysokým hlukem nebo vibracemi je stanoven na pondělí od 8.00 do 18.00 a každá všední den od 17.00 do 20.00, popřípadě na jiné činnosti, které by mohly podstatně omezovat v pracovní době zaměstnance NPÚ </w:t>
      </w:r>
    </w:p>
    <w:p w:rsidR="00DE3E84" w:rsidRPr="00DE3E84" w:rsidRDefault="00DE3E84" w:rsidP="00DE3E84">
      <w:pPr>
        <w:pStyle w:val="Zkladntext"/>
        <w:numPr>
          <w:ilvl w:val="1"/>
          <w:numId w:val="40"/>
        </w:numPr>
        <w:ind w:left="567" w:hanging="567"/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DE3E84">
        <w:rPr>
          <w:rFonts w:ascii="Calibri" w:hAnsi="Calibri" w:cs="Arial"/>
          <w:b w:val="0"/>
          <w:snapToGrid w:val="0"/>
          <w:sz w:val="22"/>
          <w:szCs w:val="22"/>
        </w:rPr>
        <w:t>Provádění prací s otevřeným plamenem, včetně práce s rozbrušovací pilou, broušení a podobně, nebo jiných nebezpečných prací a činností, musí být schváleno odpovědnou osobou NPÚ</w:t>
      </w:r>
    </w:p>
    <w:p w:rsidR="00DE3E84" w:rsidRPr="00DE3E84" w:rsidRDefault="00DE3E84" w:rsidP="00DE3E84">
      <w:pPr>
        <w:pStyle w:val="Zkladntext"/>
        <w:numPr>
          <w:ilvl w:val="1"/>
          <w:numId w:val="40"/>
        </w:numPr>
        <w:ind w:left="567" w:hanging="567"/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DE3E84">
        <w:rPr>
          <w:rFonts w:ascii="Calibri" w:hAnsi="Calibri" w:cs="Arial"/>
          <w:b w:val="0"/>
          <w:snapToGrid w:val="0"/>
          <w:sz w:val="22"/>
          <w:szCs w:val="22"/>
        </w:rPr>
        <w:t xml:space="preserve">Každé provádění svářečských prací bude projednáno s odpovědnou osobou NPÚ. Na nebezpečné svářečské práce bude vydáno písemné povolení, které před zahájením prací schvaluje odpovědný vedoucí zhotovitele a následně odpovědná osoba NPÚ. </w:t>
      </w:r>
    </w:p>
    <w:p w:rsidR="00DE3E84" w:rsidRPr="00DE3E84" w:rsidRDefault="00DE3E84" w:rsidP="00DE3E84">
      <w:pPr>
        <w:pStyle w:val="Zkladntext"/>
        <w:numPr>
          <w:ilvl w:val="1"/>
          <w:numId w:val="40"/>
        </w:numPr>
        <w:ind w:left="567" w:hanging="567"/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DE3E84">
        <w:rPr>
          <w:rFonts w:ascii="Calibri" w:hAnsi="Calibri" w:cs="Arial"/>
          <w:b w:val="0"/>
          <w:snapToGrid w:val="0"/>
          <w:sz w:val="22"/>
          <w:szCs w:val="22"/>
        </w:rPr>
        <w:t xml:space="preserve">Ukládat nebezpečné látky, zejména hořlavé kapaliny (např. barvy a ředidla) nebo tlakové lahve, lze jen na vyhrazených místech se souhlasem odpovědné osoby NPÚ. </w:t>
      </w:r>
    </w:p>
    <w:p w:rsidR="00DE3E84" w:rsidRPr="00DE3E84" w:rsidRDefault="00DE3E84" w:rsidP="00DE3E84">
      <w:pPr>
        <w:pStyle w:val="Zkladntext"/>
        <w:numPr>
          <w:ilvl w:val="1"/>
          <w:numId w:val="40"/>
        </w:numPr>
        <w:ind w:left="567" w:hanging="567"/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DE3E84">
        <w:rPr>
          <w:rFonts w:ascii="Calibri" w:hAnsi="Calibri" w:cs="Arial"/>
          <w:b w:val="0"/>
          <w:snapToGrid w:val="0"/>
          <w:sz w:val="22"/>
          <w:szCs w:val="22"/>
        </w:rPr>
        <w:t xml:space="preserve">Vjezd do areálu pracoviště je pouze na povolení odpovědné osoby NPÚ. Povolená rychlost v areálu je 5 km/h. Při jízdě v areálu je třeba věnovat zvýšenou pozornost pohybu osob. Chovat se zde jako v pěší zóně. </w:t>
      </w:r>
    </w:p>
    <w:p w:rsidR="00DE3E84" w:rsidRPr="00DE3E84" w:rsidRDefault="00DE3E84" w:rsidP="00DE3E84">
      <w:pPr>
        <w:pStyle w:val="Zkladntext"/>
        <w:numPr>
          <w:ilvl w:val="1"/>
          <w:numId w:val="40"/>
        </w:numPr>
        <w:ind w:left="567" w:hanging="567"/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DE3E84">
        <w:rPr>
          <w:rFonts w:ascii="Calibri" w:hAnsi="Calibri" w:cs="Arial"/>
          <w:b w:val="0"/>
          <w:snapToGrid w:val="0"/>
          <w:sz w:val="22"/>
          <w:szCs w:val="22"/>
        </w:rPr>
        <w:t xml:space="preserve">Dopravu materiálu a předmětů, zejména dlouhých a jinak rozměrných nebo nebezpečných v areálu pracoviště, lze provádět jen takovým způsobem, aby nebyly ohroženy nezúčastněné osoby. Materiál nesmí být ukládán na schodištích a chodbách, pokud to není bezpodmínečně nutné. Takové skladování musí být schváleno odpovědnou osobou NPÚ. </w:t>
      </w:r>
    </w:p>
    <w:p w:rsidR="00DE3E84" w:rsidRPr="00DE3E84" w:rsidRDefault="00DE3E84" w:rsidP="00DE3E84">
      <w:pPr>
        <w:pStyle w:val="Zkladntext"/>
        <w:numPr>
          <w:ilvl w:val="1"/>
          <w:numId w:val="40"/>
        </w:numPr>
        <w:ind w:left="567" w:hanging="567"/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DE3E84">
        <w:rPr>
          <w:rFonts w:ascii="Calibri" w:hAnsi="Calibri" w:cs="Arial"/>
          <w:b w:val="0"/>
          <w:snapToGrid w:val="0"/>
          <w:sz w:val="22"/>
          <w:szCs w:val="22"/>
        </w:rPr>
        <w:t xml:space="preserve">Závady, ke kterým dojde během prací nebo které během prací byly zjištěny, oznámí zhotovitel bezodkladně odpovědné osobě NPÚ nebo bezpečnostní službě (pokud v místě je nebo kastelánovi nebo jím určenému zaměstnanci). </w:t>
      </w:r>
    </w:p>
    <w:p w:rsidR="00DE3E84" w:rsidRPr="00DE3E84" w:rsidRDefault="00DE3E84" w:rsidP="00DE3E84">
      <w:pPr>
        <w:pStyle w:val="Zkladntext"/>
        <w:numPr>
          <w:ilvl w:val="1"/>
          <w:numId w:val="40"/>
        </w:numPr>
        <w:ind w:left="567" w:hanging="567"/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DE3E84">
        <w:rPr>
          <w:rFonts w:ascii="Calibri" w:hAnsi="Calibri" w:cs="Arial"/>
          <w:b w:val="0"/>
          <w:snapToGrid w:val="0"/>
          <w:sz w:val="22"/>
          <w:szCs w:val="22"/>
        </w:rPr>
        <w:t xml:space="preserve">Zadavatel má právo kontrolovat zabezpečování BOZP a PO u zhotovitele/zhotovitelů – např. doklady o školení BOZP a PO, ke zdravotní způsobilosti, kvalifikaci apod. </w:t>
      </w:r>
    </w:p>
    <w:p w:rsidR="00840271" w:rsidRPr="006E2010" w:rsidRDefault="00DE3E84" w:rsidP="006E2010">
      <w:pPr>
        <w:pStyle w:val="Zkladntext"/>
        <w:numPr>
          <w:ilvl w:val="1"/>
          <w:numId w:val="4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6E2010">
        <w:rPr>
          <w:rFonts w:ascii="Calibri" w:hAnsi="Calibri" w:cs="Arial"/>
          <w:b w:val="0"/>
          <w:snapToGrid w:val="0"/>
          <w:sz w:val="22"/>
          <w:szCs w:val="22"/>
        </w:rPr>
        <w:t xml:space="preserve">Zhotovitel odpovídá za dodržování předpisů BOZP a PO i u svých </w:t>
      </w:r>
      <w:proofErr w:type="spellStart"/>
      <w:r w:rsidRPr="006E2010">
        <w:rPr>
          <w:rFonts w:ascii="Calibri" w:hAnsi="Calibri" w:cs="Arial"/>
          <w:b w:val="0"/>
          <w:snapToGrid w:val="0"/>
          <w:sz w:val="22"/>
          <w:szCs w:val="22"/>
        </w:rPr>
        <w:t>podzhotovitelů</w:t>
      </w:r>
      <w:proofErr w:type="spellEnd"/>
      <w:r w:rsidRPr="006E2010">
        <w:rPr>
          <w:rFonts w:ascii="Calibri" w:hAnsi="Calibri" w:cs="Arial"/>
          <w:b w:val="0"/>
          <w:snapToGrid w:val="0"/>
          <w:sz w:val="22"/>
          <w:szCs w:val="22"/>
        </w:rPr>
        <w:t xml:space="preserve">. </w:t>
      </w:r>
    </w:p>
    <w:sectPr w:rsidR="00840271" w:rsidRPr="006E2010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40" w:rsidRDefault="00784E40">
      <w:r>
        <w:separator/>
      </w:r>
    </w:p>
  </w:endnote>
  <w:endnote w:type="continuationSeparator" w:id="0">
    <w:p w:rsidR="00784E40" w:rsidRDefault="007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40" w:rsidRDefault="00784E40">
      <w:r>
        <w:separator/>
      </w:r>
    </w:p>
  </w:footnote>
  <w:footnote w:type="continuationSeparator" w:id="0">
    <w:p w:rsidR="00784E40" w:rsidRDefault="0078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:rsidR="00A27CA4" w:rsidRDefault="00A27CA4">
    <w:pPr>
      <w:pStyle w:val="Zhlav"/>
      <w:rPr>
        <w:rFonts w:ascii="Calibri" w:hAnsi="Calibri"/>
        <w:bCs/>
        <w:sz w:val="22"/>
        <w:szCs w:val="22"/>
      </w:rPr>
    </w:pPr>
  </w:p>
  <w:p w:rsidR="00A27CA4" w:rsidRDefault="00A27CA4">
    <w:pPr>
      <w:pStyle w:val="Zhlav"/>
      <w:rPr>
        <w:sz w:val="22"/>
        <w:szCs w:val="22"/>
      </w:rPr>
    </w:pPr>
  </w:p>
  <w:p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45C72"/>
    <w:multiLevelType w:val="multilevel"/>
    <w:tmpl w:val="74D21C98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4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6"/>
  </w:num>
  <w:num w:numId="14">
    <w:abstractNumId w:val="17"/>
  </w:num>
  <w:num w:numId="15">
    <w:abstractNumId w:val="19"/>
  </w:num>
  <w:num w:numId="16">
    <w:abstractNumId w:val="18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4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 w:numId="38">
    <w:abstractNumId w:val="3"/>
  </w:num>
  <w:num w:numId="39">
    <w:abstractNumId w:val="3"/>
  </w:num>
  <w:num w:numId="40">
    <w:abstractNumId w:val="1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5313"/>
    <w:rsid w:val="001F67D9"/>
    <w:rsid w:val="00215A79"/>
    <w:rsid w:val="0022461A"/>
    <w:rsid w:val="0022779E"/>
    <w:rsid w:val="002326E1"/>
    <w:rsid w:val="0024001E"/>
    <w:rsid w:val="00244EF7"/>
    <w:rsid w:val="00247746"/>
    <w:rsid w:val="00252B24"/>
    <w:rsid w:val="00255E36"/>
    <w:rsid w:val="00290CB9"/>
    <w:rsid w:val="002A0EB4"/>
    <w:rsid w:val="002A10D7"/>
    <w:rsid w:val="002B01F2"/>
    <w:rsid w:val="002B157C"/>
    <w:rsid w:val="002B2562"/>
    <w:rsid w:val="002B3749"/>
    <w:rsid w:val="002B7144"/>
    <w:rsid w:val="002D3B6D"/>
    <w:rsid w:val="002E0A8B"/>
    <w:rsid w:val="002E35D5"/>
    <w:rsid w:val="002F160D"/>
    <w:rsid w:val="002F67D4"/>
    <w:rsid w:val="00302E1E"/>
    <w:rsid w:val="00313693"/>
    <w:rsid w:val="003268F0"/>
    <w:rsid w:val="00337EBA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04D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130B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07E25"/>
    <w:rsid w:val="00513E9B"/>
    <w:rsid w:val="00514798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0FFC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2C65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2010"/>
    <w:rsid w:val="006E4A78"/>
    <w:rsid w:val="006E6690"/>
    <w:rsid w:val="0070392D"/>
    <w:rsid w:val="00711BE4"/>
    <w:rsid w:val="00725E30"/>
    <w:rsid w:val="00726043"/>
    <w:rsid w:val="00726B51"/>
    <w:rsid w:val="0072793D"/>
    <w:rsid w:val="00730B15"/>
    <w:rsid w:val="00733911"/>
    <w:rsid w:val="00734B3B"/>
    <w:rsid w:val="00737509"/>
    <w:rsid w:val="007417EE"/>
    <w:rsid w:val="00746A2D"/>
    <w:rsid w:val="00751E25"/>
    <w:rsid w:val="00754E44"/>
    <w:rsid w:val="007615EB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E40"/>
    <w:rsid w:val="00784F79"/>
    <w:rsid w:val="007960F2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738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8F5D5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3F00"/>
    <w:rsid w:val="009B5503"/>
    <w:rsid w:val="009B6AC2"/>
    <w:rsid w:val="009C4CFE"/>
    <w:rsid w:val="009C608C"/>
    <w:rsid w:val="009E0CD2"/>
    <w:rsid w:val="009E5C95"/>
    <w:rsid w:val="009E6CFF"/>
    <w:rsid w:val="009F089A"/>
    <w:rsid w:val="00A017E1"/>
    <w:rsid w:val="00A12FF5"/>
    <w:rsid w:val="00A174AD"/>
    <w:rsid w:val="00A27CA4"/>
    <w:rsid w:val="00A33C04"/>
    <w:rsid w:val="00A3593D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3168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14167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11F43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66318"/>
    <w:rsid w:val="00D82033"/>
    <w:rsid w:val="00D84709"/>
    <w:rsid w:val="00D85362"/>
    <w:rsid w:val="00D8586E"/>
    <w:rsid w:val="00D85F3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E3E84"/>
    <w:rsid w:val="00DF2F60"/>
    <w:rsid w:val="00DF5FDD"/>
    <w:rsid w:val="00DF6FB3"/>
    <w:rsid w:val="00E0348E"/>
    <w:rsid w:val="00E1611A"/>
    <w:rsid w:val="00E1659C"/>
    <w:rsid w:val="00E17B9C"/>
    <w:rsid w:val="00E30619"/>
    <w:rsid w:val="00E307D7"/>
    <w:rsid w:val="00E30A2D"/>
    <w:rsid w:val="00E313B1"/>
    <w:rsid w:val="00E36DC2"/>
    <w:rsid w:val="00E37C3F"/>
    <w:rsid w:val="00E44BB1"/>
    <w:rsid w:val="00E53BE7"/>
    <w:rsid w:val="00E66977"/>
    <w:rsid w:val="00E74B14"/>
    <w:rsid w:val="00E758B8"/>
    <w:rsid w:val="00E767E6"/>
    <w:rsid w:val="00E9728B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A6B9F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8061"/>
    </o:shapedefaults>
    <o:shapelayout v:ext="edit">
      <o:idmap v:ext="edit" data="1"/>
    </o:shapelayout>
  </w:shapeDefaults>
  <w:decimalSymbol w:val=","/>
  <w:listSeparator w:val=";"/>
  <w14:docId w14:val="425A4C74"/>
  <w15:docId w15:val="{6262F7CB-806F-41EE-80F8-478FB868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78A-A92D-450C-8FC4-C898023D0AAA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1291e2ac-3401-40d6-975d-b1d4a9b29c99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216235-0FAC-484F-82B3-8C944FCF418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5CF16F-651B-4C72-90A0-D6641D1A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1</TotalTime>
  <Pages>3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9154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Šulcková Andrea</cp:lastModifiedBy>
  <cp:revision>2</cp:revision>
  <cp:lastPrinted>2015-12-15T08:35:00Z</cp:lastPrinted>
  <dcterms:created xsi:type="dcterms:W3CDTF">2023-05-26T08:30:00Z</dcterms:created>
  <dcterms:modified xsi:type="dcterms:W3CDTF">2023-05-26T08:30:00Z</dcterms:modified>
</cp:coreProperties>
</file>