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1190700534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 w:before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spacing w:before="0"/>
        <w:jc w:val="left"/>
      </w:pPr>
      <w:r>
        <w:rPr/>
        <w:t>obec</w:t>
      </w:r>
      <w:r>
        <w:rPr>
          <w:spacing w:val="-3"/>
        </w:rPr>
        <w:t> </w:t>
      </w:r>
      <w:r>
        <w:rPr/>
        <w:t>Horní</w:t>
      </w:r>
      <w:r>
        <w:rPr>
          <w:spacing w:val="-3"/>
        </w:rPr>
        <w:t> </w:t>
      </w:r>
      <w:r>
        <w:rPr/>
        <w:t>Lideč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1267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2"/>
        </w:rPr>
        <w:t> </w:t>
      </w:r>
      <w:r>
        <w:rPr/>
        <w:t>Horní</w:t>
      </w:r>
      <w:r>
        <w:rPr>
          <w:spacing w:val="-2"/>
        </w:rPr>
        <w:t> </w:t>
      </w:r>
      <w:r>
        <w:rPr/>
        <w:t>Lideč,</w:t>
      </w:r>
      <w:r>
        <w:rPr>
          <w:spacing w:val="-2"/>
        </w:rPr>
        <w:t> </w:t>
      </w:r>
      <w:r>
        <w:rPr/>
        <w:t>Horní</w:t>
      </w:r>
      <w:r>
        <w:rPr>
          <w:spacing w:val="-2"/>
        </w:rPr>
        <w:t> </w:t>
      </w:r>
      <w:r>
        <w:rPr/>
        <w:t>Lideč</w:t>
      </w:r>
      <w:r>
        <w:rPr>
          <w:spacing w:val="-2"/>
        </w:rPr>
        <w:t> </w:t>
      </w:r>
      <w:r>
        <w:rPr/>
        <w:t>292,</w:t>
      </w:r>
      <w:r>
        <w:rPr>
          <w:spacing w:val="-3"/>
        </w:rPr>
        <w:t> </w:t>
      </w:r>
      <w:r>
        <w:rPr/>
        <w:t>756 12</w:t>
      </w:r>
      <w:r>
        <w:rPr>
          <w:spacing w:val="-1"/>
        </w:rPr>
        <w:t> </w:t>
      </w:r>
      <w:r>
        <w:rPr/>
        <w:t>Horní</w:t>
      </w:r>
      <w:r>
        <w:rPr>
          <w:spacing w:val="-2"/>
        </w:rPr>
        <w:t> </w:t>
      </w:r>
      <w:r>
        <w:rPr/>
        <w:t>Lideč</w:t>
      </w:r>
      <w:r>
        <w:rPr>
          <w:spacing w:val="-52"/>
        </w:rPr>
        <w:t> </w:t>
      </w:r>
      <w:r>
        <w:rPr/>
        <w:t>IČO:</w:t>
        <w:tab/>
        <w:t>00303780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zastoupená:</w:t>
        <w:tab/>
        <w:t>Josefem</w:t>
      </w:r>
      <w:r>
        <w:rPr>
          <w:spacing w:val="-3"/>
        </w:rPr>
        <w:t> </w:t>
      </w:r>
      <w:r>
        <w:rPr/>
        <w:t>T k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e m,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 w:right="5075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94-5211851/0710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1190700534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507"/>
        <w:jc w:val="left"/>
      </w:pPr>
      <w:r>
        <w:rPr/>
        <w:t>„Přírodní</w:t>
      </w:r>
      <w:r>
        <w:rPr>
          <w:spacing w:val="-4"/>
        </w:rPr>
        <w:t> </w:t>
      </w:r>
      <w:r>
        <w:rPr/>
        <w:t>zahrada</w:t>
      </w:r>
      <w:r>
        <w:rPr>
          <w:spacing w:val="-1"/>
        </w:rPr>
        <w:t> </w:t>
      </w:r>
      <w:r>
        <w:rPr/>
        <w:t>Mateřská</w:t>
      </w:r>
      <w:r>
        <w:rPr>
          <w:spacing w:val="-3"/>
        </w:rPr>
        <w:t> </w:t>
      </w:r>
      <w:r>
        <w:rPr/>
        <w:t>škola</w:t>
      </w:r>
      <w:r>
        <w:rPr>
          <w:spacing w:val="-3"/>
        </w:rPr>
        <w:t> </w:t>
      </w:r>
      <w:r>
        <w:rPr/>
        <w:t>Horní</w:t>
      </w:r>
      <w:r>
        <w:rPr>
          <w:spacing w:val="-4"/>
        </w:rPr>
        <w:t> </w:t>
      </w:r>
      <w:r>
        <w:rPr/>
        <w:t>Lideč</w:t>
      </w:r>
      <w:r>
        <w:rPr>
          <w:spacing w:val="-3"/>
        </w:rPr>
        <w:t> </w:t>
      </w:r>
      <w:r>
        <w:rPr/>
        <w:t>2020“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3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5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430 693,75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-1"/>
          <w:sz w:val="20"/>
        </w:rPr>
        <w:t> </w:t>
      </w:r>
      <w:r>
        <w:rPr>
          <w:sz w:val="20"/>
        </w:rPr>
        <w:t>sta</w:t>
      </w:r>
      <w:r>
        <w:rPr>
          <w:spacing w:val="-1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2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tři korun</w:t>
      </w:r>
      <w:r>
        <w:rPr>
          <w:spacing w:val="2"/>
          <w:sz w:val="20"/>
        </w:rPr>
        <w:t> </w:t>
      </w:r>
      <w:r>
        <w:rPr>
          <w:sz w:val="20"/>
        </w:rPr>
        <w:t>českých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1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506</w:t>
      </w:r>
      <w:r>
        <w:rPr>
          <w:spacing w:val="1"/>
          <w:sz w:val="20"/>
        </w:rPr>
        <w:t> </w:t>
      </w:r>
      <w:r>
        <w:rPr>
          <w:sz w:val="20"/>
        </w:rPr>
        <w:t>698,54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8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8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7"/>
          <w:sz w:val="20"/>
        </w:rPr>
        <w:t> </w:t>
      </w:r>
      <w:r>
        <w:rPr>
          <w:sz w:val="20"/>
        </w:rPr>
        <w:t>akce),</w:t>
      </w:r>
      <w:r>
        <w:rPr>
          <w:spacing w:val="47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7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8"/>
          <w:sz w:val="20"/>
        </w:rPr>
        <w:t> </w:t>
      </w:r>
      <w:r>
        <w:rPr>
          <w:sz w:val="20"/>
        </w:rPr>
        <w:t>tohoto</w:t>
      </w:r>
      <w:r>
        <w:rPr>
          <w:spacing w:val="48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vyhlášení</w:t>
      </w:r>
      <w:r>
        <w:rPr>
          <w:spacing w:val="-52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/>
        <w:t>III.</w:t>
      </w:r>
    </w:p>
    <w:p>
      <w:pPr>
        <w:pStyle w:val="Heading2"/>
        <w:spacing w:before="0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3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2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4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9"/>
          <w:sz w:val="20"/>
        </w:rPr>
        <w:t> </w:t>
      </w:r>
      <w:r>
        <w:rPr>
          <w:sz w:val="20"/>
        </w:rPr>
        <w:t>v bodech</w:t>
      </w:r>
      <w:r>
        <w:rPr>
          <w:spacing w:val="-8"/>
          <w:sz w:val="20"/>
        </w:rPr>
        <w:t> </w:t>
      </w:r>
      <w:r>
        <w:rPr>
          <w:sz w:val="20"/>
        </w:rPr>
        <w:t>10–15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 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693,75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9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nehradil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nehradí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7"/>
          <w:sz w:val="20"/>
        </w:rPr>
        <w:t> </w:t>
      </w:r>
      <w:r>
        <w:rPr>
          <w:sz w:val="20"/>
        </w:rPr>
        <w:t>zdrojů</w:t>
      </w:r>
      <w:r>
        <w:rPr>
          <w:spacing w:val="-52"/>
          <w:sz w:val="20"/>
        </w:rPr>
        <w:t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pro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tím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7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18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 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3" w:after="0"/>
        <w:ind w:left="525" w:right="110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8"/>
        <w:ind w:left="0" w:firstLine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0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06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</w:t>
      </w:r>
      <w:r>
        <w:rPr>
          <w:spacing w:val="1"/>
          <w:sz w:val="20"/>
        </w:rPr>
        <w:t> </w:t>
      </w:r>
      <w:r>
        <w:rPr>
          <w:sz w:val="20"/>
        </w:rPr>
        <w:t>„Přírodní</w:t>
      </w:r>
      <w:r>
        <w:rPr>
          <w:spacing w:val="1"/>
          <w:sz w:val="20"/>
        </w:rPr>
        <w:t> </w:t>
      </w:r>
      <w:r>
        <w:rPr>
          <w:sz w:val="20"/>
        </w:rPr>
        <w:t>zahrada Mateřská škola Horní Lideč 2020“ ze dne 10. 3. 2020, včetně případných změn a doplňků</w:t>
      </w:r>
      <w:r>
        <w:rPr>
          <w:spacing w:val="1"/>
          <w:sz w:val="20"/>
        </w:rPr>
        <w:t> </w:t>
      </w:r>
      <w:r>
        <w:rPr>
          <w:sz w:val="20"/>
        </w:rPr>
        <w:t>těchto</w:t>
      </w:r>
      <w:r>
        <w:rPr>
          <w:spacing w:val="-1"/>
          <w:sz w:val="20"/>
        </w:rPr>
        <w:t> </w:t>
      </w:r>
      <w:r>
        <w:rPr>
          <w:sz w:val="20"/>
        </w:rPr>
        <w:t>dokumentů,</w:t>
      </w:r>
      <w:r>
        <w:rPr>
          <w:spacing w:val="-1"/>
          <w:sz w:val="20"/>
        </w:rPr>
        <w:t> </w:t>
      </w:r>
      <w:r>
        <w:rPr>
          <w:sz w:val="20"/>
        </w:rPr>
        <w:t>pokud je</w:t>
      </w:r>
      <w:r>
        <w:rPr>
          <w:spacing w:val="-1"/>
          <w:sz w:val="20"/>
        </w:rPr>
        <w:t> </w:t>
      </w:r>
      <w:r>
        <w:rPr>
          <w:sz w:val="20"/>
        </w:rPr>
        <w:t>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0" w:hanging="286"/>
        <w:jc w:val="both"/>
        <w:rPr>
          <w:sz w:val="20"/>
        </w:rPr>
      </w:pPr>
      <w:r>
        <w:rPr>
          <w:sz w:val="20"/>
        </w:rPr>
        <w:t>v období od 1/2021 do 1/2022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9. 5. 2023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2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2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3"/>
        </w:rPr>
        <w:t> </w:t>
      </w:r>
      <w:r>
        <w:rPr/>
        <w:t>ve</w:t>
      </w:r>
      <w:r>
        <w:rPr>
          <w:spacing w:val="42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3"/>
        </w:rPr>
        <w:t> </w:t>
      </w:r>
      <w:r>
        <w:rPr/>
        <w:t>Sb.,</w:t>
      </w:r>
      <w:r>
        <w:rPr>
          <w:spacing w:val="43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3"/>
        </w:rPr>
        <w:t> </w:t>
      </w:r>
      <w:r>
        <w:rPr/>
        <w:t>pravidlech</w:t>
      </w:r>
      <w:r>
        <w:rPr>
          <w:spacing w:val="-53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vazbou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7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7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3"/>
          <w:sz w:val="20"/>
        </w:rPr>
        <w:t> </w:t>
      </w:r>
      <w:r>
        <w:rPr>
          <w:sz w:val="20"/>
        </w:rPr>
        <w:t>podílu</w:t>
      </w:r>
      <w:r>
        <w:rPr>
          <w:spacing w:val="5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 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9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2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0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výši</w:t>
      </w:r>
      <w:r>
        <w:rPr>
          <w:spacing w:val="55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4"/>
          <w:sz w:val="20"/>
        </w:rPr>
        <w:t> </w:t>
      </w:r>
      <w:r>
        <w:rPr>
          <w:sz w:val="20"/>
        </w:rPr>
        <w:t>z poskytnuté podpory.</w:t>
      </w:r>
      <w:r>
        <w:rPr>
          <w:spacing w:val="55"/>
          <w:sz w:val="20"/>
        </w:rPr>
        <w:t> </w:t>
      </w:r>
      <w:r>
        <w:rPr>
          <w:sz w:val="20"/>
        </w:rPr>
        <w:t>Porušení</w:t>
      </w:r>
      <w:r>
        <w:rPr>
          <w:spacing w:val="55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46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46"/>
          <w:sz w:val="20"/>
        </w:rPr>
        <w:t> </w:t>
      </w:r>
      <w:r>
        <w:rPr>
          <w:sz w:val="20"/>
        </w:rPr>
        <w:t>za</w:t>
      </w:r>
      <w:r>
        <w:rPr>
          <w:spacing w:val="44"/>
          <w:sz w:val="20"/>
        </w:rPr>
        <w:t> </w:t>
      </w:r>
      <w:r>
        <w:rPr>
          <w:sz w:val="20"/>
        </w:rPr>
        <w:t>první,</w:t>
      </w:r>
      <w:r>
        <w:rPr>
          <w:spacing w:val="47"/>
          <w:sz w:val="20"/>
        </w:rPr>
        <w:t> </w:t>
      </w:r>
      <w:r>
        <w:rPr>
          <w:sz w:val="20"/>
        </w:rPr>
        <w:t>druhou</w:t>
      </w:r>
      <w:r>
        <w:rPr>
          <w:spacing w:val="46"/>
          <w:sz w:val="20"/>
        </w:rPr>
        <w:t> </w:t>
      </w:r>
      <w:r>
        <w:rPr>
          <w:sz w:val="20"/>
        </w:rPr>
        <w:t>nebo</w:t>
      </w:r>
      <w:r>
        <w:rPr>
          <w:spacing w:val="47"/>
          <w:sz w:val="20"/>
        </w:rPr>
        <w:t> </w:t>
      </w:r>
      <w:r>
        <w:rPr>
          <w:sz w:val="20"/>
        </w:rPr>
        <w:t>třetí</w:t>
      </w:r>
      <w:r>
        <w:rPr>
          <w:spacing w:val="45"/>
          <w:sz w:val="20"/>
        </w:rPr>
        <w:t> </w:t>
      </w:r>
      <w:r>
        <w:rPr>
          <w:sz w:val="20"/>
        </w:rPr>
        <w:t>odrážkou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postiženo</w:t>
      </w:r>
      <w:r>
        <w:rPr>
          <w:spacing w:val="47"/>
          <w:sz w:val="20"/>
        </w:rPr>
        <w:t> </w:t>
      </w:r>
      <w:r>
        <w:rPr>
          <w:sz w:val="20"/>
        </w:rPr>
        <w:t>odvodem</w:t>
      </w:r>
      <w:r>
        <w:rPr>
          <w:spacing w:val="44"/>
          <w:sz w:val="20"/>
        </w:rPr>
        <w:t> </w:t>
      </w:r>
      <w:r>
        <w:rPr>
          <w:sz w:val="20"/>
        </w:rPr>
        <w:t>ve</w:t>
      </w:r>
      <w:r>
        <w:rPr>
          <w:spacing w:val="46"/>
          <w:sz w:val="20"/>
        </w:rPr>
        <w:t> </w:t>
      </w:r>
      <w:r>
        <w:rPr>
          <w:sz w:val="20"/>
        </w:rPr>
        <w:t>výši</w:t>
      </w:r>
      <w:r>
        <w:rPr>
          <w:spacing w:val="45"/>
          <w:sz w:val="20"/>
        </w:rPr>
        <w:t> </w:t>
      </w:r>
      <w:r>
        <w:rPr>
          <w:sz w:val="20"/>
        </w:rPr>
        <w:t>100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50-90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8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ind w:left="3277"/>
      </w:pPr>
      <w:r>
        <w:rPr/>
        <w:t>VI.</w:t>
      </w:r>
    </w:p>
    <w:p>
      <w:pPr>
        <w:pStyle w:val="Heading2"/>
        <w:ind w:left="3274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17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zvláštních</w:t>
      </w:r>
      <w:r>
        <w:rPr>
          <w:spacing w:val="16"/>
          <w:sz w:val="20"/>
        </w:rPr>
        <w:t> </w:t>
      </w:r>
      <w:r>
        <w:rPr>
          <w:sz w:val="20"/>
        </w:rPr>
        <w:t>podmínkách</w:t>
      </w:r>
      <w:r>
        <w:rPr>
          <w:spacing w:val="16"/>
          <w:sz w:val="20"/>
        </w:rPr>
        <w:t> </w:t>
      </w:r>
      <w:r>
        <w:rPr>
          <w:sz w:val="20"/>
        </w:rPr>
        <w:t>účinnosti</w:t>
      </w:r>
      <w:r>
        <w:rPr>
          <w:spacing w:val="18"/>
          <w:sz w:val="20"/>
        </w:rPr>
        <w:t> </w:t>
      </w:r>
      <w:r>
        <w:rPr>
          <w:sz w:val="20"/>
        </w:rPr>
        <w:t>některých</w:t>
      </w:r>
      <w:r>
        <w:rPr>
          <w:spacing w:val="19"/>
          <w:sz w:val="20"/>
        </w:rPr>
        <w:t> </w:t>
      </w:r>
      <w:r>
        <w:rPr>
          <w:sz w:val="20"/>
        </w:rPr>
        <w:t>smluv,</w:t>
      </w:r>
      <w:r>
        <w:rPr>
          <w:spacing w:val="17"/>
          <w:sz w:val="20"/>
        </w:rPr>
        <w:t> </w:t>
      </w:r>
      <w:r>
        <w:rPr>
          <w:sz w:val="20"/>
        </w:rPr>
        <w:t>uveřejňování</w:t>
      </w:r>
      <w:r>
        <w:rPr>
          <w:spacing w:val="16"/>
          <w:sz w:val="20"/>
        </w:rPr>
        <w:t> </w:t>
      </w:r>
      <w:r>
        <w:rPr>
          <w:sz w:val="20"/>
        </w:rPr>
        <w:t>těchto</w:t>
      </w:r>
      <w:r>
        <w:rPr>
          <w:spacing w:val="17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7" w:firstLine="0"/>
      </w:pPr>
      <w:r>
        <w:rPr/>
        <w:t>a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registru</w:t>
      </w:r>
      <w:r>
        <w:rPr>
          <w:spacing w:val="-8"/>
        </w:rPr>
        <w:t> </w:t>
      </w:r>
      <w:r>
        <w:rPr/>
        <w:t>smluv</w:t>
      </w:r>
      <w:r>
        <w:rPr>
          <w:spacing w:val="-10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1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</w:t>
      </w:r>
      <w:r>
        <w:rPr>
          <w:spacing w:val="-53"/>
        </w:rPr>
        <w:t> </w:t>
      </w:r>
      <w:r>
        <w:rPr/>
        <w:t>tento</w:t>
      </w:r>
      <w:r>
        <w:rPr>
          <w:spacing w:val="-1"/>
        </w:rPr>
        <w:t> </w:t>
      </w:r>
      <w:r>
        <w:rPr/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tabs>
          <w:tab w:pos="6713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6"/>
        </w:rPr>
        <w:t> </w:t>
      </w:r>
      <w:r>
        <w:rPr/>
        <w:t>případě</w:t>
      </w:r>
      <w:r>
        <w:rPr>
          <w:spacing w:val="27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zakázek</w:t>
      </w:r>
      <w:r>
        <w:rPr>
          <w:spacing w:val="-14"/>
          <w:sz w:val="20"/>
        </w:rPr>
        <w:t> </w:t>
      </w:r>
      <w:r>
        <w:rPr>
          <w:sz w:val="20"/>
        </w:rPr>
        <w:t>v OPŽP</w:t>
      </w:r>
      <w:r>
        <w:rPr>
          <w:spacing w:val="-13"/>
          <w:sz w:val="20"/>
        </w:rPr>
        <w:t> </w:t>
      </w:r>
      <w:r>
        <w:rPr>
          <w:sz w:val="20"/>
        </w:rPr>
        <w:t>2014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2020,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 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1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84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2023-05-19T12:14:55Z</dcterms:created>
  <dcterms:modified xsi:type="dcterms:W3CDTF">2023-05-19T12:14:55Z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