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A3C0" w14:textId="77777777" w:rsidR="00F92E9A" w:rsidRDefault="00F92E9A"/>
    <w:p w14:paraId="37A824A4" w14:textId="77777777" w:rsidR="00382B6B" w:rsidRPr="00B318DD" w:rsidRDefault="00885AB8" w:rsidP="00382B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18DD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382B6B" w:rsidRPr="00B318DD">
        <w:rPr>
          <w:rFonts w:ascii="Arial" w:hAnsi="Arial" w:cs="Arial"/>
          <w:b/>
          <w:bCs/>
          <w:sz w:val="24"/>
          <w:szCs w:val="24"/>
        </w:rPr>
        <w:t>1</w:t>
      </w:r>
    </w:p>
    <w:p w14:paraId="0B2FC89E" w14:textId="1DCCAF9D" w:rsidR="00A949E5" w:rsidRPr="00B318DD" w:rsidRDefault="00F92E9A" w:rsidP="00B318DD">
      <w:pPr>
        <w:jc w:val="center"/>
        <w:rPr>
          <w:rFonts w:ascii="Arial" w:hAnsi="Arial" w:cs="Arial"/>
          <w:b/>
          <w:bCs/>
        </w:rPr>
      </w:pPr>
      <w:r w:rsidRPr="00B318DD">
        <w:rPr>
          <w:rFonts w:ascii="Arial" w:hAnsi="Arial" w:cs="Arial"/>
          <w:b/>
          <w:bCs/>
          <w:sz w:val="20"/>
          <w:szCs w:val="20"/>
        </w:rPr>
        <w:t>k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 nájemní</w:t>
      </w:r>
      <w:r w:rsidRPr="00B318DD">
        <w:rPr>
          <w:rFonts w:ascii="Arial" w:hAnsi="Arial" w:cs="Arial"/>
          <w:b/>
          <w:bCs/>
          <w:sz w:val="20"/>
          <w:szCs w:val="20"/>
        </w:rPr>
        <w:t xml:space="preserve"> smlouvě č. II-</w:t>
      </w:r>
      <w:r w:rsidR="00B318DD" w:rsidRPr="00B318DD">
        <w:rPr>
          <w:rFonts w:ascii="Arial" w:hAnsi="Arial" w:cs="Arial"/>
          <w:b/>
          <w:bCs/>
          <w:sz w:val="20"/>
          <w:szCs w:val="20"/>
        </w:rPr>
        <w:t>5</w:t>
      </w:r>
      <w:r w:rsidRPr="00B318DD">
        <w:rPr>
          <w:rFonts w:ascii="Arial" w:hAnsi="Arial" w:cs="Arial"/>
          <w:b/>
          <w:bCs/>
          <w:sz w:val="20"/>
          <w:szCs w:val="20"/>
        </w:rPr>
        <w:t>/202</w:t>
      </w:r>
      <w:r w:rsidR="00B318DD" w:rsidRPr="00B318DD">
        <w:rPr>
          <w:rFonts w:ascii="Arial" w:hAnsi="Arial" w:cs="Arial"/>
          <w:b/>
          <w:bCs/>
          <w:sz w:val="20"/>
          <w:szCs w:val="20"/>
        </w:rPr>
        <w:t>3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 xml:space="preserve"> uzavřené </w:t>
      </w:r>
      <w:r w:rsidR="00202008" w:rsidRPr="00B318DD">
        <w:rPr>
          <w:rFonts w:ascii="Arial" w:hAnsi="Arial" w:cs="Arial"/>
          <w:b/>
          <w:bCs/>
          <w:sz w:val="20"/>
          <w:szCs w:val="20"/>
        </w:rPr>
        <w:t xml:space="preserve">dne </w:t>
      </w:r>
      <w:r w:rsidR="00B318DD">
        <w:rPr>
          <w:rFonts w:ascii="Arial" w:hAnsi="Arial" w:cs="Arial"/>
          <w:b/>
          <w:bCs/>
          <w:sz w:val="20"/>
          <w:szCs w:val="20"/>
        </w:rPr>
        <w:t>28.2.2023</w:t>
      </w:r>
      <w:r w:rsidR="00382B6B" w:rsidRPr="00B318DD">
        <w:rPr>
          <w:rFonts w:ascii="Arial" w:hAnsi="Arial" w:cs="Arial"/>
          <w:b/>
          <w:bCs/>
        </w:rPr>
        <w:br/>
      </w:r>
      <w:r w:rsidR="00382B6B" w:rsidRPr="00B318DD">
        <w:rPr>
          <w:rFonts w:ascii="Arial" w:hAnsi="Arial" w:cs="Arial"/>
          <w:sz w:val="20"/>
          <w:szCs w:val="20"/>
        </w:rPr>
        <w:t>(dále jen „Dodatek“)</w:t>
      </w:r>
    </w:p>
    <w:p w14:paraId="77BF232E" w14:textId="2A175B77" w:rsidR="00F92E9A" w:rsidRPr="00B318DD" w:rsidRDefault="00382B6B" w:rsidP="00382B6B">
      <w:pPr>
        <w:jc w:val="center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který uzavřely níže uvedeného dne, měsíce a roku tyto smluvní strany</w:t>
      </w:r>
      <w:r w:rsidR="00D64383" w:rsidRPr="00B318DD">
        <w:rPr>
          <w:rFonts w:ascii="Arial" w:hAnsi="Arial" w:cs="Arial"/>
          <w:sz w:val="20"/>
          <w:szCs w:val="20"/>
        </w:rPr>
        <w:t>:</w:t>
      </w:r>
    </w:p>
    <w:p w14:paraId="4DFF771F" w14:textId="0BD9E884" w:rsidR="00D64383" w:rsidRPr="00B318DD" w:rsidRDefault="00D64383" w:rsidP="00D643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Muzeum města Brna, příspěvková organizace</w:t>
      </w:r>
    </w:p>
    <w:p w14:paraId="5C89B4DB" w14:textId="5E152B4D" w:rsidR="00D64383" w:rsidRPr="00B318DD" w:rsidRDefault="00D64383" w:rsidP="00D64383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</w:t>
      </w:r>
      <w:r w:rsidR="00A949E5" w:rsidRPr="00B318DD">
        <w:rPr>
          <w:rFonts w:ascii="Arial" w:hAnsi="Arial" w:cs="Arial"/>
          <w:sz w:val="20"/>
          <w:szCs w:val="20"/>
        </w:rPr>
        <w:t xml:space="preserve">      </w:t>
      </w:r>
      <w:r w:rsidRPr="00B318DD">
        <w:rPr>
          <w:rFonts w:ascii="Arial" w:hAnsi="Arial" w:cs="Arial"/>
          <w:sz w:val="20"/>
          <w:szCs w:val="20"/>
        </w:rPr>
        <w:t>se sídlem: Špilberk 210/1, 662 24 Brno</w:t>
      </w:r>
    </w:p>
    <w:p w14:paraId="29EC122C" w14:textId="626D8722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IČO: 00101427 </w:t>
      </w:r>
    </w:p>
    <w:p w14:paraId="6081E8F1" w14:textId="46FF8F25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DIČ: CZ00101427</w:t>
      </w:r>
    </w:p>
    <w:p w14:paraId="72D23FE9" w14:textId="1332CE1A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zapsaná v obchodním rejstříku vedeném Krajským soudem v Brně, sp. zn. Pr 34 </w:t>
      </w:r>
    </w:p>
    <w:p w14:paraId="06EAD019" w14:textId="53980ADC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bankovní spojení: </w:t>
      </w:r>
      <w:r w:rsidR="00EE218E">
        <w:rPr>
          <w:rFonts w:ascii="Arial" w:hAnsi="Arial" w:cs="Arial"/>
          <w:sz w:val="20"/>
          <w:szCs w:val="20"/>
        </w:rPr>
        <w:t>***</w:t>
      </w:r>
    </w:p>
    <w:p w14:paraId="793E0BB2" w14:textId="6B637AD9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zastoupené: Mgr. Zbyňkem Šolcem, ředitelem</w:t>
      </w:r>
    </w:p>
    <w:p w14:paraId="5C53A9D8" w14:textId="77777777" w:rsidR="00D64383" w:rsidRPr="00B318DD" w:rsidRDefault="00D64383" w:rsidP="00D64383">
      <w:pPr>
        <w:rPr>
          <w:rFonts w:ascii="Arial" w:hAnsi="Arial" w:cs="Arial"/>
          <w:sz w:val="20"/>
          <w:szCs w:val="20"/>
        </w:rPr>
      </w:pPr>
    </w:p>
    <w:p w14:paraId="1AFA831F" w14:textId="790E585C" w:rsidR="00A949E5" w:rsidRPr="00B318DD" w:rsidRDefault="00A949E5" w:rsidP="00A949E5">
      <w:p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</w:t>
      </w:r>
      <w:r w:rsidR="00D64383" w:rsidRPr="00B318DD">
        <w:rPr>
          <w:rFonts w:ascii="Arial" w:hAnsi="Arial" w:cs="Arial"/>
          <w:sz w:val="20"/>
          <w:szCs w:val="20"/>
        </w:rPr>
        <w:t>na straně jedné jako pronajímatel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P</w:t>
      </w:r>
      <w:r w:rsidR="00D64383" w:rsidRPr="00B318DD">
        <w:rPr>
          <w:rFonts w:ascii="Arial" w:hAnsi="Arial" w:cs="Arial"/>
          <w:b/>
          <w:bCs/>
          <w:sz w:val="20"/>
          <w:szCs w:val="20"/>
        </w:rPr>
        <w:t>ronajímatel</w:t>
      </w:r>
      <w:r w:rsidR="00D64383" w:rsidRPr="00B318DD">
        <w:rPr>
          <w:rFonts w:ascii="Arial" w:hAnsi="Arial" w:cs="Arial"/>
          <w:sz w:val="20"/>
          <w:szCs w:val="20"/>
        </w:rPr>
        <w:t>“)</w:t>
      </w:r>
    </w:p>
    <w:p w14:paraId="275A8D28" w14:textId="21D88199" w:rsidR="00D64383" w:rsidRPr="00B318DD" w:rsidRDefault="00D64383" w:rsidP="00A949E5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a</w:t>
      </w:r>
    </w:p>
    <w:p w14:paraId="5F610BFC" w14:textId="77777777" w:rsidR="00B318DD" w:rsidRPr="001C1F37" w:rsidRDefault="00B318DD" w:rsidP="00B318DD">
      <w:pPr>
        <w:numPr>
          <w:ilvl w:val="0"/>
          <w:numId w:val="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Helvetica" w:hAnsi="Helvetica" w:cs="Helvetica"/>
          <w:b/>
          <w:bCs/>
          <w:kern w:val="24"/>
          <w:sz w:val="20"/>
          <w:szCs w:val="20"/>
        </w:rPr>
      </w:pPr>
      <w:bookmarkStart w:id="0" w:name="_Hlk82682321"/>
      <w:r>
        <w:rPr>
          <w:rFonts w:ascii="Helvetica" w:hAnsi="Helvetica" w:cs="Helvetica"/>
          <w:b/>
          <w:bCs/>
          <w:kern w:val="24"/>
          <w:sz w:val="20"/>
          <w:szCs w:val="20"/>
        </w:rPr>
        <w:t>Pigs production s.r.o.</w:t>
      </w:r>
    </w:p>
    <w:bookmarkEnd w:id="0"/>
    <w:p w14:paraId="2915B6D6" w14:textId="77777777" w:rsidR="00B318DD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se sídlem: Nad Týncem 1183/42, 312 00 Plzeň</w:t>
      </w:r>
    </w:p>
    <w:p w14:paraId="411405FC" w14:textId="77777777" w:rsidR="00B318DD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IČO: 29091667</w:t>
      </w:r>
    </w:p>
    <w:p w14:paraId="38367102" w14:textId="77777777" w:rsidR="00B318DD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DIČ: CZ29091667</w:t>
      </w:r>
    </w:p>
    <w:p w14:paraId="1B9A391D" w14:textId="77777777" w:rsidR="00B318DD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zapsaná v obchodním rejstříku vedeném u Krajského soudu v Plzni, sp. zn. C 24135</w:t>
      </w:r>
    </w:p>
    <w:p w14:paraId="068DC9C8" w14:textId="4EF29C9F" w:rsidR="00B318DD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bankovní spojení: </w:t>
      </w:r>
      <w:r w:rsidR="00372B48">
        <w:rPr>
          <w:rFonts w:ascii="Arial" w:hAnsi="Arial" w:cs="Arial"/>
          <w:sz w:val="20"/>
          <w:szCs w:val="20"/>
        </w:rPr>
        <w:t>***</w:t>
      </w:r>
    </w:p>
    <w:p w14:paraId="5FE07F3D" w14:textId="0882B2A2" w:rsidR="00D64383" w:rsidRPr="00B318DD" w:rsidRDefault="00B318DD" w:rsidP="00B318DD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zastoupená: Petr Jirásek</w:t>
      </w:r>
    </w:p>
    <w:p w14:paraId="427E1FBA" w14:textId="77777777" w:rsidR="00D64383" w:rsidRPr="00B318DD" w:rsidRDefault="00D64383" w:rsidP="00D64383">
      <w:pPr>
        <w:rPr>
          <w:rFonts w:ascii="Arial" w:hAnsi="Arial" w:cs="Arial"/>
          <w:sz w:val="20"/>
          <w:szCs w:val="20"/>
        </w:rPr>
      </w:pPr>
    </w:p>
    <w:p w14:paraId="6F750508" w14:textId="3752FB7F" w:rsidR="00D64383" w:rsidRPr="00B318DD" w:rsidRDefault="00D64383" w:rsidP="00D64383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na straně druhé jako nájemce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N</w:t>
      </w:r>
      <w:r w:rsidRPr="00B318DD">
        <w:rPr>
          <w:rFonts w:ascii="Arial" w:hAnsi="Arial" w:cs="Arial"/>
          <w:b/>
          <w:bCs/>
          <w:sz w:val="20"/>
          <w:szCs w:val="20"/>
        </w:rPr>
        <w:t>ájemce</w:t>
      </w:r>
      <w:r w:rsidRPr="00B318DD">
        <w:rPr>
          <w:rFonts w:ascii="Arial" w:hAnsi="Arial" w:cs="Arial"/>
          <w:sz w:val="20"/>
          <w:szCs w:val="20"/>
        </w:rPr>
        <w:t>“)</w:t>
      </w:r>
    </w:p>
    <w:p w14:paraId="144BD7B2" w14:textId="77777777" w:rsidR="004C7678" w:rsidRPr="00B318DD" w:rsidRDefault="004C7678" w:rsidP="00A17D14">
      <w:pPr>
        <w:rPr>
          <w:rFonts w:ascii="Arial" w:hAnsi="Arial" w:cs="Arial"/>
          <w:sz w:val="20"/>
          <w:szCs w:val="20"/>
        </w:rPr>
      </w:pPr>
    </w:p>
    <w:p w14:paraId="5B694BC8" w14:textId="36785698" w:rsidR="008A0F52" w:rsidRPr="00B318DD" w:rsidRDefault="00382B6B" w:rsidP="00382B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I. Účel Dodatku</w:t>
      </w:r>
    </w:p>
    <w:p w14:paraId="0716B1AB" w14:textId="0EDA708F" w:rsidR="00382B6B" w:rsidRPr="00B318DD" w:rsidRDefault="00382B6B" w:rsidP="008A0F5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tímto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mění znění nájemní smlouvy uzavřené dne </w:t>
      </w:r>
      <w:r w:rsidR="00461D9B">
        <w:rPr>
          <w:rFonts w:ascii="Arial" w:hAnsi="Arial" w:cs="Arial"/>
          <w:sz w:val="20"/>
          <w:szCs w:val="20"/>
        </w:rPr>
        <w:t>28.2.2023</w:t>
      </w:r>
      <w:r w:rsidRPr="00B318DD">
        <w:rPr>
          <w:rFonts w:ascii="Arial" w:hAnsi="Arial" w:cs="Arial"/>
          <w:sz w:val="20"/>
          <w:szCs w:val="20"/>
        </w:rPr>
        <w:t xml:space="preserve"> (dále je</w:t>
      </w:r>
      <w:r w:rsidR="00966DC0" w:rsidRPr="00B318DD">
        <w:rPr>
          <w:rFonts w:ascii="Arial" w:hAnsi="Arial" w:cs="Arial"/>
          <w:sz w:val="20"/>
          <w:szCs w:val="20"/>
        </w:rPr>
        <w:t>n</w:t>
      </w:r>
      <w:r w:rsidRPr="00B318DD">
        <w:rPr>
          <w:rFonts w:ascii="Arial" w:hAnsi="Arial" w:cs="Arial"/>
          <w:sz w:val="20"/>
          <w:szCs w:val="20"/>
        </w:rPr>
        <w:t xml:space="preserve"> „Smlouva</w:t>
      </w:r>
      <w:r w:rsidR="00966DC0" w:rsidRPr="00B318DD">
        <w:rPr>
          <w:rFonts w:ascii="Arial" w:hAnsi="Arial" w:cs="Arial"/>
          <w:sz w:val="20"/>
          <w:szCs w:val="20"/>
        </w:rPr>
        <w:t>“</w:t>
      </w:r>
      <w:r w:rsidRPr="00B318DD">
        <w:rPr>
          <w:rFonts w:ascii="Arial" w:hAnsi="Arial" w:cs="Arial"/>
          <w:sz w:val="20"/>
          <w:szCs w:val="20"/>
        </w:rPr>
        <w:t xml:space="preserve">) mezi Pronajímatelem a Nájemcem. </w:t>
      </w:r>
    </w:p>
    <w:p w14:paraId="389F17AE" w14:textId="1363ADE1" w:rsidR="003D404F" w:rsidRPr="00B318DD" w:rsidRDefault="00966DC0" w:rsidP="003D404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Důvodem pro uzavření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>odatku je</w:t>
      </w:r>
      <w:r w:rsidR="003F1A56" w:rsidRPr="00B318DD">
        <w:rPr>
          <w:rFonts w:ascii="Arial" w:hAnsi="Arial" w:cs="Arial"/>
          <w:sz w:val="20"/>
          <w:szCs w:val="20"/>
        </w:rPr>
        <w:t xml:space="preserve"> </w:t>
      </w:r>
      <w:r w:rsidR="000C25E2">
        <w:rPr>
          <w:rFonts w:ascii="Arial" w:hAnsi="Arial" w:cs="Arial"/>
          <w:sz w:val="20"/>
          <w:szCs w:val="20"/>
        </w:rPr>
        <w:t>rozšíření některých bodů smlouvy viz bod II. tohoto dodatku.</w:t>
      </w:r>
    </w:p>
    <w:p w14:paraId="0B7681CC" w14:textId="77777777" w:rsidR="004C7678" w:rsidRPr="00B318DD" w:rsidRDefault="004C7678" w:rsidP="003D404F">
      <w:pPr>
        <w:rPr>
          <w:rFonts w:ascii="Arial" w:hAnsi="Arial" w:cs="Arial"/>
          <w:sz w:val="20"/>
          <w:szCs w:val="20"/>
        </w:rPr>
      </w:pPr>
    </w:p>
    <w:p w14:paraId="0BEB82A1" w14:textId="5EE03CB3" w:rsidR="003D404F" w:rsidRPr="00B318DD" w:rsidRDefault="003D404F" w:rsidP="00F15C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II.</w:t>
      </w:r>
      <w:r w:rsidR="00F15CF2" w:rsidRPr="00B318DD">
        <w:rPr>
          <w:rFonts w:ascii="Arial" w:hAnsi="Arial" w:cs="Arial"/>
          <w:b/>
          <w:bCs/>
          <w:sz w:val="20"/>
          <w:szCs w:val="20"/>
        </w:rPr>
        <w:t xml:space="preserve"> Změny smlouvy</w:t>
      </w:r>
    </w:p>
    <w:p w14:paraId="5330B7B9" w14:textId="5087D607" w:rsidR="00A42494" w:rsidRDefault="00B603F0" w:rsidP="003D404F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Tímto </w:t>
      </w:r>
      <w:r w:rsidR="00096EB7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se </w:t>
      </w:r>
      <w:r w:rsidR="00096EB7">
        <w:rPr>
          <w:rFonts w:ascii="Arial" w:hAnsi="Arial" w:cs="Arial"/>
          <w:sz w:val="20"/>
          <w:szCs w:val="20"/>
        </w:rPr>
        <w:t>rozšiřuje</w:t>
      </w:r>
      <w:r w:rsidRPr="00B318DD">
        <w:rPr>
          <w:rFonts w:ascii="Arial" w:hAnsi="Arial" w:cs="Arial"/>
          <w:sz w:val="20"/>
          <w:szCs w:val="20"/>
        </w:rPr>
        <w:t xml:space="preserve"> bod </w:t>
      </w:r>
      <w:r w:rsidR="000C25E2">
        <w:rPr>
          <w:rFonts w:ascii="Arial" w:hAnsi="Arial" w:cs="Arial"/>
          <w:sz w:val="20"/>
          <w:szCs w:val="20"/>
        </w:rPr>
        <w:t>II</w:t>
      </w:r>
      <w:r w:rsidR="00EB4DE2" w:rsidRPr="00B318DD">
        <w:rPr>
          <w:rFonts w:ascii="Arial" w:hAnsi="Arial" w:cs="Arial"/>
          <w:sz w:val="20"/>
          <w:szCs w:val="20"/>
        </w:rPr>
        <w:t>. odst.</w:t>
      </w:r>
      <w:r w:rsidR="00020ECE">
        <w:rPr>
          <w:rFonts w:ascii="Arial" w:hAnsi="Arial" w:cs="Arial"/>
          <w:sz w:val="20"/>
          <w:szCs w:val="20"/>
        </w:rPr>
        <w:t>1.</w:t>
      </w:r>
      <w:r w:rsidR="00096EB7">
        <w:rPr>
          <w:rFonts w:ascii="Arial" w:hAnsi="Arial" w:cs="Arial"/>
          <w:sz w:val="20"/>
          <w:szCs w:val="20"/>
        </w:rPr>
        <w:t>a.</w:t>
      </w:r>
      <w:r w:rsidR="00EB4DE2" w:rsidRPr="00B318DD">
        <w:rPr>
          <w:rFonts w:ascii="Arial" w:hAnsi="Arial" w:cs="Arial"/>
          <w:sz w:val="20"/>
          <w:szCs w:val="20"/>
        </w:rPr>
        <w:t xml:space="preserve"> </w:t>
      </w:r>
      <w:r w:rsidR="00A42494">
        <w:rPr>
          <w:rFonts w:ascii="Arial" w:hAnsi="Arial" w:cs="Arial"/>
          <w:sz w:val="20"/>
          <w:szCs w:val="20"/>
        </w:rPr>
        <w:t>s</w:t>
      </w:r>
      <w:r w:rsidR="00EB4DE2" w:rsidRPr="00B318DD">
        <w:rPr>
          <w:rFonts w:ascii="Arial" w:hAnsi="Arial" w:cs="Arial"/>
          <w:sz w:val="20"/>
          <w:szCs w:val="20"/>
        </w:rPr>
        <w:t>mlouvy</w:t>
      </w:r>
      <w:r w:rsidR="00096EB7">
        <w:rPr>
          <w:rFonts w:ascii="Arial" w:hAnsi="Arial" w:cs="Arial"/>
          <w:sz w:val="20"/>
          <w:szCs w:val="20"/>
        </w:rPr>
        <w:t xml:space="preserve">, a to </w:t>
      </w:r>
      <w:r w:rsidR="00A42494">
        <w:rPr>
          <w:rFonts w:ascii="Arial" w:hAnsi="Arial" w:cs="Arial"/>
          <w:sz w:val="20"/>
          <w:szCs w:val="20"/>
        </w:rPr>
        <w:t>ve znění:</w:t>
      </w:r>
    </w:p>
    <w:p w14:paraId="63226611" w14:textId="5FCA940F" w:rsidR="00A42494" w:rsidRPr="00A42494" w:rsidRDefault="00A42494" w:rsidP="00A42494">
      <w:pPr>
        <w:pStyle w:val="Zkladntext2"/>
        <w:numPr>
          <w:ilvl w:val="1"/>
          <w:numId w:val="6"/>
        </w:numPr>
        <w:suppressAutoHyphens/>
        <w:spacing w:after="120"/>
        <w:rPr>
          <w:rFonts w:ascii="Helvetica" w:hAnsi="Helvetica" w:cs="Helvetica"/>
          <w:i/>
          <w:iCs/>
          <w:kern w:val="24"/>
          <w:sz w:val="20"/>
          <w:szCs w:val="20"/>
        </w:rPr>
      </w:pP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 xml:space="preserve">prostory, sestávající se z místností či prostranství tak, jak jsou tyto zobrazeny a vyznačeny na části plánu prostor hradu Špilberk, který tvoří přílohu č. 1, s názvem: </w:t>
      </w:r>
      <w:bookmarkStart w:id="1" w:name="_Hlk124243091"/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Brána z ulice Gorazdova, JZB – Jihozápadní bastion, Přístupová cesta do hradu (Jižní, východní a severní terasa), JVB – Jihovýchodní bastion, tunýlek z ulice Husova, SZB – Severozápadní bastion, ZK – západní kurtina, MN – Malé nádvoří, VN – Velké nádvoří, VK202 – sál Ogilvy, 201 - Rozhledna, 204 – Hranolová věž, 206 - Předsálí, 207 – Královská kaple, SD – Severní dvůr,</w:t>
      </w:r>
      <w:r w:rsidRPr="00A42494">
        <w:rPr>
          <w:rFonts w:ascii="Arial" w:hAnsi="Arial" w:cs="Arial"/>
          <w:i/>
          <w:iCs/>
          <w:sz w:val="20"/>
          <w:szCs w:val="20"/>
        </w:rPr>
        <w:t xml:space="preserve"> šatny ve středním křídle (STK 104-110)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 xml:space="preserve"> </w:t>
      </w:r>
      <w:bookmarkEnd w:id="1"/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(</w:t>
      </w:r>
      <w:r w:rsidRPr="00A42494">
        <w:rPr>
          <w:rFonts w:ascii="Helvetica" w:hAnsi="Helvetica" w:cs="Helvetica"/>
          <w:i/>
          <w:iCs/>
          <w:spacing w:val="-2"/>
          <w:kern w:val="24"/>
          <w:sz w:val="20"/>
          <w:szCs w:val="20"/>
        </w:rPr>
        <w:t>dále též jen jako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 xml:space="preserve"> „</w:t>
      </w:r>
      <w:r w:rsidRPr="00A42494">
        <w:rPr>
          <w:rFonts w:ascii="Helvetica" w:hAnsi="Helvetica" w:cs="Helvetica"/>
          <w:b/>
          <w:bCs/>
          <w:i/>
          <w:iCs/>
          <w:kern w:val="24"/>
          <w:sz w:val="20"/>
          <w:szCs w:val="20"/>
        </w:rPr>
        <w:t>Prostory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“),</w:t>
      </w:r>
    </w:p>
    <w:p w14:paraId="39B27357" w14:textId="77777777" w:rsidR="00A42494" w:rsidRPr="00A42494" w:rsidRDefault="00A42494" w:rsidP="00A42494">
      <w:pPr>
        <w:pStyle w:val="Zkladntext2"/>
        <w:suppressAutoHyphens/>
        <w:spacing w:after="120"/>
        <w:ind w:left="740" w:firstLine="340"/>
        <w:rPr>
          <w:rFonts w:ascii="Helvetica" w:hAnsi="Helvetica" w:cs="Helvetica"/>
          <w:i/>
          <w:iCs/>
          <w:kern w:val="24"/>
          <w:sz w:val="20"/>
          <w:szCs w:val="20"/>
        </w:rPr>
      </w:pP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(dále též jen jako „</w:t>
      </w:r>
      <w:r w:rsidRPr="00A42494">
        <w:rPr>
          <w:rFonts w:ascii="Helvetica" w:hAnsi="Helvetica" w:cs="Helvetica"/>
          <w:b/>
          <w:bCs/>
          <w:i/>
          <w:iCs/>
          <w:kern w:val="24"/>
          <w:sz w:val="20"/>
          <w:szCs w:val="20"/>
        </w:rPr>
        <w:t>Předmět nájmu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“).</w:t>
      </w:r>
    </w:p>
    <w:p w14:paraId="48894607" w14:textId="18F0733A" w:rsidR="0094734B" w:rsidRPr="00B318DD" w:rsidRDefault="0094734B" w:rsidP="003D404F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Tímto Dodatkem se </w:t>
      </w:r>
      <w:r w:rsidR="00096EB7">
        <w:rPr>
          <w:rFonts w:ascii="Arial" w:hAnsi="Arial" w:cs="Arial"/>
          <w:sz w:val="20"/>
          <w:szCs w:val="20"/>
        </w:rPr>
        <w:t xml:space="preserve">rozšiřuje rovněž bod </w:t>
      </w:r>
      <w:r w:rsidR="00880AF4">
        <w:rPr>
          <w:rFonts w:ascii="Arial" w:hAnsi="Arial" w:cs="Arial"/>
          <w:sz w:val="20"/>
          <w:szCs w:val="20"/>
        </w:rPr>
        <w:t>V</w:t>
      </w:r>
      <w:r w:rsidR="008F698E">
        <w:rPr>
          <w:rFonts w:ascii="Arial" w:hAnsi="Arial" w:cs="Arial"/>
          <w:sz w:val="20"/>
          <w:szCs w:val="20"/>
        </w:rPr>
        <w:t>.</w:t>
      </w:r>
      <w:r w:rsidR="00880AF4">
        <w:rPr>
          <w:rFonts w:ascii="Arial" w:hAnsi="Arial" w:cs="Arial"/>
          <w:sz w:val="20"/>
          <w:szCs w:val="20"/>
        </w:rPr>
        <w:t> smlouvy o odst. č. 10 ve znění</w:t>
      </w:r>
      <w:r w:rsidRPr="00B318DD">
        <w:rPr>
          <w:rFonts w:ascii="Arial" w:hAnsi="Arial" w:cs="Arial"/>
          <w:sz w:val="20"/>
          <w:szCs w:val="20"/>
        </w:rPr>
        <w:t>:</w:t>
      </w:r>
    </w:p>
    <w:p w14:paraId="28C6F027" w14:textId="6475F103" w:rsidR="004C7678" w:rsidRPr="00AB600E" w:rsidRDefault="00AB600E" w:rsidP="00AB600E">
      <w:pPr>
        <w:ind w:left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10. </w:t>
      </w:r>
      <w:r w:rsidR="0094734B" w:rsidRPr="00AB600E">
        <w:rPr>
          <w:rFonts w:ascii="Arial" w:hAnsi="Arial" w:cs="Arial"/>
          <w:i/>
          <w:iCs/>
          <w:sz w:val="20"/>
          <w:szCs w:val="20"/>
        </w:rPr>
        <w:t xml:space="preserve">Nájemce se zavazuje </w:t>
      </w:r>
      <w:r>
        <w:rPr>
          <w:rFonts w:ascii="Arial" w:hAnsi="Arial" w:cs="Arial"/>
          <w:i/>
          <w:iCs/>
          <w:sz w:val="20"/>
          <w:szCs w:val="20"/>
        </w:rPr>
        <w:t>31.5.2023 nerušit svou činností vernisáž výstavy Elišky Rejčky, která v daný den bude probíhat, a to v čase od 13:00 do 15:00 hod. Dále se nájemce zavazuje umožnit parkování televizním štábům</w:t>
      </w:r>
      <w:r w:rsidR="008F698E">
        <w:rPr>
          <w:rFonts w:ascii="Arial" w:hAnsi="Arial" w:cs="Arial"/>
          <w:i/>
          <w:iCs/>
          <w:sz w:val="20"/>
          <w:szCs w:val="20"/>
        </w:rPr>
        <w:t xml:space="preserve"> a dalším představitelům města</w:t>
      </w:r>
      <w:r>
        <w:rPr>
          <w:rFonts w:ascii="Arial" w:hAnsi="Arial" w:cs="Arial"/>
          <w:i/>
          <w:iCs/>
          <w:sz w:val="20"/>
          <w:szCs w:val="20"/>
        </w:rPr>
        <w:t xml:space="preserve">, které se zúčastní </w:t>
      </w:r>
      <w:r>
        <w:rPr>
          <w:rFonts w:ascii="Arial" w:hAnsi="Arial" w:cs="Arial"/>
          <w:i/>
          <w:iCs/>
          <w:sz w:val="20"/>
          <w:szCs w:val="20"/>
        </w:rPr>
        <w:lastRenderedPageBreak/>
        <w:t>tiskové konference daný den</w:t>
      </w:r>
      <w:r w:rsidR="008F698E">
        <w:rPr>
          <w:rFonts w:ascii="Arial" w:hAnsi="Arial" w:cs="Arial"/>
          <w:i/>
          <w:iCs/>
          <w:sz w:val="20"/>
          <w:szCs w:val="20"/>
        </w:rPr>
        <w:t>, na Severní kurtině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="008F698E">
        <w:rPr>
          <w:rFonts w:ascii="Arial" w:hAnsi="Arial" w:cs="Arial"/>
          <w:i/>
          <w:iCs/>
          <w:sz w:val="20"/>
          <w:szCs w:val="20"/>
        </w:rPr>
        <w:t xml:space="preserve">Nájemce se rovněž zavazuje </w:t>
      </w:r>
      <w:r>
        <w:rPr>
          <w:rFonts w:ascii="Arial" w:hAnsi="Arial" w:cs="Arial"/>
          <w:i/>
          <w:iCs/>
          <w:sz w:val="20"/>
          <w:szCs w:val="20"/>
        </w:rPr>
        <w:t>započít přípravy ve Východním křídle</w:t>
      </w:r>
      <w:r w:rsidR="008F698E">
        <w:rPr>
          <w:rFonts w:ascii="Arial" w:hAnsi="Arial" w:cs="Arial"/>
          <w:i/>
          <w:iCs/>
          <w:sz w:val="20"/>
          <w:szCs w:val="20"/>
        </w:rPr>
        <w:t xml:space="preserve"> až po 18:30 hod. v daný den.</w:t>
      </w:r>
    </w:p>
    <w:p w14:paraId="033CD3F2" w14:textId="5822562D" w:rsidR="009F5389" w:rsidRPr="00A42494" w:rsidRDefault="00B3181F" w:rsidP="00E71896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se rozšiřuje</w:t>
      </w:r>
      <w:r w:rsidR="00A42494">
        <w:rPr>
          <w:rFonts w:ascii="Arial" w:hAnsi="Arial" w:cs="Arial"/>
          <w:sz w:val="20"/>
          <w:szCs w:val="20"/>
        </w:rPr>
        <w:t xml:space="preserve"> a mění</w:t>
      </w:r>
      <w:r>
        <w:rPr>
          <w:rFonts w:ascii="Arial" w:hAnsi="Arial" w:cs="Arial"/>
          <w:sz w:val="20"/>
          <w:szCs w:val="20"/>
        </w:rPr>
        <w:t xml:space="preserve"> bod </w:t>
      </w:r>
      <w:r w:rsidR="006C4D14" w:rsidRPr="00E71896">
        <w:rPr>
          <w:rFonts w:ascii="Arial" w:hAnsi="Arial" w:cs="Arial"/>
          <w:sz w:val="20"/>
          <w:szCs w:val="20"/>
        </w:rPr>
        <w:t>VI</w:t>
      </w:r>
      <w:r w:rsidR="009F5389" w:rsidRPr="00E71896">
        <w:rPr>
          <w:rFonts w:ascii="Arial" w:hAnsi="Arial" w:cs="Arial"/>
          <w:sz w:val="20"/>
          <w:szCs w:val="20"/>
        </w:rPr>
        <w:t>. odst.</w:t>
      </w:r>
      <w:r w:rsidR="006C4D14" w:rsidRPr="00E71896">
        <w:rPr>
          <w:rFonts w:ascii="Arial" w:hAnsi="Arial" w:cs="Arial"/>
          <w:sz w:val="20"/>
          <w:szCs w:val="20"/>
        </w:rPr>
        <w:t xml:space="preserve"> 2</w:t>
      </w:r>
      <w:r w:rsidR="009F5389" w:rsidRPr="00E71896">
        <w:rPr>
          <w:rFonts w:ascii="Arial" w:hAnsi="Arial" w:cs="Arial"/>
          <w:sz w:val="20"/>
          <w:szCs w:val="20"/>
        </w:rPr>
        <w:t>.</w:t>
      </w:r>
      <w:r w:rsidR="00A42494">
        <w:rPr>
          <w:rFonts w:ascii="Arial" w:hAnsi="Arial" w:cs="Arial"/>
          <w:sz w:val="20"/>
          <w:szCs w:val="20"/>
        </w:rPr>
        <w:t xml:space="preserve"> smlouvy</w:t>
      </w:r>
      <w:r w:rsidR="008E0547">
        <w:rPr>
          <w:rFonts w:ascii="Arial" w:hAnsi="Arial" w:cs="Arial"/>
          <w:sz w:val="20"/>
          <w:szCs w:val="20"/>
        </w:rPr>
        <w:t xml:space="preserve"> ve znění:</w:t>
      </w:r>
    </w:p>
    <w:p w14:paraId="13F0162D" w14:textId="1D4B68FE" w:rsidR="00A42494" w:rsidRPr="00A42494" w:rsidRDefault="00A42494" w:rsidP="00A42494">
      <w:pPr>
        <w:pStyle w:val="Zkladntext"/>
        <w:numPr>
          <w:ilvl w:val="0"/>
          <w:numId w:val="1"/>
        </w:numPr>
        <w:tabs>
          <w:tab w:val="left" w:pos="426"/>
        </w:tabs>
        <w:suppressAutoHyphens/>
        <w:spacing w:line="240" w:lineRule="auto"/>
        <w:jc w:val="both"/>
        <w:rPr>
          <w:rFonts w:ascii="Helvetica" w:hAnsi="Helvetica" w:cs="Helvetica"/>
          <w:i/>
          <w:iCs/>
          <w:sz w:val="20"/>
          <w:szCs w:val="20"/>
        </w:rPr>
      </w:pPr>
      <w:r w:rsidRPr="00A42494">
        <w:rPr>
          <w:rFonts w:ascii="Helvetica" w:hAnsi="Helvetica" w:cs="Helvetica"/>
          <w:i/>
          <w:iCs/>
          <w:sz w:val="20"/>
          <w:szCs w:val="20"/>
        </w:rPr>
        <w:t xml:space="preserve">Smluvní strany sjednávají nájemné v obvyklé výši, a to celkem ve výši </w:t>
      </w:r>
      <w:r w:rsidRPr="00A42494">
        <w:rPr>
          <w:rFonts w:ascii="Helvetica" w:hAnsi="Helvetica" w:cs="Helvetica"/>
          <w:b/>
          <w:bCs/>
          <w:i/>
          <w:iCs/>
          <w:sz w:val="20"/>
          <w:szCs w:val="20"/>
        </w:rPr>
        <w:t>170 800,- Kč bez DPH</w:t>
      </w:r>
      <w:r w:rsidRPr="00A42494">
        <w:rPr>
          <w:rFonts w:ascii="Helvetica" w:hAnsi="Helvetica" w:cs="Helvetica"/>
          <w:i/>
          <w:iCs/>
          <w:sz w:val="20"/>
          <w:szCs w:val="20"/>
        </w:rPr>
        <w:t xml:space="preserve"> (slovy: sto padesát čtyři tisíc osm set korun českých), skládající se z:</w:t>
      </w:r>
    </w:p>
    <w:p w14:paraId="7C8F7C42" w14:textId="77777777" w:rsidR="00A42494" w:rsidRPr="00A42494" w:rsidRDefault="00A42494" w:rsidP="00A42494">
      <w:pPr>
        <w:pStyle w:val="Zkladntext2"/>
        <w:numPr>
          <w:ilvl w:val="0"/>
          <w:numId w:val="20"/>
        </w:numPr>
        <w:suppressAutoHyphens/>
        <w:spacing w:after="120"/>
        <w:ind w:left="993" w:hanging="273"/>
        <w:rPr>
          <w:rFonts w:ascii="Helvetica" w:hAnsi="Helvetica" w:cs="Helvetica"/>
          <w:i/>
          <w:iCs/>
          <w:sz w:val="20"/>
          <w:szCs w:val="20"/>
        </w:rPr>
      </w:pP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 xml:space="preserve">částky 100 000,- Kč </w:t>
      </w:r>
      <w:r w:rsidRPr="00A42494">
        <w:rPr>
          <w:rFonts w:ascii="Helvetica" w:hAnsi="Helvetica" w:cs="Helvetica"/>
          <w:i/>
          <w:iCs/>
          <w:sz w:val="20"/>
          <w:szCs w:val="20"/>
        </w:rPr>
        <w:t xml:space="preserve">odpovídající nájemnému 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 xml:space="preserve">za </w:t>
      </w:r>
      <w:r w:rsidRPr="00A42494">
        <w:rPr>
          <w:rFonts w:ascii="Helvetica" w:hAnsi="Helvetica" w:cs="Helvetica"/>
          <w:i/>
          <w:iCs/>
          <w:sz w:val="20"/>
          <w:szCs w:val="20"/>
        </w:rPr>
        <w:t xml:space="preserve">přenechání k 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užívání Předmětu nájmu nájemci</w:t>
      </w:r>
      <w:r w:rsidRPr="00A42494">
        <w:rPr>
          <w:rFonts w:ascii="Helvetica" w:hAnsi="Helvetica" w:cs="Helvetica"/>
          <w:i/>
          <w:iCs/>
          <w:sz w:val="20"/>
          <w:szCs w:val="20"/>
        </w:rPr>
        <w:t xml:space="preserve"> a </w:t>
      </w:r>
    </w:p>
    <w:p w14:paraId="279EEDDC" w14:textId="77777777" w:rsidR="00A42494" w:rsidRPr="00A42494" w:rsidRDefault="00A42494" w:rsidP="00A42494">
      <w:pPr>
        <w:pStyle w:val="Zkladntext2"/>
        <w:numPr>
          <w:ilvl w:val="0"/>
          <w:numId w:val="20"/>
        </w:numPr>
        <w:suppressAutoHyphens/>
        <w:spacing w:after="120"/>
        <w:ind w:left="993" w:hanging="273"/>
        <w:rPr>
          <w:rFonts w:ascii="Helvetica" w:hAnsi="Helvetica" w:cs="Helvetica"/>
          <w:i/>
          <w:iCs/>
          <w:sz w:val="20"/>
          <w:szCs w:val="20"/>
        </w:rPr>
      </w:pPr>
      <w:r w:rsidRPr="00A42494">
        <w:rPr>
          <w:rFonts w:ascii="Helvetica" w:hAnsi="Helvetica" w:cs="Helvetica"/>
          <w:i/>
          <w:iCs/>
          <w:sz w:val="20"/>
          <w:szCs w:val="20"/>
        </w:rPr>
        <w:t xml:space="preserve">částky za energie </w:t>
      </w:r>
      <w:r w:rsidRPr="00A42494">
        <w:rPr>
          <w:rFonts w:ascii="Helvetica" w:hAnsi="Helvetica" w:cs="Helvetica"/>
          <w:i/>
          <w:iCs/>
          <w:kern w:val="24"/>
          <w:sz w:val="20"/>
          <w:szCs w:val="20"/>
        </w:rPr>
        <w:t>výši 20 000,- Kč,</w:t>
      </w:r>
    </w:p>
    <w:p w14:paraId="1717CA65" w14:textId="11BF4CB9" w:rsidR="00A42494" w:rsidRPr="00A42494" w:rsidRDefault="00A42494" w:rsidP="00A42494">
      <w:pPr>
        <w:pStyle w:val="Zkladntext2"/>
        <w:numPr>
          <w:ilvl w:val="0"/>
          <w:numId w:val="20"/>
        </w:numPr>
        <w:suppressAutoHyphens/>
        <w:spacing w:after="120"/>
        <w:ind w:left="993" w:hanging="273"/>
        <w:rPr>
          <w:rFonts w:ascii="Helvetica" w:hAnsi="Helvetica" w:cs="Helvetica"/>
          <w:i/>
          <w:iCs/>
          <w:sz w:val="20"/>
          <w:szCs w:val="20"/>
        </w:rPr>
      </w:pPr>
      <w:r w:rsidRPr="00A42494">
        <w:rPr>
          <w:rFonts w:ascii="Helvetica" w:hAnsi="Helvetica" w:cs="Helvetica"/>
          <w:i/>
          <w:iCs/>
          <w:sz w:val="20"/>
          <w:szCs w:val="20"/>
        </w:rPr>
        <w:t xml:space="preserve">náklady na přítomnost pověřených osob ve výši </w:t>
      </w:r>
      <w:r w:rsidRPr="00A42494">
        <w:rPr>
          <w:rFonts w:ascii="Helvetica" w:hAnsi="Helvetica" w:cs="Helvetica"/>
          <w:i/>
          <w:iCs/>
          <w:sz w:val="20"/>
          <w:szCs w:val="20"/>
          <w:lang w:val="en-GB"/>
        </w:rPr>
        <w:t xml:space="preserve">34 800,- </w:t>
      </w:r>
      <w:r w:rsidRPr="00A42494">
        <w:rPr>
          <w:rFonts w:ascii="Helvetica" w:hAnsi="Helvetica" w:cs="Helvetica"/>
          <w:i/>
          <w:iCs/>
          <w:sz w:val="20"/>
          <w:szCs w:val="20"/>
        </w:rPr>
        <w:t>Kč za přítomnosti na Akci</w:t>
      </w:r>
    </w:p>
    <w:p w14:paraId="72EF21A2" w14:textId="21B530D5" w:rsidR="00A42494" w:rsidRPr="00A42494" w:rsidRDefault="00A42494" w:rsidP="00A42494">
      <w:pPr>
        <w:pStyle w:val="Odstavecseseznamem"/>
        <w:numPr>
          <w:ilvl w:val="0"/>
          <w:numId w:val="20"/>
        </w:numPr>
        <w:rPr>
          <w:rFonts w:ascii="Helvetica" w:eastAsia="Times New Roman" w:hAnsi="Helvetica" w:cs="Helvetica"/>
          <w:i/>
          <w:iCs/>
          <w:sz w:val="20"/>
          <w:szCs w:val="20"/>
          <w:lang w:eastAsia="cs-CZ"/>
        </w:rPr>
      </w:pPr>
      <w:r w:rsidRPr="00A42494">
        <w:rPr>
          <w:rFonts w:ascii="Helvetica" w:eastAsia="Times New Roman" w:hAnsi="Helvetica" w:cs="Helvetica"/>
          <w:i/>
          <w:iCs/>
          <w:sz w:val="20"/>
          <w:szCs w:val="20"/>
          <w:lang w:eastAsia="cs-CZ"/>
        </w:rPr>
        <w:t>částka za šatny ve výši 16 000,-Kč,</w:t>
      </w:r>
    </w:p>
    <w:p w14:paraId="3850EF10" w14:textId="3CD330C0" w:rsidR="00A42494" w:rsidRPr="00A42494" w:rsidRDefault="00A42494" w:rsidP="00A42494">
      <w:pPr>
        <w:pStyle w:val="Zkladntext"/>
        <w:suppressAutoHyphens/>
        <w:ind w:left="380" w:firstLine="300"/>
        <w:rPr>
          <w:rFonts w:ascii="Helvetica" w:hAnsi="Helvetica" w:cs="Helvetica"/>
          <w:sz w:val="20"/>
          <w:szCs w:val="20"/>
        </w:rPr>
      </w:pPr>
      <w:r w:rsidRPr="001C1F37">
        <w:rPr>
          <w:rFonts w:ascii="Helvetica" w:hAnsi="Helvetica" w:cs="Helvetica"/>
          <w:sz w:val="20"/>
          <w:szCs w:val="20"/>
        </w:rPr>
        <w:t>(dále společně jen jako „</w:t>
      </w:r>
      <w:r w:rsidRPr="001C1F37">
        <w:rPr>
          <w:rFonts w:ascii="Helvetica" w:hAnsi="Helvetica" w:cs="Helvetica"/>
          <w:b/>
          <w:bCs/>
          <w:sz w:val="20"/>
          <w:szCs w:val="20"/>
        </w:rPr>
        <w:t>Nájemné</w:t>
      </w:r>
      <w:r w:rsidRPr="001C1F37">
        <w:rPr>
          <w:rFonts w:ascii="Helvetica" w:hAnsi="Helvetica" w:cs="Helvetica"/>
          <w:sz w:val="20"/>
          <w:szCs w:val="20"/>
        </w:rPr>
        <w:t>“).</w:t>
      </w:r>
    </w:p>
    <w:p w14:paraId="05ED889C" w14:textId="77777777" w:rsidR="008E0547" w:rsidRDefault="008E0547" w:rsidP="008E054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rozšířením se upravuje celková částka za nájem, a to ve výši </w:t>
      </w:r>
      <w:r w:rsidRPr="008E0547">
        <w:rPr>
          <w:rFonts w:ascii="Arial" w:hAnsi="Arial" w:cs="Arial"/>
          <w:b/>
          <w:bCs/>
          <w:sz w:val="20"/>
          <w:szCs w:val="20"/>
        </w:rPr>
        <w:t>170 800,- Kč bez DPH</w:t>
      </w:r>
      <w:r>
        <w:rPr>
          <w:rFonts w:ascii="Arial" w:hAnsi="Arial" w:cs="Arial"/>
          <w:sz w:val="20"/>
          <w:szCs w:val="20"/>
        </w:rPr>
        <w:t>.</w:t>
      </w:r>
    </w:p>
    <w:p w14:paraId="2A37E704" w14:textId="6464A31E" w:rsidR="009F5389" w:rsidRPr="008E0547" w:rsidRDefault="008E0547" w:rsidP="008E0547">
      <w:pPr>
        <w:pStyle w:val="Odstavecseseznamem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9F5389" w:rsidRPr="008E0547">
        <w:rPr>
          <w:rFonts w:ascii="Arial" w:hAnsi="Arial" w:cs="Arial"/>
          <w:sz w:val="20"/>
          <w:szCs w:val="20"/>
        </w:rPr>
        <w:t>Doplat</w:t>
      </w:r>
      <w:r>
        <w:rPr>
          <w:rFonts w:ascii="Arial" w:hAnsi="Arial" w:cs="Arial"/>
          <w:sz w:val="20"/>
          <w:szCs w:val="20"/>
        </w:rPr>
        <w:t>ek</w:t>
      </w:r>
      <w:r w:rsidR="009F5389" w:rsidRPr="008E0547">
        <w:rPr>
          <w:rFonts w:ascii="Arial" w:hAnsi="Arial" w:cs="Arial"/>
          <w:sz w:val="20"/>
          <w:szCs w:val="20"/>
        </w:rPr>
        <w:t xml:space="preserve"> ve výši </w:t>
      </w:r>
      <w:r w:rsidR="009F5389" w:rsidRPr="008E0547">
        <w:rPr>
          <w:rFonts w:ascii="Arial" w:hAnsi="Arial" w:cs="Arial"/>
          <w:b/>
          <w:bCs/>
          <w:sz w:val="20"/>
          <w:szCs w:val="20"/>
        </w:rPr>
        <w:t>16 000,- Kč bez DPH</w:t>
      </w:r>
      <w:r w:rsidR="004E616C">
        <w:rPr>
          <w:rFonts w:ascii="Arial" w:hAnsi="Arial" w:cs="Arial"/>
          <w:b/>
          <w:bCs/>
          <w:sz w:val="20"/>
          <w:szCs w:val="20"/>
        </w:rPr>
        <w:t>,</w:t>
      </w:r>
      <w:r w:rsidR="004E616C" w:rsidRPr="004E616C">
        <w:rPr>
          <w:rFonts w:ascii="Arial" w:hAnsi="Arial" w:cs="Arial"/>
          <w:sz w:val="20"/>
          <w:szCs w:val="20"/>
        </w:rPr>
        <w:t xml:space="preserve"> </w:t>
      </w:r>
      <w:r w:rsidR="004E616C">
        <w:rPr>
          <w:rFonts w:ascii="Arial" w:hAnsi="Arial" w:cs="Arial"/>
          <w:sz w:val="20"/>
          <w:szCs w:val="20"/>
        </w:rPr>
        <w:t>dle bodu II. odst. 3 tohoto dodatku</w:t>
      </w:r>
      <w:r w:rsidR="009F5389" w:rsidRPr="008E0547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vystavena faktura. Nájem</w:t>
      </w:r>
      <w:r w:rsidR="004E616C">
        <w:rPr>
          <w:rFonts w:ascii="Arial" w:hAnsi="Arial" w:cs="Arial"/>
          <w:sz w:val="20"/>
          <w:szCs w:val="20"/>
        </w:rPr>
        <w:t>ce se zavazuje u</w:t>
      </w:r>
      <w:r w:rsidR="009F5389" w:rsidRPr="008E0547">
        <w:rPr>
          <w:rFonts w:ascii="Arial" w:hAnsi="Arial" w:cs="Arial"/>
          <w:sz w:val="20"/>
          <w:szCs w:val="20"/>
        </w:rPr>
        <w:t>hra</w:t>
      </w:r>
      <w:r w:rsidR="004E616C">
        <w:rPr>
          <w:rFonts w:ascii="Arial" w:hAnsi="Arial" w:cs="Arial"/>
          <w:sz w:val="20"/>
          <w:szCs w:val="20"/>
        </w:rPr>
        <w:t>dit částku</w:t>
      </w:r>
      <w:r w:rsidR="009F5389" w:rsidRPr="008E0547">
        <w:rPr>
          <w:rFonts w:ascii="Arial" w:hAnsi="Arial" w:cs="Arial"/>
          <w:sz w:val="20"/>
          <w:szCs w:val="20"/>
        </w:rPr>
        <w:t xml:space="preserve"> na základně faktur</w:t>
      </w:r>
      <w:r w:rsidR="004E616C">
        <w:rPr>
          <w:rFonts w:ascii="Arial" w:hAnsi="Arial" w:cs="Arial"/>
          <w:sz w:val="20"/>
          <w:szCs w:val="20"/>
        </w:rPr>
        <w:t>y</w:t>
      </w:r>
      <w:r w:rsidR="009F5389" w:rsidRPr="008E0547">
        <w:rPr>
          <w:rFonts w:ascii="Arial" w:hAnsi="Arial" w:cs="Arial"/>
          <w:sz w:val="20"/>
          <w:szCs w:val="20"/>
        </w:rPr>
        <w:t xml:space="preserve"> </w:t>
      </w:r>
      <w:r w:rsidR="009F5389" w:rsidRPr="008E0547">
        <w:rPr>
          <w:rFonts w:ascii="Helvetica" w:hAnsi="Helvetica" w:cs="Helvetica"/>
          <w:sz w:val="20"/>
          <w:szCs w:val="20"/>
        </w:rPr>
        <w:t>nejpozději do 5 dnů ode dne vystavení a doručení faktury pronajímatelem nájemci na e-mailovou adresu uvedenu v záhlaví tohoto dodatku,</w:t>
      </w:r>
      <w:r w:rsidR="009F5389" w:rsidRPr="008E0547" w:rsidDel="00EA386B">
        <w:rPr>
          <w:rFonts w:ascii="Helvetica" w:hAnsi="Helvetica" w:cs="Helvetica"/>
          <w:sz w:val="20"/>
          <w:szCs w:val="20"/>
        </w:rPr>
        <w:t xml:space="preserve"> </w:t>
      </w:r>
      <w:r w:rsidR="009F5389" w:rsidRPr="008E0547">
        <w:rPr>
          <w:rFonts w:ascii="Helvetica" w:hAnsi="Helvetica" w:cs="Helvetica"/>
          <w:sz w:val="20"/>
          <w:szCs w:val="20"/>
        </w:rPr>
        <w:t>a to na účet uvedený taktéž v záhlaví tohoto dodatku.</w:t>
      </w:r>
    </w:p>
    <w:p w14:paraId="6FB2EA94" w14:textId="77777777" w:rsidR="004C7678" w:rsidRPr="00B318DD" w:rsidRDefault="004C7678" w:rsidP="00152ED7">
      <w:pPr>
        <w:rPr>
          <w:rFonts w:ascii="Arial" w:hAnsi="Arial" w:cs="Arial"/>
          <w:sz w:val="20"/>
          <w:szCs w:val="20"/>
        </w:rPr>
      </w:pPr>
    </w:p>
    <w:p w14:paraId="0D99DCC8" w14:textId="1B76158E" w:rsidR="003D404F" w:rsidRPr="00B318DD" w:rsidRDefault="00152ED7" w:rsidP="008446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III.</w:t>
      </w:r>
      <w:r w:rsidR="008446E7" w:rsidRPr="00B318DD">
        <w:rPr>
          <w:rFonts w:ascii="Arial" w:hAnsi="Arial" w:cs="Arial"/>
          <w:b/>
          <w:bCs/>
          <w:sz w:val="20"/>
          <w:szCs w:val="20"/>
        </w:rPr>
        <w:t xml:space="preserve"> Závěrečná ustanovení</w:t>
      </w:r>
    </w:p>
    <w:p w14:paraId="1481B8BD" w14:textId="2683D97E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Ostatní části a ustanovení Smlouvy tímto Dodatkem nedotčené zůstávají platné a účinné v původním znění.</w:t>
      </w:r>
    </w:p>
    <w:p w14:paraId="4F98D824" w14:textId="4F47B689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Tento Dodatek nabývá platnosti dnem jeho podpisu oprávněnými zástupci obou smluvních stran a účinnosti jeho uveřejněním v souladu s § 6 odst. 1 zákona č. 340/2015 Sb., o zvláštních podmínkách účinnosti některých smluv, uveřejňování těchto smluv a o registru smluv (zákon o registru smluv), ve znění pozdějších předpisů. Smluvní strany se dohodly, že tento Dodatek zašle k uveřejnění v registru smluv Pronajímatel.</w:t>
      </w:r>
    </w:p>
    <w:p w14:paraId="35A8C0BC" w14:textId="5FC650CA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prohlašují, že si Dodatek před jeho podpisem přečetly a dohodly se na celém jeho obsahu, což stvrzují svými podpisy. </w:t>
      </w:r>
    </w:p>
    <w:p w14:paraId="01DF7C80" w14:textId="2BCBD3FF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p w14:paraId="4590AC50" w14:textId="5A2F4843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8446E7" w:rsidRPr="00B318DD" w14:paraId="5A6F40B8" w14:textId="77777777" w:rsidTr="00256AC0">
        <w:tc>
          <w:tcPr>
            <w:tcW w:w="3969" w:type="dxa"/>
          </w:tcPr>
          <w:p w14:paraId="4F8C51E3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V Brně dne __________</w:t>
            </w:r>
          </w:p>
        </w:tc>
        <w:tc>
          <w:tcPr>
            <w:tcW w:w="1134" w:type="dxa"/>
          </w:tcPr>
          <w:p w14:paraId="552E6022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6F2ADD0D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V Brně dne __________</w:t>
            </w:r>
          </w:p>
        </w:tc>
      </w:tr>
      <w:tr w:rsidR="008446E7" w:rsidRPr="00B318DD" w14:paraId="0DE87DC0" w14:textId="77777777" w:rsidTr="00256AC0">
        <w:tc>
          <w:tcPr>
            <w:tcW w:w="3969" w:type="dxa"/>
          </w:tcPr>
          <w:p w14:paraId="7912BC90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ED8EBD4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42DC063F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240A1259" w14:textId="77777777" w:rsidTr="00256AC0">
        <w:tc>
          <w:tcPr>
            <w:tcW w:w="3969" w:type="dxa"/>
          </w:tcPr>
          <w:p w14:paraId="2B2CE094" w14:textId="76DF863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Pronajímatele:</w:t>
            </w:r>
          </w:p>
        </w:tc>
        <w:tc>
          <w:tcPr>
            <w:tcW w:w="1134" w:type="dxa"/>
          </w:tcPr>
          <w:p w14:paraId="73B05F96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504FE4D1" w14:textId="201778D4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Nájemce:</w:t>
            </w:r>
          </w:p>
        </w:tc>
      </w:tr>
      <w:tr w:rsidR="008446E7" w:rsidRPr="00B318DD" w14:paraId="38B69D3A" w14:textId="77777777" w:rsidTr="00256AC0">
        <w:trPr>
          <w:trHeight w:val="1922"/>
        </w:trPr>
        <w:tc>
          <w:tcPr>
            <w:tcW w:w="3969" w:type="dxa"/>
            <w:tcBorders>
              <w:bottom w:val="single" w:sz="4" w:space="0" w:color="auto"/>
            </w:tcBorders>
          </w:tcPr>
          <w:p w14:paraId="316EB3CE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7EF4A6A5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AAA0CB8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424FF663" w14:textId="77777777" w:rsidTr="00256AC0">
        <w:tc>
          <w:tcPr>
            <w:tcW w:w="3969" w:type="dxa"/>
            <w:tcBorders>
              <w:top w:val="single" w:sz="4" w:space="0" w:color="auto"/>
            </w:tcBorders>
          </w:tcPr>
          <w:p w14:paraId="50BA7E41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318DD">
              <w:rPr>
                <w:rFonts w:ascii="Arial" w:hAnsi="Arial" w:cs="Arial"/>
                <w:b/>
                <w:color w:val="000000"/>
                <w:sz w:val="20"/>
              </w:rPr>
              <w:t xml:space="preserve">Muzeum města Brna, </w:t>
            </w:r>
          </w:p>
          <w:p w14:paraId="1D8A68B2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318DD">
              <w:rPr>
                <w:rFonts w:ascii="Arial" w:hAnsi="Arial" w:cs="Arial"/>
                <w:b/>
                <w:color w:val="000000"/>
                <w:sz w:val="20"/>
              </w:rPr>
              <w:t>příspěvková organizace</w:t>
            </w:r>
          </w:p>
          <w:p w14:paraId="61DF2969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Mgr. Zbyněk Šolc, ředitel</w:t>
            </w:r>
          </w:p>
          <w:p w14:paraId="49449C8D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836AD47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4A277C1" w14:textId="0D3CC567" w:rsidR="008446E7" w:rsidRPr="00B318DD" w:rsidRDefault="003B36C3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Pigs Production s.r.o</w:t>
            </w:r>
          </w:p>
          <w:p w14:paraId="37D8DD5D" w14:textId="165F302C" w:rsidR="008446E7" w:rsidRPr="00B318DD" w:rsidRDefault="003B36C3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Petr Jirásek</w:t>
            </w:r>
          </w:p>
          <w:p w14:paraId="15B0FFBF" w14:textId="3477180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2FF457FE" w14:textId="77777777" w:rsidR="00A949E5" w:rsidRPr="008446E7" w:rsidRDefault="00A949E5" w:rsidP="008446E7">
      <w:pPr>
        <w:rPr>
          <w:rFonts w:ascii="Arial" w:hAnsi="Arial" w:cs="Arial"/>
          <w:sz w:val="20"/>
          <w:szCs w:val="20"/>
        </w:rPr>
      </w:pPr>
    </w:p>
    <w:sectPr w:rsidR="00A949E5" w:rsidRPr="00844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32CB" w14:textId="77777777" w:rsidR="005455F1" w:rsidRDefault="005455F1" w:rsidP="00F92E9A">
      <w:pPr>
        <w:spacing w:after="0" w:line="240" w:lineRule="auto"/>
      </w:pPr>
      <w:r>
        <w:separator/>
      </w:r>
    </w:p>
  </w:endnote>
  <w:endnote w:type="continuationSeparator" w:id="0">
    <w:p w14:paraId="29CA3CA7" w14:textId="77777777" w:rsidR="005455F1" w:rsidRDefault="005455F1" w:rsidP="00F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7946" w14:textId="77777777" w:rsidR="005455F1" w:rsidRDefault="005455F1" w:rsidP="00F92E9A">
      <w:pPr>
        <w:spacing w:after="0" w:line="240" w:lineRule="auto"/>
      </w:pPr>
      <w:r>
        <w:separator/>
      </w:r>
    </w:p>
  </w:footnote>
  <w:footnote w:type="continuationSeparator" w:id="0">
    <w:p w14:paraId="090FB95C" w14:textId="77777777" w:rsidR="005455F1" w:rsidRDefault="005455F1" w:rsidP="00F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5106" w14:textId="201FFA8A" w:rsidR="00F92E9A" w:rsidRPr="007A7355" w:rsidRDefault="00F92E9A" w:rsidP="00F92E9A">
    <w:pPr>
      <w:pStyle w:val="Zhlav"/>
      <w:jc w:val="right"/>
      <w:rPr>
        <w:rFonts w:ascii="Helvetica" w:hAnsi="Helvetica" w:cs="Helvetica"/>
        <w:sz w:val="20"/>
        <w:szCs w:val="20"/>
      </w:rPr>
    </w:pPr>
    <w:r w:rsidRPr="007A7355">
      <w:rPr>
        <w:rFonts w:ascii="Helvetica" w:hAnsi="Helvetica" w:cs="Helvetica"/>
        <w:sz w:val="20"/>
        <w:szCs w:val="20"/>
      </w:rPr>
      <w:t>II-</w:t>
    </w:r>
    <w:r w:rsidR="00B318DD">
      <w:rPr>
        <w:rFonts w:ascii="Helvetica" w:hAnsi="Helvetica" w:cs="Helvetica"/>
        <w:sz w:val="20"/>
        <w:szCs w:val="20"/>
      </w:rPr>
      <w:t>5</w:t>
    </w:r>
    <w:r w:rsidRPr="007A7355">
      <w:rPr>
        <w:rFonts w:ascii="Helvetica" w:hAnsi="Helvetica" w:cs="Helvetica"/>
        <w:sz w:val="20"/>
        <w:szCs w:val="20"/>
      </w:rPr>
      <w:t>/202</w:t>
    </w:r>
    <w:r w:rsidR="00B318DD">
      <w:rPr>
        <w:rFonts w:ascii="Helvetica" w:hAnsi="Helvetica" w:cs="Helvetic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F"/>
    <w:multiLevelType w:val="hybridMultilevel"/>
    <w:tmpl w:val="562EB7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B652A"/>
    <w:multiLevelType w:val="hybridMultilevel"/>
    <w:tmpl w:val="71683C7A"/>
    <w:lvl w:ilvl="0" w:tplc="A094E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797"/>
    <w:multiLevelType w:val="hybridMultilevel"/>
    <w:tmpl w:val="4EE875F6"/>
    <w:lvl w:ilvl="0" w:tplc="8392EA74">
      <w:start w:val="1"/>
      <w:numFmt w:val="decimal"/>
      <w:lvlText w:val="1.%1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C2ED0"/>
    <w:multiLevelType w:val="hybridMultilevel"/>
    <w:tmpl w:val="EED62A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7064A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4076B"/>
    <w:multiLevelType w:val="hybridMultilevel"/>
    <w:tmpl w:val="AE1631F4"/>
    <w:lvl w:ilvl="0" w:tplc="4E4E819C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14CE4F05"/>
    <w:multiLevelType w:val="hybridMultilevel"/>
    <w:tmpl w:val="5EC64C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545D"/>
    <w:multiLevelType w:val="hybridMultilevel"/>
    <w:tmpl w:val="E3A263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301"/>
    <w:multiLevelType w:val="hybridMultilevel"/>
    <w:tmpl w:val="602E2DDC"/>
    <w:lvl w:ilvl="0" w:tplc="B81692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70C87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32DD3"/>
    <w:multiLevelType w:val="hybridMultilevel"/>
    <w:tmpl w:val="78C6A83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D23B6"/>
    <w:multiLevelType w:val="hybridMultilevel"/>
    <w:tmpl w:val="6A188A3E"/>
    <w:lvl w:ilvl="0" w:tplc="2B4435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2B36EC"/>
    <w:multiLevelType w:val="hybridMultilevel"/>
    <w:tmpl w:val="3140F3C2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668CF"/>
    <w:multiLevelType w:val="hybridMultilevel"/>
    <w:tmpl w:val="2856B57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6265C9"/>
    <w:multiLevelType w:val="hybridMultilevel"/>
    <w:tmpl w:val="A1689B24"/>
    <w:lvl w:ilvl="0" w:tplc="6090F10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014B802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87BE7"/>
    <w:multiLevelType w:val="hybridMultilevel"/>
    <w:tmpl w:val="D748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67F21"/>
    <w:multiLevelType w:val="hybridMultilevel"/>
    <w:tmpl w:val="C972C75A"/>
    <w:lvl w:ilvl="0" w:tplc="E70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901F9"/>
    <w:multiLevelType w:val="hybridMultilevel"/>
    <w:tmpl w:val="BCC8B816"/>
    <w:lvl w:ilvl="0" w:tplc="8392EA7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82ED4"/>
    <w:multiLevelType w:val="hybridMultilevel"/>
    <w:tmpl w:val="136EA1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8E730E"/>
    <w:multiLevelType w:val="hybridMultilevel"/>
    <w:tmpl w:val="5D02AF60"/>
    <w:lvl w:ilvl="0" w:tplc="1CFEAB3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9E74500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"/>
  </w:num>
  <w:num w:numId="5">
    <w:abstractNumId w:val="16"/>
  </w:num>
  <w:num w:numId="6">
    <w:abstractNumId w:val="19"/>
  </w:num>
  <w:num w:numId="7">
    <w:abstractNumId w:val="15"/>
  </w:num>
  <w:num w:numId="8">
    <w:abstractNumId w:val="18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14"/>
  </w:num>
  <w:num w:numId="15">
    <w:abstractNumId w:val="6"/>
  </w:num>
  <w:num w:numId="16">
    <w:abstractNumId w:val="0"/>
  </w:num>
  <w:num w:numId="17">
    <w:abstractNumId w:val="1"/>
  </w:num>
  <w:num w:numId="18">
    <w:abstractNumId w:val="3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B8"/>
    <w:rsid w:val="00020ECE"/>
    <w:rsid w:val="00041ACF"/>
    <w:rsid w:val="00096EB7"/>
    <w:rsid w:val="000C25E2"/>
    <w:rsid w:val="000E4132"/>
    <w:rsid w:val="000E59F4"/>
    <w:rsid w:val="00152ED7"/>
    <w:rsid w:val="00202008"/>
    <w:rsid w:val="002D4048"/>
    <w:rsid w:val="00372B48"/>
    <w:rsid w:val="00382B6B"/>
    <w:rsid w:val="003B36C3"/>
    <w:rsid w:val="003D404F"/>
    <w:rsid w:val="003F1A56"/>
    <w:rsid w:val="0041374D"/>
    <w:rsid w:val="00433A0A"/>
    <w:rsid w:val="0045215E"/>
    <w:rsid w:val="00456999"/>
    <w:rsid w:val="00461D9B"/>
    <w:rsid w:val="0047124C"/>
    <w:rsid w:val="004C7678"/>
    <w:rsid w:val="004E616C"/>
    <w:rsid w:val="005455F1"/>
    <w:rsid w:val="0061424F"/>
    <w:rsid w:val="006C4D14"/>
    <w:rsid w:val="006E6A7F"/>
    <w:rsid w:val="007A7355"/>
    <w:rsid w:val="007C24D1"/>
    <w:rsid w:val="008446E7"/>
    <w:rsid w:val="00844EE0"/>
    <w:rsid w:val="008625B0"/>
    <w:rsid w:val="00880AF4"/>
    <w:rsid w:val="00885AB8"/>
    <w:rsid w:val="008A0F52"/>
    <w:rsid w:val="008E0547"/>
    <w:rsid w:val="008F698E"/>
    <w:rsid w:val="0094734B"/>
    <w:rsid w:val="00966DC0"/>
    <w:rsid w:val="009F5389"/>
    <w:rsid w:val="00A17D14"/>
    <w:rsid w:val="00A42494"/>
    <w:rsid w:val="00A949E5"/>
    <w:rsid w:val="00AB600E"/>
    <w:rsid w:val="00B13E5B"/>
    <w:rsid w:val="00B3181F"/>
    <w:rsid w:val="00B318DD"/>
    <w:rsid w:val="00B603F0"/>
    <w:rsid w:val="00C37867"/>
    <w:rsid w:val="00CD1E00"/>
    <w:rsid w:val="00D3564C"/>
    <w:rsid w:val="00D64383"/>
    <w:rsid w:val="00E71896"/>
    <w:rsid w:val="00E95845"/>
    <w:rsid w:val="00EB4DE2"/>
    <w:rsid w:val="00EE218E"/>
    <w:rsid w:val="00F15CF2"/>
    <w:rsid w:val="00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1AEC"/>
  <w15:chartTrackingRefBased/>
  <w15:docId w15:val="{E16D83D5-7337-43B2-9559-4421598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E9A"/>
  </w:style>
  <w:style w:type="paragraph" w:styleId="Zpat">
    <w:name w:val="footer"/>
    <w:basedOn w:val="Normln"/>
    <w:link w:val="ZpatChar"/>
    <w:uiPriority w:val="99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E9A"/>
  </w:style>
  <w:style w:type="paragraph" w:styleId="Odstavecseseznamem">
    <w:name w:val="List Paragraph"/>
    <w:basedOn w:val="Normln"/>
    <w:uiPriority w:val="34"/>
    <w:qFormat/>
    <w:rsid w:val="00D64383"/>
    <w:pPr>
      <w:ind w:left="720"/>
      <w:contextualSpacing/>
    </w:pPr>
  </w:style>
  <w:style w:type="paragraph" w:customStyle="1" w:styleId="Zkladntext21">
    <w:name w:val="Základní text 21"/>
    <w:basedOn w:val="Normln"/>
    <w:rsid w:val="007C2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mlouva-slo">
    <w:name w:val="Smlouva-číslo"/>
    <w:basedOn w:val="Normln"/>
    <w:uiPriority w:val="99"/>
    <w:rsid w:val="008446E7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84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A4249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42494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42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Iveta Štanclová</cp:lastModifiedBy>
  <cp:revision>7</cp:revision>
  <cp:lastPrinted>2022-09-30T13:57:00Z</cp:lastPrinted>
  <dcterms:created xsi:type="dcterms:W3CDTF">2023-05-24T09:37:00Z</dcterms:created>
  <dcterms:modified xsi:type="dcterms:W3CDTF">2023-05-25T12:51:00Z</dcterms:modified>
</cp:coreProperties>
</file>