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1 k SMLOUVĚ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zajištění výkonu koordinátora BOZP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na staveništi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akci: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"III/1296 Kuňovka, most ev. č. 1296-1" ze dne 12. 4. 2023</w:t>
      </w:r>
      <w:bookmarkEnd w:id="2"/>
      <w:bookmarkEnd w:id="3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077/2023-KSÚSV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83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</w:p>
    <w:tbl>
      <w:tblPr>
        <w:tblOverlap w:val="never"/>
        <w:jc w:val="left"/>
        <w:tblLayout w:type="fixed"/>
      </w:tblPr>
      <w:tblGrid>
        <w:gridCol w:w="1867"/>
        <w:gridCol w:w="6480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strany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widowControl w:val="0"/>
        <w:spacing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Osoby pověřené jednat jménem objednatele ve věcech</w:t>
      </w:r>
    </w:p>
    <w:tbl>
      <w:tblPr>
        <w:tblOverlap w:val="never"/>
        <w:jc w:val="left"/>
        <w:tblLayout w:type="fixed"/>
      </w:tblPr>
      <w:tblGrid>
        <w:gridCol w:w="1867"/>
        <w:gridCol w:w="6475"/>
      </w:tblGrid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ředitel organizace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</w:tbl>
    <w:p>
      <w:pPr>
        <w:widowControl w:val="0"/>
        <w:spacing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tbl>
      <w:tblPr>
        <w:tblOverlap w:val="never"/>
        <w:jc w:val="left"/>
        <w:tblLayout w:type="fixed"/>
      </w:tblPr>
      <w:tblGrid>
        <w:gridCol w:w="1867"/>
        <w:gridCol w:w="6475"/>
      </w:tblGrid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49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867"/>
        <w:gridCol w:w="6475"/>
      </w:tblGrid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Ondřej Brom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Modřínová 2351, 393 01 Pelhřimov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Ondřejem Bromem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Živnostenský rejstřík v Pelhřimově Osoby pověřené jednat jménem zhotovitele ve věcech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867"/>
        <w:gridCol w:w="6475"/>
      </w:tblGrid>
      <w:tr>
        <w:trPr>
          <w:trHeight w:val="56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764 83 118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koordinátor“ nebo ,,KOO BOZP‘‘)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widowControl w:val="0"/>
        <w:spacing w:after="4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tomto Dodatku č. 1 z důvodu srovnání rozdílu v částce ceny za 1 hodinu (60 minut) výkonu KOO BOZP na staveništi v nabídkové kalkulaci, která byla podkladem pro výběr KOO BOZP a v částce odměny uvedené ve smlouvě č. 077/2023-KSÚSV, článek 5, bod 5.1, odst. b) Cena za 1 hodinu (60 minut) výkonu KOO BOZP na staveništi.</w:t>
      </w:r>
    </w:p>
    <w:p>
      <w:pPr>
        <w:pStyle w:val="Style2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zaplatit koordinátorovi za uskutečnění činností podle této smlouvy smluvní dohodnutou odměnu ve výši:</w:t>
      </w:r>
      <w:r>
        <w:br w:type="page"/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b)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Výkon KOO BOZP - práce spojené s prováděním . stavby</w:t>
      </w:r>
    </w:p>
    <w:tbl>
      <w:tblPr>
        <w:tblOverlap w:val="never"/>
        <w:jc w:val="center"/>
        <w:tblLayout w:type="fixed"/>
      </w:tblPr>
      <w:tblGrid>
        <w:gridCol w:w="5136"/>
        <w:gridCol w:w="5131"/>
      </w:tblGrid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hodinu (60 minut) výkonu KOO BOZP práce v kanceláři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 Kč bez DPH</w:t>
            </w: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hodinu (60 minut) výkonu KOO BOZP na staveništi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550 Kč bez DPH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mění se na:</w:t>
      </w:r>
    </w:p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b)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Výkon KOO BOZP - práce spojené s prováděním . stavby</w:t>
      </w:r>
    </w:p>
    <w:tbl>
      <w:tblPr>
        <w:tblOverlap w:val="never"/>
        <w:jc w:val="center"/>
        <w:tblLayout w:type="fixed"/>
      </w:tblPr>
      <w:tblGrid>
        <w:gridCol w:w="5150"/>
        <w:gridCol w:w="5150"/>
      </w:tblGrid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hodinu (60 minut) výkonu KOO BOZP práce v kanceláři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 Kč bez DPH</w:t>
            </w: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hodinu (60 minut) výkonu KOO BOZP na staveništi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 Kč bez DPH</w:t>
            </w:r>
          </w:p>
        </w:tc>
      </w:tr>
    </w:tbl>
    <w:p>
      <w:pPr>
        <w:widowControl w:val="0"/>
        <w:spacing w:after="51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Ostatní ujednání Smlouvy nedotčené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Dodatkem č. 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zůstávají v platnosti v původním znění.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stávající smlouvy.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elektronické podobě, přičemž obě smluvní strany obdrží její elektronický originál.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platný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účinný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jejího uveřejnění v registru smluv.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6" w:val="left"/>
        </w:tabs>
        <w:bidi w:val="0"/>
        <w:spacing w:before="0" w:after="4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478" w:left="1146" w:right="726" w:bottom="1283" w:header="105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03200" distB="0" distL="0" distR="0" simplePos="0" relativeHeight="125829378" behindDoc="0" locked="0" layoutInCell="1" allowOverlap="1">
                <wp:simplePos x="0" y="0"/>
                <wp:positionH relativeFrom="page">
                  <wp:posOffset>1267460</wp:posOffset>
                </wp:positionH>
                <wp:positionV relativeFrom="paragraph">
                  <wp:posOffset>203200</wp:posOffset>
                </wp:positionV>
                <wp:extent cx="1713230" cy="173990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1323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Pelhřimově, dne: viz podpis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99.799999999999997pt;margin-top:16.pt;width:134.90000000000001pt;height:13.699999999999999pt;z-index:-125829375;mso-wrap-distance-left:0;mso-wrap-distance-top:16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Pelhřimově, dne: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03200" distB="0" distL="0" distR="0" simplePos="0" relativeHeight="125829380" behindDoc="0" locked="0" layoutInCell="1" allowOverlap="1">
                <wp:simplePos x="0" y="0"/>
                <wp:positionH relativeFrom="page">
                  <wp:posOffset>4303395</wp:posOffset>
                </wp:positionH>
                <wp:positionV relativeFrom="paragraph">
                  <wp:posOffset>203200</wp:posOffset>
                </wp:positionV>
                <wp:extent cx="1471930" cy="173990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Jihlavě, dne: viz podpis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38.85000000000002pt;margin-top:16.pt;width:115.90000000000001pt;height:13.699999999999999pt;z-index:-125829373;mso-wrap-distance-left:0;mso-wrap-distance-top:16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Jihlavě, dne: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8" w:after="5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382" w:left="0" w:right="0" w:bottom="1382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563"/>
        <w:gridCol w:w="5443"/>
      </w:tblGrid>
      <w:tr>
        <w:trPr>
          <w:trHeight w:val="57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Ondřej Brom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Ing. Radovan Necid, ředitel organizace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2240" w:h="15840"/>
      <w:pgMar w:top="1382" w:left="1142" w:right="729" w:bottom="138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753745</wp:posOffset>
              </wp:positionH>
              <wp:positionV relativeFrom="page">
                <wp:posOffset>9503410</wp:posOffset>
              </wp:positionV>
              <wp:extent cx="2944495" cy="21336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44495" cy="2133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Dodatek č. 1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k Smlouvě o zajištění výkonu KOO-BOZP č. 077-2023-KSÚSV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9.350000000000001pt;margin-top:748.29999999999995pt;width:231.84999999999999pt;height:16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Dodatek č. 1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 Smlouvě o zajištění výkonu KOO-BOZP č. 077-2023-KSÚSV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6599555</wp:posOffset>
              </wp:positionH>
              <wp:positionV relativeFrom="page">
                <wp:posOffset>9503410</wp:posOffset>
              </wp:positionV>
              <wp:extent cx="600710" cy="9144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07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19.64999999999998pt;margin-top:748.29999999999995pt;width:47.299999999999997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732155</wp:posOffset>
              </wp:positionH>
              <wp:positionV relativeFrom="page">
                <wp:posOffset>9346565</wp:posOffset>
              </wp:positionV>
              <wp:extent cx="6577330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73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649999999999999pt;margin-top:735.95000000000005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Nadpis #2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Základní text (3)_"/>
    <w:basedOn w:val="DefaultParagraphFont"/>
    <w:link w:val="Style15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harStyle18">
    <w:name w:val="Titulek tabulky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Jiné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5">
    <w:name w:val="Nadpis #3_"/>
    <w:basedOn w:val="DefaultParagraphFont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Základní text (2)_"/>
    <w:basedOn w:val="DefaultParagraphFont"/>
    <w:link w:val="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spacing w:after="12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Nadpis #2"/>
    <w:basedOn w:val="Normal"/>
    <w:link w:val="CharStyle12"/>
    <w:pPr>
      <w:widowControl w:val="0"/>
      <w:shd w:val="clear" w:color="auto" w:fill="FFFFFF"/>
      <w:spacing w:after="44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Základní text (3)"/>
    <w:basedOn w:val="Normal"/>
    <w:link w:val="CharStyle16"/>
    <w:pPr>
      <w:widowControl w:val="0"/>
      <w:shd w:val="clear" w:color="auto" w:fill="FFFFFF"/>
      <w:spacing w:after="220"/>
    </w:pPr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Style17">
    <w:name w:val="Titulek tabulky"/>
    <w:basedOn w:val="Normal"/>
    <w:link w:val="CharStyle1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Jiné"/>
    <w:basedOn w:val="Normal"/>
    <w:link w:val="CharStyle21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4">
    <w:name w:val="Nadpis #3"/>
    <w:basedOn w:val="Normal"/>
    <w:link w:val="CharStyle25"/>
    <w:pPr>
      <w:widowControl w:val="0"/>
      <w:shd w:val="clear" w:color="auto" w:fill="FFFFFF"/>
      <w:spacing w:after="11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6">
    <w:name w:val="Základní text (2)"/>
    <w:basedOn w:val="Normal"/>
    <w:link w:val="CharStyle27"/>
    <w:pPr>
      <w:widowControl w:val="0"/>
      <w:shd w:val="clear" w:color="auto" w:fill="FFFFFF"/>
      <w:spacing w:after="120" w:line="25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