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87EE" w14:textId="77777777" w:rsidR="008B2FA6" w:rsidRPr="005B17C9" w:rsidRDefault="008B2FA6" w:rsidP="008B2FA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>Smlouva o krátkodobém pronájmu nebytových prostor č.</w:t>
      </w:r>
      <w:r>
        <w:rPr>
          <w:b/>
          <w:bCs/>
          <w:color w:val="000000"/>
          <w:sz w:val="28"/>
          <w:szCs w:val="28"/>
        </w:rPr>
        <w:t xml:space="preserve"> 010/23/K</w:t>
      </w:r>
    </w:p>
    <w:p w14:paraId="6CAF92BF" w14:textId="77777777" w:rsidR="008B2FA6" w:rsidRPr="00D870D8" w:rsidRDefault="008B2FA6" w:rsidP="008B2FA6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269D88B3" w14:textId="77777777" w:rsidR="008B2FA6" w:rsidRPr="00D870D8" w:rsidRDefault="008B2FA6" w:rsidP="008B2FA6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0491F04E" w14:textId="77777777" w:rsidR="008B2FA6" w:rsidRPr="00D870D8" w:rsidRDefault="008B2FA6" w:rsidP="008B2FA6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DBC996E" w14:textId="77777777" w:rsidR="008B2FA6" w:rsidRPr="00D870D8" w:rsidRDefault="008B2FA6" w:rsidP="008B2FA6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7756FA88" w14:textId="77777777" w:rsidR="008B2FA6" w:rsidRPr="00D870D8" w:rsidRDefault="008B2FA6" w:rsidP="008B2FA6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s.r.o.</w:t>
      </w:r>
    </w:p>
    <w:p w14:paraId="5ED6310F" w14:textId="77777777" w:rsidR="008B2FA6" w:rsidRPr="00D870D8" w:rsidRDefault="008B2FA6" w:rsidP="008B2FA6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Se sídlem</w:t>
      </w:r>
      <w:r w:rsidRPr="00D870D8">
        <w:rPr>
          <w:rFonts w:ascii="Times New Roman" w:hAnsi="Times New Roman"/>
          <w:szCs w:val="24"/>
        </w:rPr>
        <w:t xml:space="preserve">: </w:t>
      </w:r>
      <w:r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ab/>
        <w:t>Jiráskova 413, 436 01 Litvínov</w:t>
      </w:r>
    </w:p>
    <w:p w14:paraId="5A24FDD0" w14:textId="77777777" w:rsidR="008B2FA6" w:rsidRPr="00D870D8" w:rsidRDefault="008B2FA6" w:rsidP="008B2FA6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ab/>
        <w:t>25005430</w:t>
      </w:r>
    </w:p>
    <w:p w14:paraId="582A0DF2" w14:textId="77777777" w:rsidR="008B2FA6" w:rsidRPr="00D870D8" w:rsidRDefault="008B2FA6" w:rsidP="008B2FA6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ab/>
        <w:t xml:space="preserve">CZ25005430                                                                                                                            </w:t>
      </w:r>
    </w:p>
    <w:p w14:paraId="6065E0A4" w14:textId="71899B72" w:rsidR="008B2FA6" w:rsidRPr="00D870D8" w:rsidRDefault="008B2FA6" w:rsidP="008B2FA6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Bankovní spojení</w:t>
      </w:r>
      <w:r w:rsidRPr="00D870D8">
        <w:rPr>
          <w:rFonts w:ascii="Times New Roman" w:hAnsi="Times New Roman"/>
          <w:szCs w:val="24"/>
        </w:rPr>
        <w:t xml:space="preserve">: </w:t>
      </w:r>
      <w:r w:rsidRPr="00D870D8">
        <w:rPr>
          <w:rFonts w:ascii="Times New Roman" w:hAnsi="Times New Roman"/>
          <w:szCs w:val="24"/>
        </w:rPr>
        <w:tab/>
        <w:t xml:space="preserve">KB Litvínov, č. účtu: </w:t>
      </w:r>
      <w:proofErr w:type="spellStart"/>
      <w:r w:rsidR="0024358F">
        <w:rPr>
          <w:rFonts w:ascii="Times New Roman" w:hAnsi="Times New Roman"/>
          <w:szCs w:val="24"/>
        </w:rPr>
        <w:t>xxx</w:t>
      </w:r>
      <w:proofErr w:type="spellEnd"/>
    </w:p>
    <w:p w14:paraId="3F67EAB7" w14:textId="77777777" w:rsidR="008B2FA6" w:rsidRPr="00D870D8" w:rsidRDefault="008B2FA6" w:rsidP="008B2FA6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Zastoupený</w:t>
      </w:r>
      <w:r w:rsidRPr="00D870D8">
        <w:rPr>
          <w:rFonts w:ascii="Times New Roman" w:hAnsi="Times New Roman"/>
          <w:szCs w:val="24"/>
        </w:rPr>
        <w:t xml:space="preserve">: </w:t>
      </w:r>
      <w:r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ab/>
        <w:t>Ing. Miroslavem Otcovským, jednatelem společnosti</w:t>
      </w:r>
    </w:p>
    <w:p w14:paraId="10A440FB" w14:textId="77777777" w:rsidR="008B2FA6" w:rsidRPr="00D870D8" w:rsidRDefault="008B2FA6" w:rsidP="008B2FA6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085D9023" w14:textId="77777777" w:rsidR="008B2FA6" w:rsidRPr="00D870D8" w:rsidRDefault="008B2FA6" w:rsidP="008B2FA6">
      <w:pPr>
        <w:pStyle w:val="Import2"/>
        <w:rPr>
          <w:rFonts w:ascii="Times New Roman" w:hAnsi="Times New Roman"/>
          <w:szCs w:val="24"/>
        </w:rPr>
      </w:pPr>
    </w:p>
    <w:p w14:paraId="086F55FA" w14:textId="77777777" w:rsidR="008B2FA6" w:rsidRPr="00D870D8" w:rsidRDefault="008B2FA6" w:rsidP="008B2FA6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32420155" w14:textId="77777777" w:rsidR="008B2FA6" w:rsidRPr="00D870D8" w:rsidRDefault="008B2FA6" w:rsidP="008B2FA6">
      <w:pPr>
        <w:pStyle w:val="Import0"/>
        <w:rPr>
          <w:rFonts w:ascii="Times New Roman" w:hAnsi="Times New Roman"/>
          <w:b/>
          <w:szCs w:val="24"/>
        </w:rPr>
      </w:pPr>
    </w:p>
    <w:p w14:paraId="2939E57C" w14:textId="77777777" w:rsidR="008B2FA6" w:rsidRPr="00376332" w:rsidRDefault="008B2FA6" w:rsidP="008B2FA6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Nájemce: </w:t>
      </w:r>
      <w:r w:rsidRPr="005F2FF6">
        <w:rPr>
          <w:rFonts w:ascii="Times New Roman" w:hAnsi="Times New Roman"/>
          <w:bCs/>
          <w:szCs w:val="24"/>
        </w:rPr>
        <w:t>Občanské sdružení rodičů a přátel školy SPŠ a SOŠGS MOST, budovy B</w:t>
      </w:r>
      <w:r>
        <w:rPr>
          <w:rFonts w:ascii="Times New Roman" w:hAnsi="Times New Roman"/>
          <w:b/>
          <w:szCs w:val="24"/>
        </w:rPr>
        <w:tab/>
        <w:t xml:space="preserve">    </w:t>
      </w:r>
    </w:p>
    <w:p w14:paraId="2D258417" w14:textId="77777777" w:rsidR="008B2FA6" w:rsidRPr="00376332" w:rsidRDefault="008B2FA6" w:rsidP="008B2FA6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Adresa:</w:t>
      </w:r>
      <w:r>
        <w:rPr>
          <w:rFonts w:ascii="Times New Roman" w:hAnsi="Times New Roman"/>
          <w:b/>
          <w:szCs w:val="24"/>
        </w:rPr>
        <w:t xml:space="preserve"> </w:t>
      </w:r>
      <w:r w:rsidRPr="005F2FF6">
        <w:rPr>
          <w:rFonts w:ascii="Times New Roman" w:hAnsi="Times New Roman"/>
          <w:bCs/>
          <w:szCs w:val="24"/>
        </w:rPr>
        <w:t>J. Palacha 711/2, Most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</w:t>
      </w:r>
    </w:p>
    <w:p w14:paraId="1349291F" w14:textId="77777777" w:rsidR="008B2FA6" w:rsidRPr="00376332" w:rsidRDefault="008B2FA6" w:rsidP="008B2FA6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 w:rsidRPr="005F2FF6">
        <w:rPr>
          <w:rFonts w:ascii="Times New Roman" w:hAnsi="Times New Roman"/>
          <w:bCs/>
          <w:szCs w:val="24"/>
        </w:rPr>
        <w:t>Hanou Novotnou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</w:t>
      </w:r>
    </w:p>
    <w:p w14:paraId="78BB37AA" w14:textId="77777777" w:rsidR="008B2FA6" w:rsidRPr="00376332" w:rsidRDefault="008B2FA6" w:rsidP="008B2FA6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IČ: </w:t>
      </w:r>
      <w:r>
        <w:rPr>
          <w:rFonts w:ascii="Times New Roman" w:hAnsi="Times New Roman"/>
          <w:bCs/>
          <w:szCs w:val="24"/>
        </w:rPr>
        <w:t>01327143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</w:t>
      </w:r>
    </w:p>
    <w:p w14:paraId="415377CF" w14:textId="77777777" w:rsidR="008B2FA6" w:rsidRPr="00376332" w:rsidRDefault="008B2FA6" w:rsidP="008B2FA6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DIČ: </w:t>
      </w:r>
      <w:r>
        <w:rPr>
          <w:rFonts w:ascii="Times New Roman" w:hAnsi="Times New Roman"/>
          <w:b/>
          <w:szCs w:val="24"/>
        </w:rPr>
        <w:tab/>
        <w:t xml:space="preserve">                              </w:t>
      </w:r>
    </w:p>
    <w:p w14:paraId="3A280E33" w14:textId="2831F168" w:rsidR="008B2FA6" w:rsidRPr="005F2FF6" w:rsidRDefault="008B2FA6" w:rsidP="008B2FA6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osoba:</w:t>
      </w:r>
      <w:r>
        <w:rPr>
          <w:rFonts w:ascii="Times New Roman" w:hAnsi="Times New Roman"/>
          <w:b/>
          <w:szCs w:val="24"/>
        </w:rPr>
        <w:t xml:space="preserve"> </w:t>
      </w:r>
      <w:r w:rsidR="0024358F">
        <w:rPr>
          <w:rFonts w:ascii="Times New Roman" w:hAnsi="Times New Roman"/>
          <w:bCs/>
          <w:szCs w:val="24"/>
        </w:rPr>
        <w:t>xxx</w:t>
      </w:r>
      <w:r w:rsidRPr="00376332">
        <w:rPr>
          <w:rFonts w:ascii="Times New Roman" w:hAnsi="Times New Roman"/>
          <w:bCs/>
          <w:szCs w:val="24"/>
        </w:rPr>
        <w:t xml:space="preserve">                  </w:t>
      </w:r>
      <w:r w:rsidRPr="00376332">
        <w:rPr>
          <w:rFonts w:ascii="Times New Roman" w:hAnsi="Times New Roman"/>
          <w:b/>
          <w:szCs w:val="24"/>
        </w:rPr>
        <w:t xml:space="preserve">tel.: </w:t>
      </w:r>
      <w:proofErr w:type="spellStart"/>
      <w:r w:rsidR="0024358F">
        <w:rPr>
          <w:rFonts w:ascii="Times New Roman" w:hAnsi="Times New Roman"/>
          <w:bCs/>
          <w:szCs w:val="24"/>
        </w:rPr>
        <w:t>xxx</w:t>
      </w:r>
      <w:proofErr w:type="spellEnd"/>
    </w:p>
    <w:p w14:paraId="2DB597BD" w14:textId="77777777" w:rsidR="008B2FA6" w:rsidRPr="00376332" w:rsidRDefault="008B2FA6" w:rsidP="008B2FA6">
      <w:pPr>
        <w:overflowPunct w:val="0"/>
        <w:autoSpaceDE w:val="0"/>
        <w:jc w:val="both"/>
      </w:pPr>
      <w:r w:rsidRPr="00376332">
        <w:t xml:space="preserve">(dále jen </w:t>
      </w:r>
      <w:r w:rsidRPr="00376332">
        <w:rPr>
          <w:b/>
        </w:rPr>
        <w:t>Nájemce)</w:t>
      </w:r>
      <w:r w:rsidRPr="00376332">
        <w:t xml:space="preserve"> na straně druhé</w:t>
      </w:r>
    </w:p>
    <w:p w14:paraId="2A8B0601" w14:textId="77777777" w:rsidR="008B2FA6" w:rsidRPr="00D870D8" w:rsidRDefault="008B2FA6" w:rsidP="008B2FA6">
      <w:pPr>
        <w:pStyle w:val="Import0"/>
        <w:rPr>
          <w:rFonts w:ascii="Times New Roman" w:hAnsi="Times New Roman"/>
          <w:b/>
          <w:szCs w:val="24"/>
        </w:rPr>
      </w:pPr>
    </w:p>
    <w:p w14:paraId="32720DC2" w14:textId="77777777" w:rsidR="008B2FA6" w:rsidRPr="00D870D8" w:rsidRDefault="008B2FA6" w:rsidP="008B2FA6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5C86AA8F" w14:textId="77777777" w:rsidR="008B2FA6" w:rsidRPr="00D870D8" w:rsidRDefault="008B2FA6" w:rsidP="008B2FA6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354A1D0C" w14:textId="77777777" w:rsidR="008B2FA6" w:rsidRPr="00D870D8" w:rsidRDefault="008B2FA6" w:rsidP="008B2FA6"/>
    <w:p w14:paraId="77491AD1" w14:textId="77777777" w:rsidR="008B2FA6" w:rsidRPr="00D870D8" w:rsidRDefault="008B2FA6" w:rsidP="008B2FA6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4A96AC60" w14:textId="77777777" w:rsidR="008B2FA6" w:rsidRPr="00D870D8" w:rsidRDefault="008B2FA6" w:rsidP="008B2FA6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115FC0CF" w14:textId="77777777" w:rsidR="008B2FA6" w:rsidRPr="00D870D8" w:rsidRDefault="008B2FA6" w:rsidP="008B2FA6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>
        <w:rPr>
          <w:color w:val="000000"/>
        </w:rPr>
        <w:t>N</w:t>
      </w:r>
      <w:r w:rsidRPr="00D870D8">
        <w:rPr>
          <w:color w:val="000000"/>
        </w:rPr>
        <w:t xml:space="preserve">ájemci do užívání níže uvedené prostory v objektu </w:t>
      </w:r>
      <w:r w:rsidRPr="00D870D8">
        <w:rPr>
          <w:b/>
          <w:i/>
          <w:color w:val="000000"/>
        </w:rPr>
        <w:t xml:space="preserve">CITADELA </w:t>
      </w:r>
      <w:r>
        <w:rPr>
          <w:b/>
          <w:i/>
          <w:color w:val="000000"/>
        </w:rPr>
        <w:t xml:space="preserve"> </w:t>
      </w:r>
      <w:r w:rsidRPr="00D870D8">
        <w:rPr>
          <w:b/>
          <w:i/>
          <w:color w:val="000000"/>
        </w:rPr>
        <w:t>č. p. 1720, ul. Podkrušnohorská, Litvínov</w:t>
      </w:r>
    </w:p>
    <w:p w14:paraId="21748830" w14:textId="77777777" w:rsidR="008B2FA6" w:rsidRPr="00D870D8" w:rsidRDefault="008B2FA6" w:rsidP="008B2FA6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sál </w:t>
      </w:r>
      <w:r>
        <w:rPr>
          <w:color w:val="000000"/>
        </w:rPr>
        <w:t xml:space="preserve">+ zázemí - </w:t>
      </w:r>
      <w:r w:rsidRPr="00D870D8">
        <w:rPr>
          <w:color w:val="000000"/>
        </w:rPr>
        <w:t>kapacita max</w:t>
      </w:r>
      <w:r>
        <w:rPr>
          <w:color w:val="000000"/>
        </w:rPr>
        <w:t xml:space="preserve">. 393 míst k sezení + 200 k stání (+ 20 míst k sezení před pódiem) </w:t>
      </w:r>
    </w:p>
    <w:p w14:paraId="0E995BC1" w14:textId="77777777" w:rsidR="008B2FA6" w:rsidRPr="0079180C" w:rsidRDefault="008B2FA6" w:rsidP="008B2FA6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 xml:space="preserve">sál Café baru Citadela </w:t>
      </w:r>
      <w:r>
        <w:rPr>
          <w:color w:val="000000"/>
        </w:rPr>
        <w:t>…………NE</w:t>
      </w:r>
    </w:p>
    <w:p w14:paraId="2C61A513" w14:textId="77777777" w:rsidR="008B2FA6" w:rsidRPr="00FD55F8" w:rsidRDefault="008B2FA6" w:rsidP="008B2FA6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</w:t>
      </w:r>
    </w:p>
    <w:p w14:paraId="390698F4" w14:textId="77777777" w:rsidR="008B2FA6" w:rsidRPr="00357056" w:rsidRDefault="008B2FA6" w:rsidP="008B2FA6">
      <w:pPr>
        <w:autoSpaceDE w:val="0"/>
        <w:autoSpaceDN w:val="0"/>
        <w:adjustRightInd w:val="0"/>
        <w:spacing w:after="120"/>
        <w:ind w:left="720"/>
      </w:pPr>
    </w:p>
    <w:p w14:paraId="4D269451" w14:textId="77777777" w:rsidR="008B2FA6" w:rsidRPr="00AB751B" w:rsidRDefault="008B2FA6" w:rsidP="008B2FA6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C14D2CC" w14:textId="77777777" w:rsidR="008B2FA6" w:rsidRDefault="008B2FA6" w:rsidP="008B2FA6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25E7C11D" w14:textId="77777777" w:rsidR="008B2FA6" w:rsidRPr="00E05599" w:rsidRDefault="008B2FA6" w:rsidP="008B2FA6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>
        <w:rPr>
          <w:rFonts w:ascii="Times New Roman" w:hAnsi="Times New Roman" w:cs="Times New Roman"/>
          <w:szCs w:val="24"/>
        </w:rPr>
        <w:t xml:space="preserve">termín 24.11.2023 v čase </w:t>
      </w:r>
      <w:r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Pr="00376332">
        <w:rPr>
          <w:rFonts w:ascii="Times New Roman" w:hAnsi="Times New Roman" w:cs="Times New Roman"/>
          <w:color w:val="000000" w:themeColor="text1"/>
          <w:szCs w:val="24"/>
        </w:rPr>
        <w:t>19.00 do 0</w:t>
      </w:r>
      <w:r>
        <w:rPr>
          <w:rFonts w:ascii="Times New Roman" w:hAnsi="Times New Roman" w:cs="Times New Roman"/>
          <w:color w:val="000000" w:themeColor="text1"/>
          <w:szCs w:val="24"/>
        </w:rPr>
        <w:t>3</w:t>
      </w:r>
      <w:r w:rsidRPr="00376332">
        <w:rPr>
          <w:rFonts w:ascii="Times New Roman" w:hAnsi="Times New Roman" w:cs="Times New Roman"/>
          <w:color w:val="000000" w:themeColor="text1"/>
          <w:szCs w:val="24"/>
        </w:rPr>
        <w:t xml:space="preserve">.00 </w:t>
      </w:r>
      <w:r w:rsidRPr="0079180C">
        <w:rPr>
          <w:rFonts w:ascii="Times New Roman" w:hAnsi="Times New Roman" w:cs="Times New Roman"/>
          <w:color w:val="auto"/>
          <w:szCs w:val="24"/>
        </w:rPr>
        <w:t>hodin.</w:t>
      </w:r>
    </w:p>
    <w:p w14:paraId="46E849AE" w14:textId="77777777" w:rsidR="008B2FA6" w:rsidRPr="00376332" w:rsidRDefault="008B2FA6" w:rsidP="008B2FA6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376332">
        <w:rPr>
          <w:rFonts w:ascii="Times New Roman" w:hAnsi="Times New Roman" w:cs="Times New Roman"/>
          <w:szCs w:val="24"/>
        </w:rPr>
        <w:t xml:space="preserve">Typ akce: </w:t>
      </w:r>
      <w:r w:rsidRPr="00376332">
        <w:rPr>
          <w:rFonts w:ascii="Times New Roman" w:hAnsi="Times New Roman" w:cs="Times New Roman"/>
          <w:color w:val="auto"/>
          <w:szCs w:val="24"/>
        </w:rPr>
        <w:t>Maturitní ples</w:t>
      </w:r>
      <w:r>
        <w:rPr>
          <w:rFonts w:ascii="Times New Roman" w:hAnsi="Times New Roman" w:cs="Times New Roman"/>
          <w:color w:val="auto"/>
          <w:szCs w:val="24"/>
        </w:rPr>
        <w:t xml:space="preserve"> SPŠ a SOŠGS Most, třída A4S</w:t>
      </w:r>
      <w:r w:rsidRPr="00376332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585F7160" w14:textId="77777777" w:rsidR="008B2FA6" w:rsidRPr="00376332" w:rsidRDefault="008B2FA6" w:rsidP="008B2FA6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376332">
        <w:rPr>
          <w:rFonts w:ascii="Times New Roman" w:hAnsi="Times New Roman" w:cs="Times New Roman"/>
          <w:szCs w:val="24"/>
        </w:rPr>
        <w:t>Přístup do sálu, ukončení akce a vyklizení sálu je dohodnut v Příloze č. 3 - Souhrn požadavků nájemce, která je součástí této Smlouvy.</w:t>
      </w:r>
    </w:p>
    <w:p w14:paraId="608D4F8F" w14:textId="77777777" w:rsidR="008B2FA6" w:rsidRDefault="008B2FA6" w:rsidP="008B2FA6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2831F911" w14:textId="77777777" w:rsidR="008B2FA6" w:rsidRPr="00D870D8" w:rsidRDefault="008B2FA6" w:rsidP="008B2FA6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51FD8B4E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6224AC8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mlouvy odstoupí nejpozději </w:t>
      </w:r>
      <w:r w:rsidR="006A749C">
        <w:rPr>
          <w:rFonts w:ascii="Times New Roman" w:hAnsi="Times New Roman" w:cs="Times New Roman"/>
          <w:szCs w:val="24"/>
        </w:rPr>
        <w:t>6</w:t>
      </w:r>
      <w:r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Pr="00D870D8">
        <w:rPr>
          <w:rFonts w:ascii="Times New Roman" w:hAnsi="Times New Roman" w:cs="Times New Roman"/>
          <w:szCs w:val="24"/>
        </w:rPr>
        <w:t xml:space="preserve"> před konáním akce, je záloha vrácena v plné výši.</w:t>
      </w:r>
    </w:p>
    <w:p w14:paraId="061BFE27" w14:textId="44BB973E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 xml:space="preserve">mlouvy odstoupí v době kratší než </w:t>
      </w:r>
      <w:r w:rsidR="006A749C">
        <w:rPr>
          <w:rFonts w:ascii="Times New Roman" w:hAnsi="Times New Roman" w:cs="Times New Roman"/>
          <w:szCs w:val="24"/>
        </w:rPr>
        <w:t>6</w:t>
      </w:r>
      <w:r w:rsidR="00AF17DB"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="00AF17DB" w:rsidRPr="00D870D8">
        <w:rPr>
          <w:rFonts w:ascii="Times New Roman" w:hAnsi="Times New Roman" w:cs="Times New Roman"/>
          <w:szCs w:val="24"/>
        </w:rPr>
        <w:t xml:space="preserve">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77777777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77777777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       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77777777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</w:t>
      </w:r>
      <w:r w:rsidRPr="00AB751B">
        <w:rPr>
          <w:rFonts w:ascii="Times New Roman" w:hAnsi="Times New Roman" w:cs="Times New Roman"/>
          <w:szCs w:val="24"/>
        </w:rPr>
        <w:lastRenderedPageBreak/>
        <w:t xml:space="preserve">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6630E8BA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7D5D0AB2" w14:textId="0A669264" w:rsidR="00235805" w:rsidRPr="00235805" w:rsidRDefault="00235805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Nájemce je povinen </w:t>
      </w:r>
      <w:r w:rsidRPr="00235805">
        <w:rPr>
          <w:rFonts w:ascii="Times New Roman" w:hAnsi="Times New Roman" w:cs="Times New Roman"/>
        </w:rPr>
        <w:t xml:space="preserve">použít pro vstup návštěvníků akce </w:t>
      </w:r>
      <w:r w:rsidRPr="00235805">
        <w:rPr>
          <w:rFonts w:ascii="Times New Roman" w:hAnsi="Times New Roman" w:cs="Times New Roman"/>
          <w:b/>
          <w:bCs/>
        </w:rPr>
        <w:t>vstupenky</w:t>
      </w:r>
      <w:r w:rsidRPr="00235805">
        <w:rPr>
          <w:rFonts w:ascii="Times New Roman" w:hAnsi="Times New Roman" w:cs="Times New Roman"/>
        </w:rPr>
        <w:t xml:space="preserve"> </w:t>
      </w:r>
      <w:r w:rsidRPr="00235805">
        <w:rPr>
          <w:rFonts w:ascii="Times New Roman" w:hAnsi="Times New Roman" w:cs="Times New Roman"/>
          <w:b/>
          <w:bCs/>
        </w:rPr>
        <w:t xml:space="preserve">vytištěné </w:t>
      </w:r>
      <w:r>
        <w:rPr>
          <w:rFonts w:ascii="Times New Roman" w:hAnsi="Times New Roman" w:cs="Times New Roman"/>
          <w:b/>
          <w:bCs/>
        </w:rPr>
        <w:t>Pronajímatelem.</w:t>
      </w:r>
    </w:p>
    <w:p w14:paraId="1C0AAF2B" w14:textId="653B98D4" w:rsidR="00235805" w:rsidRPr="00235805" w:rsidRDefault="00235805" w:rsidP="00235805">
      <w:pPr>
        <w:pStyle w:val="Bezmezer"/>
      </w:pPr>
      <w:r>
        <w:rPr>
          <w:b/>
          <w:bCs/>
        </w:rPr>
        <w:t xml:space="preserve">   </w:t>
      </w:r>
      <w:r w:rsidRPr="00235805">
        <w:rPr>
          <w:b/>
          <w:bCs/>
        </w:rPr>
        <w:t>Pronajímatel</w:t>
      </w:r>
      <w:r w:rsidRPr="00235805">
        <w:t xml:space="preserve"> je povinen vytisknout Nájemci vstupenky na akci v maximálním počtu</w:t>
      </w:r>
    </w:p>
    <w:p w14:paraId="20D86445" w14:textId="08FE2669" w:rsidR="00235805" w:rsidRDefault="00235805" w:rsidP="00235805">
      <w:pPr>
        <w:jc w:val="both"/>
      </w:pPr>
      <w:r>
        <w:t xml:space="preserve">   </w:t>
      </w:r>
      <w:r w:rsidRPr="0052312C">
        <w:t>(dle kapacity sálu)</w:t>
      </w:r>
      <w:r>
        <w:t xml:space="preserve">. </w:t>
      </w:r>
      <w:r w:rsidRPr="0052312C">
        <w:t>Cena vstupenek je zahrnuta v ceně pronájmu sálu</w:t>
      </w:r>
      <w:r>
        <w:t xml:space="preserve"> (na </w:t>
      </w:r>
      <w:r w:rsidRPr="0052312C">
        <w:t xml:space="preserve">vstupenkách jsou </w:t>
      </w:r>
    </w:p>
    <w:p w14:paraId="4D43CD47" w14:textId="288B746C" w:rsidR="00235805" w:rsidRPr="0052312C" w:rsidRDefault="00235805" w:rsidP="00235805">
      <w:pPr>
        <w:jc w:val="both"/>
      </w:pPr>
      <w:r>
        <w:t xml:space="preserve">   </w:t>
      </w:r>
      <w:r w:rsidRPr="0052312C">
        <w:t>vytištěné kódy pro kontrolu maximální kapacity sálu čtečkami). </w:t>
      </w:r>
    </w:p>
    <w:p w14:paraId="3D26F0F0" w14:textId="77777777" w:rsidR="00235805" w:rsidRPr="0052312C" w:rsidRDefault="00235805" w:rsidP="00235805">
      <w:pPr>
        <w:pStyle w:val="Zkladntext"/>
        <w:tabs>
          <w:tab w:val="clear" w:pos="270"/>
        </w:tabs>
        <w:spacing w:after="120"/>
        <w:ind w:left="360"/>
        <w:jc w:val="left"/>
        <w:rPr>
          <w:rFonts w:ascii="Times New Roman" w:hAnsi="Times New Roman" w:cs="Times New Roman"/>
          <w:szCs w:val="24"/>
        </w:rPr>
      </w:pPr>
    </w:p>
    <w:p w14:paraId="13701DAB" w14:textId="61EEE05E" w:rsidR="003C0465" w:rsidRPr="003C0465" w:rsidRDefault="00235805" w:rsidP="00235805">
      <w:pPr>
        <w:jc w:val="both"/>
      </w:pPr>
      <w:r>
        <w:t xml:space="preserve">  </w:t>
      </w:r>
      <w:r w:rsidRPr="0052312C">
        <w:t xml:space="preserve"> </w:t>
      </w: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235805">
      <w:pPr>
        <w:ind w:left="54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lastRenderedPageBreak/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B246" w14:textId="77777777" w:rsidR="001002A3" w:rsidRDefault="001002A3">
      <w:r>
        <w:separator/>
      </w:r>
    </w:p>
  </w:endnote>
  <w:endnote w:type="continuationSeparator" w:id="0">
    <w:p w14:paraId="49E866BA" w14:textId="77777777" w:rsidR="001002A3" w:rsidRDefault="001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4170" w14:textId="77777777" w:rsidR="001002A3" w:rsidRDefault="001002A3">
      <w:r>
        <w:separator/>
      </w:r>
    </w:p>
  </w:footnote>
  <w:footnote w:type="continuationSeparator" w:id="0">
    <w:p w14:paraId="39A81E36" w14:textId="77777777" w:rsidR="001002A3" w:rsidRDefault="0010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7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3"/>
  </w:num>
  <w:num w:numId="2" w16cid:durableId="94634756">
    <w:abstractNumId w:val="17"/>
  </w:num>
  <w:num w:numId="3" w16cid:durableId="1211771504">
    <w:abstractNumId w:val="0"/>
  </w:num>
  <w:num w:numId="4" w16cid:durableId="157236050">
    <w:abstractNumId w:val="7"/>
  </w:num>
  <w:num w:numId="5" w16cid:durableId="1870488842">
    <w:abstractNumId w:val="5"/>
  </w:num>
  <w:num w:numId="6" w16cid:durableId="1571234990">
    <w:abstractNumId w:val="15"/>
  </w:num>
  <w:num w:numId="7" w16cid:durableId="1652325463">
    <w:abstractNumId w:val="10"/>
  </w:num>
  <w:num w:numId="8" w16cid:durableId="265692753">
    <w:abstractNumId w:val="6"/>
  </w:num>
  <w:num w:numId="9" w16cid:durableId="1266690164">
    <w:abstractNumId w:val="11"/>
  </w:num>
  <w:num w:numId="10" w16cid:durableId="963466300">
    <w:abstractNumId w:val="1"/>
  </w:num>
  <w:num w:numId="11" w16cid:durableId="606154459">
    <w:abstractNumId w:val="14"/>
  </w:num>
  <w:num w:numId="12" w16cid:durableId="2032297591">
    <w:abstractNumId w:val="16"/>
  </w:num>
  <w:num w:numId="13" w16cid:durableId="1510755290">
    <w:abstractNumId w:val="2"/>
  </w:num>
  <w:num w:numId="14" w16cid:durableId="962543437">
    <w:abstractNumId w:val="12"/>
  </w:num>
  <w:num w:numId="15" w16cid:durableId="519003441">
    <w:abstractNumId w:val="8"/>
  </w:num>
  <w:num w:numId="16" w16cid:durableId="426656581">
    <w:abstractNumId w:val="9"/>
  </w:num>
  <w:num w:numId="17" w16cid:durableId="1216619898">
    <w:abstractNumId w:val="4"/>
  </w:num>
  <w:num w:numId="18" w16cid:durableId="53361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6C6F"/>
    <w:rsid w:val="00077F4F"/>
    <w:rsid w:val="001002A3"/>
    <w:rsid w:val="00143E8B"/>
    <w:rsid w:val="00146830"/>
    <w:rsid w:val="00160EFF"/>
    <w:rsid w:val="001710BE"/>
    <w:rsid w:val="001F3F31"/>
    <w:rsid w:val="001F425E"/>
    <w:rsid w:val="00235805"/>
    <w:rsid w:val="0024358F"/>
    <w:rsid w:val="002D6BA8"/>
    <w:rsid w:val="003015A5"/>
    <w:rsid w:val="00357056"/>
    <w:rsid w:val="00363266"/>
    <w:rsid w:val="003C0465"/>
    <w:rsid w:val="003D1371"/>
    <w:rsid w:val="003F098D"/>
    <w:rsid w:val="00431D85"/>
    <w:rsid w:val="004419C5"/>
    <w:rsid w:val="00452F25"/>
    <w:rsid w:val="004C2625"/>
    <w:rsid w:val="005079C5"/>
    <w:rsid w:val="00534CE0"/>
    <w:rsid w:val="0054491F"/>
    <w:rsid w:val="0057424B"/>
    <w:rsid w:val="005B17C9"/>
    <w:rsid w:val="00666747"/>
    <w:rsid w:val="0068259B"/>
    <w:rsid w:val="006A1CDD"/>
    <w:rsid w:val="006A749C"/>
    <w:rsid w:val="006B56CC"/>
    <w:rsid w:val="0075667E"/>
    <w:rsid w:val="0079180C"/>
    <w:rsid w:val="007C38ED"/>
    <w:rsid w:val="007D0879"/>
    <w:rsid w:val="007F1304"/>
    <w:rsid w:val="00822382"/>
    <w:rsid w:val="008848B1"/>
    <w:rsid w:val="008B2FA6"/>
    <w:rsid w:val="008C37FA"/>
    <w:rsid w:val="008E2FD7"/>
    <w:rsid w:val="00907263"/>
    <w:rsid w:val="00946DF4"/>
    <w:rsid w:val="00977101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6071B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7105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2</cp:revision>
  <cp:lastPrinted>2020-08-31T08:40:00Z</cp:lastPrinted>
  <dcterms:created xsi:type="dcterms:W3CDTF">2023-05-25T05:53:00Z</dcterms:created>
  <dcterms:modified xsi:type="dcterms:W3CDTF">2023-05-25T05:53:00Z</dcterms:modified>
</cp:coreProperties>
</file>