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A7" w:rsidRDefault="00987864">
      <w:pPr>
        <w:jc w:val="center"/>
        <w:rPr>
          <w:rStyle w:val="undefined"/>
          <w:b/>
          <w:bCs/>
        </w:rPr>
      </w:pPr>
      <w:r>
        <w:rPr>
          <w:rStyle w:val="undefined"/>
          <w:b/>
          <w:bCs/>
        </w:rPr>
        <w:t>Vereinbarung zur Kostenbeteiligung</w:t>
      </w:r>
    </w:p>
    <w:p w:rsidR="00027EA7" w:rsidRDefault="00987864">
      <w:pPr>
        <w:jc w:val="center"/>
        <w:rPr>
          <w:rStyle w:val="undefined"/>
          <w:b/>
          <w:bCs/>
        </w:rPr>
      </w:pPr>
      <w:r>
        <w:rPr>
          <w:rStyle w:val="undefined"/>
          <w:b/>
          <w:bCs/>
        </w:rPr>
        <w:t>an der Konferenz</w:t>
      </w:r>
    </w:p>
    <w:p w:rsidR="00027EA7" w:rsidRDefault="00027EA7">
      <w:pPr>
        <w:jc w:val="center"/>
        <w:rPr>
          <w:rStyle w:val="undefined"/>
        </w:rPr>
      </w:pPr>
    </w:p>
    <w:p w:rsidR="00027EA7" w:rsidRDefault="00987864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175 Years Congress of</w:t>
      </w:r>
      <w:r>
        <w:rPr>
          <w:b/>
          <w:bCs/>
          <w:lang w:val="en-GB"/>
        </w:rPr>
        <w:t xml:space="preserve"> the Slavs (1848-2023). History – Ideas – Commemoration</w:t>
      </w:r>
    </w:p>
    <w:p w:rsidR="00027EA7" w:rsidRDefault="00987864">
      <w:pPr>
        <w:jc w:val="center"/>
        <w:rPr>
          <w:b/>
          <w:bCs/>
        </w:rPr>
      </w:pPr>
      <w:r>
        <w:rPr>
          <w:b/>
          <w:bCs/>
          <w:lang w:val="en-US"/>
        </w:rPr>
        <w:t xml:space="preserve">175 </w:t>
      </w:r>
      <w:proofErr w:type="spellStart"/>
      <w:r>
        <w:rPr>
          <w:b/>
          <w:bCs/>
          <w:lang w:val="en-US"/>
        </w:rPr>
        <w:t>Jahre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Slavenkongress</w:t>
      </w:r>
      <w:proofErr w:type="spellEnd"/>
      <w:r>
        <w:rPr>
          <w:b/>
          <w:bCs/>
          <w:lang w:val="en-US"/>
        </w:rPr>
        <w:t xml:space="preserve"> (1848-2023). </w:t>
      </w:r>
      <w:r>
        <w:rPr>
          <w:b/>
          <w:bCs/>
        </w:rPr>
        <w:t xml:space="preserve">Geschichte – </w:t>
      </w:r>
      <w:r>
        <w:rPr>
          <w:b/>
          <w:bCs/>
        </w:rPr>
        <w:t>Ideen – Gedenken</w:t>
      </w:r>
    </w:p>
    <w:p w:rsidR="00027EA7" w:rsidRDefault="00027EA7">
      <w:pPr>
        <w:jc w:val="center"/>
        <w:rPr>
          <w:b/>
          <w:bCs/>
        </w:rPr>
      </w:pPr>
    </w:p>
    <w:p w:rsidR="00027EA7" w:rsidRDefault="00987864">
      <w:pPr>
        <w:jc w:val="center"/>
        <w:rPr>
          <w:b/>
          <w:bCs/>
        </w:rPr>
      </w:pPr>
      <w:r>
        <w:rPr>
          <w:b/>
          <w:bCs/>
        </w:rPr>
        <w:t xml:space="preserve">zwischen dem </w:t>
      </w:r>
    </w:p>
    <w:p w:rsidR="00027EA7" w:rsidRDefault="00987864">
      <w:pPr>
        <w:jc w:val="center"/>
        <w:rPr>
          <w:rStyle w:val="undefined"/>
        </w:rPr>
      </w:pPr>
      <w:r>
        <w:rPr>
          <w:rStyle w:val="undefined"/>
        </w:rPr>
        <w:t xml:space="preserve">Historischen Institut der </w:t>
      </w:r>
      <w:r>
        <w:rPr>
          <w:rStyle w:val="undefined"/>
        </w:rPr>
        <w:br/>
        <w:t>Akademie der Wissenschaften der Tschechischen Republik,</w:t>
      </w:r>
    </w:p>
    <w:p w:rsidR="00027EA7" w:rsidRDefault="00987864">
      <w:pPr>
        <w:jc w:val="center"/>
        <w:rPr>
          <w:rStyle w:val="undefined"/>
        </w:rPr>
      </w:pPr>
      <w:proofErr w:type="spellStart"/>
      <w:r>
        <w:rPr>
          <w:rStyle w:val="undefined"/>
        </w:rPr>
        <w:t>Prosecká</w:t>
      </w:r>
      <w:proofErr w:type="spellEnd"/>
      <w:r>
        <w:rPr>
          <w:rStyle w:val="undefined"/>
        </w:rPr>
        <w:t xml:space="preserve"> 809/76, 190 00 Praha 9, Tschechien </w:t>
      </w:r>
    </w:p>
    <w:p w:rsidR="00027EA7" w:rsidRDefault="00987864">
      <w:pPr>
        <w:jc w:val="center"/>
        <w:rPr>
          <w:rStyle w:val="undefined"/>
        </w:rPr>
      </w:pPr>
      <w:r>
        <w:rPr>
          <w:rStyle w:val="undefined"/>
        </w:rPr>
        <w:t>(im Weiteren nur „Historisches Institut“ genannt)</w:t>
      </w:r>
    </w:p>
    <w:p w:rsidR="00027EA7" w:rsidRDefault="00027EA7">
      <w:pPr>
        <w:jc w:val="center"/>
        <w:rPr>
          <w:rStyle w:val="undefined"/>
        </w:rPr>
      </w:pPr>
    </w:p>
    <w:p w:rsidR="00027EA7" w:rsidRDefault="00987864">
      <w:pPr>
        <w:jc w:val="center"/>
        <w:rPr>
          <w:rStyle w:val="undefined"/>
          <w:b/>
        </w:rPr>
      </w:pPr>
      <w:r>
        <w:rPr>
          <w:rStyle w:val="undefined"/>
          <w:b/>
        </w:rPr>
        <w:t>und dem</w:t>
      </w:r>
    </w:p>
    <w:p w:rsidR="00987864" w:rsidRDefault="00987864" w:rsidP="00987864">
      <w:pPr>
        <w:jc w:val="center"/>
        <w:rPr>
          <w:rStyle w:val="undefined"/>
        </w:rPr>
      </w:pPr>
      <w:r>
        <w:rPr>
          <w:rStyle w:val="undefined"/>
        </w:rPr>
        <w:t>Zentrum für Baltische und Skandinavis</w:t>
      </w:r>
      <w:r>
        <w:rPr>
          <w:rStyle w:val="undefined"/>
        </w:rPr>
        <w:t xml:space="preserve">che Archäologie in der Stiftung </w:t>
      </w:r>
      <w:r>
        <w:rPr>
          <w:rStyle w:val="undefined"/>
        </w:rPr>
        <w:br/>
        <w:t xml:space="preserve">Schleswig-Holsteinische Landesmuseen Schloss </w:t>
      </w:r>
      <w:proofErr w:type="spellStart"/>
      <w:r>
        <w:rPr>
          <w:rStyle w:val="undefined"/>
        </w:rPr>
        <w:t>Gottorf</w:t>
      </w:r>
      <w:proofErr w:type="spellEnd"/>
      <w:r>
        <w:rPr>
          <w:rStyle w:val="undefined"/>
        </w:rPr>
        <w:t xml:space="preserve">, </w:t>
      </w:r>
    </w:p>
    <w:p w:rsidR="00987864" w:rsidRDefault="00987864" w:rsidP="00987864">
      <w:pPr>
        <w:jc w:val="center"/>
        <w:rPr>
          <w:b/>
          <w:bCs/>
        </w:rPr>
      </w:pPr>
      <w:r>
        <w:rPr>
          <w:rStyle w:val="value"/>
        </w:rPr>
        <w:t>Schlossinsel 1</w:t>
      </w:r>
      <w:r>
        <w:t xml:space="preserve">, </w:t>
      </w:r>
      <w:r>
        <w:rPr>
          <w:rStyle w:val="value"/>
        </w:rPr>
        <w:t>24837 Schleswig,</w:t>
      </w:r>
      <w:r>
        <w:t xml:space="preserve"> </w:t>
      </w:r>
      <w:r>
        <w:rPr>
          <w:rStyle w:val="value"/>
        </w:rPr>
        <w:t>Deutschland</w:t>
      </w:r>
    </w:p>
    <w:p w:rsidR="00027EA7" w:rsidRDefault="00987864" w:rsidP="00987864">
      <w:pPr>
        <w:jc w:val="center"/>
        <w:rPr>
          <w:b/>
          <w:bCs/>
        </w:rPr>
      </w:pPr>
      <w:bookmarkStart w:id="0" w:name="_GoBack"/>
      <w:bookmarkEnd w:id="0"/>
      <w:r>
        <w:rPr>
          <w:rStyle w:val="undefined"/>
        </w:rPr>
        <w:t xml:space="preserve">(im </w:t>
      </w:r>
      <w:r>
        <w:rPr>
          <w:rStyle w:val="undefined"/>
        </w:rPr>
        <w:t>Weiteren nur „ZBSA“ genannt)</w:t>
      </w:r>
    </w:p>
    <w:p w:rsidR="00027EA7" w:rsidRDefault="00027EA7">
      <w:pPr>
        <w:jc w:val="both"/>
        <w:rPr>
          <w:b/>
          <w:bCs/>
        </w:rPr>
      </w:pPr>
    </w:p>
    <w:p w:rsidR="00027EA7" w:rsidRDefault="00987864">
      <w:pPr>
        <w:jc w:val="both"/>
        <w:rPr>
          <w:rStyle w:val="Zdraznn"/>
          <w:i w:val="0"/>
          <w:iCs w:val="0"/>
        </w:rPr>
      </w:pPr>
      <w:r>
        <w:rPr>
          <w:rStyle w:val="undefined"/>
        </w:rPr>
        <w:t xml:space="preserve">Vom 7.-10. Juni 2023 wird in Prag eine Konferenz aus Anlass der 175ten Wiederkehr des </w:t>
      </w:r>
      <w:proofErr w:type="spellStart"/>
      <w:r>
        <w:rPr>
          <w:rStyle w:val="undefined"/>
        </w:rPr>
        <w:t>Slavenkongresses</w:t>
      </w:r>
      <w:proofErr w:type="spellEnd"/>
      <w:r>
        <w:rPr>
          <w:rStyle w:val="undefined"/>
        </w:rPr>
        <w:t xml:space="preserve"> des Jahr</w:t>
      </w:r>
      <w:r>
        <w:rPr>
          <w:rStyle w:val="undefined"/>
        </w:rPr>
        <w:t>es 1848 durchgeführt. Die Federführung für die finanzielle Abwicklung hat seitens der Akademie der Wissenschaften der Tschechischen Republik (</w:t>
      </w:r>
      <w:r>
        <w:rPr>
          <w:rStyle w:val="Zdraznn"/>
          <w:i w:val="0"/>
          <w:iCs w:val="0"/>
        </w:rPr>
        <w:t>AV ČR</w:t>
      </w:r>
      <w:r>
        <w:rPr>
          <w:rStyle w:val="Zdraznn"/>
        </w:rPr>
        <w:t xml:space="preserve">) </w:t>
      </w:r>
      <w:r>
        <w:rPr>
          <w:rStyle w:val="undefined"/>
        </w:rPr>
        <w:t xml:space="preserve">das Historische Institut </w:t>
      </w:r>
      <w:r>
        <w:rPr>
          <w:rStyle w:val="Zdraznn"/>
          <w:i w:val="0"/>
          <w:iCs w:val="0"/>
        </w:rPr>
        <w:t xml:space="preserve">übernommen. </w:t>
      </w:r>
    </w:p>
    <w:p w:rsidR="00027EA7" w:rsidRDefault="00027EA7">
      <w:pPr>
        <w:jc w:val="both"/>
        <w:rPr>
          <w:rStyle w:val="Zdraznn"/>
          <w:i w:val="0"/>
          <w:iCs w:val="0"/>
        </w:rPr>
      </w:pPr>
    </w:p>
    <w:p w:rsidR="00027EA7" w:rsidRDefault="00987864">
      <w:pPr>
        <w:jc w:val="both"/>
        <w:rPr>
          <w:rStyle w:val="Zdraznn"/>
          <w:i w:val="0"/>
          <w:iCs w:val="0"/>
        </w:rPr>
      </w:pPr>
      <w:r>
        <w:rPr>
          <w:rStyle w:val="Zdraznn"/>
          <w:i w:val="0"/>
          <w:iCs w:val="0"/>
        </w:rPr>
        <w:t>Das Historische Institut wird die bei der Durchführung der Konferenz</w:t>
      </w:r>
      <w:r>
        <w:rPr>
          <w:rStyle w:val="Zdraznn"/>
          <w:i w:val="0"/>
          <w:iCs w:val="0"/>
        </w:rPr>
        <w:t xml:space="preserve"> entstehenden Kosten an die Rechnungssteller begleichen. Um dies zu ermöglichen, erstatten die weiteren beteiligten Institute dem Historischen Institut anteilig einen im Vorfeld der Konferenz vereinbarten Betrag,</w:t>
      </w:r>
    </w:p>
    <w:p w:rsidR="00027EA7" w:rsidRDefault="00027EA7">
      <w:pPr>
        <w:jc w:val="both"/>
        <w:rPr>
          <w:rStyle w:val="Zdraznn"/>
          <w:i w:val="0"/>
          <w:iCs w:val="0"/>
        </w:rPr>
      </w:pPr>
    </w:p>
    <w:p w:rsidR="00027EA7" w:rsidRDefault="00987864">
      <w:pPr>
        <w:jc w:val="both"/>
        <w:rPr>
          <w:rStyle w:val="Zdraznn"/>
          <w:i w:val="0"/>
          <w:iCs w:val="0"/>
        </w:rPr>
      </w:pPr>
      <w:r>
        <w:rPr>
          <w:rStyle w:val="Zdraznn"/>
          <w:i w:val="0"/>
          <w:iCs w:val="0"/>
        </w:rPr>
        <w:t>davon das ZBSA</w:t>
      </w:r>
    </w:p>
    <w:p w:rsidR="00027EA7" w:rsidRDefault="00027EA7">
      <w:pPr>
        <w:jc w:val="both"/>
        <w:rPr>
          <w:rStyle w:val="Zdraznn"/>
          <w:i w:val="0"/>
          <w:iCs w:val="0"/>
        </w:rPr>
      </w:pPr>
    </w:p>
    <w:p w:rsidR="00027EA7" w:rsidRDefault="00987864">
      <w:pPr>
        <w:jc w:val="center"/>
        <w:rPr>
          <w:rStyle w:val="Zdraznn"/>
          <w:i w:val="0"/>
          <w:iCs w:val="0"/>
        </w:rPr>
      </w:pPr>
      <w:r>
        <w:rPr>
          <w:rStyle w:val="Zdraznn"/>
          <w:i w:val="0"/>
          <w:iCs w:val="0"/>
        </w:rPr>
        <w:t>in Höhe von bis zu 2.000,-</w:t>
      </w:r>
      <w:r>
        <w:rPr>
          <w:rStyle w:val="Zdraznn"/>
          <w:i w:val="0"/>
          <w:iCs w:val="0"/>
        </w:rPr>
        <w:t xml:space="preserve"> €.</w:t>
      </w:r>
    </w:p>
    <w:p w:rsidR="00027EA7" w:rsidRDefault="00027EA7">
      <w:pPr>
        <w:jc w:val="both"/>
        <w:rPr>
          <w:rStyle w:val="Zdraznn"/>
          <w:i w:val="0"/>
          <w:iCs w:val="0"/>
        </w:rPr>
      </w:pPr>
    </w:p>
    <w:p w:rsidR="00027EA7" w:rsidRDefault="00987864">
      <w:pPr>
        <w:jc w:val="both"/>
        <w:rPr>
          <w:rStyle w:val="Zdraznn"/>
          <w:i w:val="0"/>
          <w:iCs w:val="0"/>
        </w:rPr>
      </w:pPr>
      <w:r>
        <w:rPr>
          <w:rStyle w:val="Zdraznn"/>
          <w:i w:val="0"/>
          <w:iCs w:val="0"/>
        </w:rPr>
        <w:t xml:space="preserve">Dieser Betrag wird für die anteilige Erstattung der Kosten für Übernachtungen (bis zu insgesamt 40 Nächte) am Konferenzort (Vila </w:t>
      </w:r>
      <w:proofErr w:type="spellStart"/>
      <w:r>
        <w:rPr>
          <w:rStyle w:val="Zdraznn"/>
          <w:i w:val="0"/>
          <w:iCs w:val="0"/>
        </w:rPr>
        <w:t>Lanna</w:t>
      </w:r>
      <w:proofErr w:type="spellEnd"/>
      <w:r>
        <w:rPr>
          <w:rStyle w:val="Zdraznn"/>
          <w:i w:val="0"/>
          <w:iCs w:val="0"/>
        </w:rPr>
        <w:t>, Prag) verwendet.</w:t>
      </w:r>
    </w:p>
    <w:p w:rsidR="00027EA7" w:rsidRDefault="00027EA7">
      <w:pPr>
        <w:jc w:val="both"/>
        <w:rPr>
          <w:rStyle w:val="Zdraznn"/>
          <w:i w:val="0"/>
          <w:iCs w:val="0"/>
        </w:rPr>
      </w:pPr>
    </w:p>
    <w:p w:rsidR="00027EA7" w:rsidRDefault="00987864">
      <w:pPr>
        <w:jc w:val="both"/>
        <w:rPr>
          <w:rStyle w:val="Zdraznn"/>
          <w:i w:val="0"/>
          <w:iCs w:val="0"/>
          <w:highlight w:val="yellow"/>
        </w:rPr>
      </w:pPr>
      <w:r>
        <w:rPr>
          <w:rStyle w:val="Zdraznn"/>
          <w:i w:val="0"/>
          <w:iCs w:val="0"/>
        </w:rPr>
        <w:t>Das ZBSA überweist den fälligen Betrag unverzüglich nach Mitteilung des genauen Anteils an der vo</w:t>
      </w:r>
      <w:r>
        <w:rPr>
          <w:rStyle w:val="Zdraznn"/>
          <w:i w:val="0"/>
          <w:iCs w:val="0"/>
        </w:rPr>
        <w:t xml:space="preserve">m Veranstaltungsort (Villa </w:t>
      </w:r>
      <w:proofErr w:type="spellStart"/>
      <w:r>
        <w:rPr>
          <w:rStyle w:val="Zdraznn"/>
          <w:i w:val="0"/>
          <w:iCs w:val="0"/>
        </w:rPr>
        <w:t>Lanna</w:t>
      </w:r>
      <w:proofErr w:type="spellEnd"/>
      <w:r>
        <w:rPr>
          <w:rStyle w:val="Zdraznn"/>
          <w:i w:val="0"/>
          <w:iCs w:val="0"/>
        </w:rPr>
        <w:t xml:space="preserve">) erstellten Rechnung auf das Konto des Historischen Instituts </w:t>
      </w:r>
    </w:p>
    <w:p w:rsidR="00027EA7" w:rsidRDefault="00987864">
      <w:pPr>
        <w:ind w:firstLine="708"/>
      </w:pPr>
      <w:r>
        <w:rPr>
          <w:rStyle w:val="Zdraznn"/>
          <w:i w:val="0"/>
          <w:iCs w:val="0"/>
          <w:shd w:val="clear" w:color="auto" w:fill="FFFFFF"/>
        </w:rPr>
        <w:t xml:space="preserve">IBAN: CZ44 0100 0000 1927 9520 0207 </w:t>
      </w:r>
    </w:p>
    <w:p w:rsidR="00027EA7" w:rsidRDefault="00987864">
      <w:pPr>
        <w:ind w:firstLine="708"/>
      </w:pPr>
      <w:r>
        <w:rPr>
          <w:rStyle w:val="Zdraznn"/>
          <w:i w:val="0"/>
          <w:iCs w:val="0"/>
          <w:shd w:val="clear" w:color="auto" w:fill="FFFFFF"/>
        </w:rPr>
        <w:t xml:space="preserve">SWIFT: KOMBCZPPXXX </w:t>
      </w:r>
    </w:p>
    <w:p w:rsidR="00027EA7" w:rsidRDefault="00027EA7">
      <w:pPr>
        <w:rPr>
          <w:rStyle w:val="Zdraznn"/>
          <w:i w:val="0"/>
          <w:iCs w:val="0"/>
        </w:rPr>
      </w:pPr>
    </w:p>
    <w:p w:rsidR="00027EA7" w:rsidRDefault="00027EA7">
      <w:pPr>
        <w:rPr>
          <w:rStyle w:val="Zdraznn"/>
          <w:i w:val="0"/>
          <w:iCs w:val="0"/>
        </w:rPr>
      </w:pPr>
    </w:p>
    <w:p w:rsidR="00027EA7" w:rsidRDefault="00987864">
      <w:r>
        <w:rPr>
          <w:rStyle w:val="Zdraznn"/>
          <w:i w:val="0"/>
          <w:iCs w:val="0"/>
        </w:rPr>
        <w:t xml:space="preserve"> 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283"/>
        <w:gridCol w:w="4248"/>
      </w:tblGrid>
      <w:tr w:rsidR="00027EA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27EA7" w:rsidRDefault="00987864">
            <w:pPr>
              <w:pStyle w:val="Nadpis3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Zdraznn"/>
                <w:b w:val="0"/>
                <w:i w:val="0"/>
                <w:iCs w:val="0"/>
                <w:sz w:val="24"/>
                <w:szCs w:val="24"/>
              </w:rPr>
              <w:t>Prag, den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7EA7" w:rsidRDefault="00027EA7">
            <w:pPr>
              <w:pStyle w:val="Nadpis3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7EA7" w:rsidRDefault="00987864">
            <w:pPr>
              <w:pStyle w:val="Nadpis3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Schleswig, den</w:t>
            </w:r>
          </w:p>
        </w:tc>
      </w:tr>
      <w:tr w:rsidR="00027EA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27EA7" w:rsidRDefault="00027EA7">
            <w:pPr>
              <w:pStyle w:val="Nadpis3"/>
              <w:spacing w:after="280"/>
              <w:rPr>
                <w:bCs w:val="0"/>
                <w:color w:val="000000" w:themeColor="text1"/>
              </w:rPr>
            </w:pPr>
          </w:p>
          <w:p w:rsidR="00027EA7" w:rsidRDefault="00027EA7">
            <w:pPr>
              <w:pStyle w:val="Nadpis3"/>
              <w:spacing w:before="280"/>
              <w:rPr>
                <w:bCs w:val="0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7EA7" w:rsidRDefault="00027EA7">
            <w:pPr>
              <w:pStyle w:val="Nadpis3"/>
              <w:rPr>
                <w:bCs w:val="0"/>
                <w:color w:val="000000" w:themeColor="text1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7EA7" w:rsidRDefault="00027EA7">
            <w:pPr>
              <w:pStyle w:val="Nadpis3"/>
              <w:rPr>
                <w:bCs w:val="0"/>
                <w:color w:val="000000" w:themeColor="text1"/>
              </w:rPr>
            </w:pPr>
          </w:p>
        </w:tc>
      </w:tr>
      <w:tr w:rsidR="00027EA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27EA7" w:rsidRDefault="00987864">
            <w:pPr>
              <w:pStyle w:val="Nadpis3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PhDr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>. Martin Holý</w:t>
            </w:r>
            <w:r>
              <w:rPr>
                <w:b w:val="0"/>
                <w:color w:val="000000" w:themeColor="text1"/>
                <w:sz w:val="24"/>
                <w:szCs w:val="24"/>
              </w:rPr>
              <w:br/>
              <w:t xml:space="preserve">Direktor des Historischen Instituts </w:t>
            </w:r>
            <w:r>
              <w:rPr>
                <w:b w:val="0"/>
                <w:color w:val="000000" w:themeColor="text1"/>
                <w:sz w:val="24"/>
                <w:szCs w:val="24"/>
              </w:rPr>
              <w:br/>
              <w:t xml:space="preserve">der </w:t>
            </w:r>
            <w:r>
              <w:rPr>
                <w:rStyle w:val="Zdraznn"/>
                <w:b w:val="0"/>
                <w:i w:val="0"/>
                <w:iCs w:val="0"/>
                <w:sz w:val="24"/>
                <w:szCs w:val="24"/>
              </w:rPr>
              <w:t>AV</w:t>
            </w:r>
            <w:r>
              <w:rPr>
                <w:rStyle w:val="Zdraznn"/>
                <w:b w:val="0"/>
                <w:i w:val="0"/>
                <w:iCs w:val="0"/>
                <w:sz w:val="24"/>
                <w:szCs w:val="24"/>
              </w:rPr>
              <w:t xml:space="preserve"> ČR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7EA7" w:rsidRDefault="00027EA7">
            <w:pPr>
              <w:pStyle w:val="Nadpis3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7EA7" w:rsidRDefault="00987864">
            <w:pPr>
              <w:pStyle w:val="Nadpis3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Zdraznn"/>
                <w:b w:val="0"/>
                <w:i w:val="0"/>
                <w:iCs w:val="0"/>
                <w:sz w:val="24"/>
                <w:szCs w:val="24"/>
              </w:rPr>
              <w:t>Prof. Dr. Dieter Quast</w:t>
            </w:r>
            <w:r>
              <w:rPr>
                <w:rStyle w:val="Zdraznn"/>
                <w:b w:val="0"/>
                <w:i w:val="0"/>
                <w:iCs w:val="0"/>
                <w:sz w:val="24"/>
                <w:szCs w:val="24"/>
              </w:rPr>
              <w:br/>
              <w:t xml:space="preserve">Direktor des Zentrums für Baltische und Skandinavische Archäologie ZBSA in der Stiftung SHLM Schloss </w:t>
            </w:r>
            <w:proofErr w:type="spellStart"/>
            <w:r>
              <w:rPr>
                <w:rStyle w:val="Zdraznn"/>
                <w:b w:val="0"/>
                <w:i w:val="0"/>
                <w:iCs w:val="0"/>
                <w:sz w:val="24"/>
                <w:szCs w:val="24"/>
              </w:rPr>
              <w:t>Gottorf</w:t>
            </w:r>
            <w:proofErr w:type="spellEnd"/>
          </w:p>
        </w:tc>
      </w:tr>
    </w:tbl>
    <w:p w:rsidR="00027EA7" w:rsidRDefault="00027EA7">
      <w:pPr>
        <w:pStyle w:val="Nadpis3"/>
        <w:spacing w:before="280" w:after="280"/>
        <w:rPr>
          <w:b w:val="0"/>
          <w:bCs w:val="0"/>
          <w:color w:val="000000" w:themeColor="text1"/>
        </w:rPr>
      </w:pPr>
    </w:p>
    <w:sectPr w:rsidR="00027EA7">
      <w:pgSz w:w="11906" w:h="16838"/>
      <w:pgMar w:top="1417" w:right="1417" w:bottom="113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A7"/>
    <w:rsid w:val="00027EA7"/>
    <w:rsid w:val="009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DB36"/>
  <w15:docId w15:val="{FDB745F4-E5C4-4496-A9BC-153E9E54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15F7"/>
    <w:pPr>
      <w:suppressAutoHyphens w:val="0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C11586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ndefined">
    <w:name w:val="undefined"/>
    <w:basedOn w:val="Standardnpsmoodstavce"/>
    <w:qFormat/>
    <w:rsid w:val="00DD1AA9"/>
  </w:style>
  <w:style w:type="character" w:styleId="Hypertextovodkaz">
    <w:name w:val="Hyperlink"/>
    <w:basedOn w:val="Standardnpsmoodstavce"/>
    <w:uiPriority w:val="99"/>
    <w:unhideWhenUsed/>
    <w:rsid w:val="00DD1AA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DD1AA9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DD1AA9"/>
    <w:rPr>
      <w:i/>
      <w:iCs/>
    </w:rPr>
  </w:style>
  <w:style w:type="character" w:customStyle="1" w:styleId="email">
    <w:name w:val="email"/>
    <w:basedOn w:val="Standardnpsmoodstavce"/>
    <w:qFormat/>
    <w:rsid w:val="00DD1AA9"/>
  </w:style>
  <w:style w:type="character" w:customStyle="1" w:styleId="markxvjg6sp8l">
    <w:name w:val="markxvjg6sp8l"/>
    <w:basedOn w:val="Standardnpsmoodstavce"/>
    <w:qFormat/>
    <w:rsid w:val="00DD1AA9"/>
  </w:style>
  <w:style w:type="character" w:customStyle="1" w:styleId="markg6y4hk49n">
    <w:name w:val="markg6y4hk49n"/>
    <w:basedOn w:val="Standardnpsmoodstavce"/>
    <w:qFormat/>
    <w:rsid w:val="00D15F0D"/>
  </w:style>
  <w:style w:type="character" w:styleId="Sledovanodkaz">
    <w:name w:val="FollowedHyperlink"/>
    <w:basedOn w:val="Standardnpsmoodstavce"/>
    <w:uiPriority w:val="99"/>
    <w:semiHidden/>
    <w:unhideWhenUsed/>
    <w:rsid w:val="00D15F0D"/>
    <w:rPr>
      <w:color w:val="954F72" w:themeColor="followedHyperlink"/>
      <w:u w:val="single"/>
    </w:rPr>
  </w:style>
  <w:style w:type="character" w:customStyle="1" w:styleId="ozzzk">
    <w:name w:val="ozzzk"/>
    <w:basedOn w:val="Standardnpsmoodstavce"/>
    <w:qFormat/>
    <w:rsid w:val="006815F7"/>
  </w:style>
  <w:style w:type="character" w:customStyle="1" w:styleId="markv4i0efyr1">
    <w:name w:val="markv4i0efyr1"/>
    <w:basedOn w:val="Standardnpsmoodstavce"/>
    <w:qFormat/>
    <w:rsid w:val="006815F7"/>
  </w:style>
  <w:style w:type="character" w:customStyle="1" w:styleId="y2iqfc">
    <w:name w:val="y2iqfc"/>
    <w:basedOn w:val="Standardnpsmoodstavce"/>
    <w:qFormat/>
    <w:rsid w:val="00856F5E"/>
  </w:style>
  <w:style w:type="character" w:customStyle="1" w:styleId="Nadpis3Char">
    <w:name w:val="Nadpis 3 Char"/>
    <w:basedOn w:val="Standardnpsmoodstavce"/>
    <w:link w:val="Nadpis3"/>
    <w:uiPriority w:val="9"/>
    <w:qFormat/>
    <w:rsid w:val="00C11586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table" w:styleId="Mkatabulky">
    <w:name w:val="Table Grid"/>
    <w:basedOn w:val="Normlntabulka"/>
    <w:uiPriority w:val="39"/>
    <w:rsid w:val="00B0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Standardnpsmoodstavce"/>
    <w:rsid w:val="00987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Lübke</dc:creator>
  <dc:description/>
  <cp:lastModifiedBy>Standard</cp:lastModifiedBy>
  <cp:revision>2</cp:revision>
  <dcterms:created xsi:type="dcterms:W3CDTF">2023-04-18T08:04:00Z</dcterms:created>
  <dcterms:modified xsi:type="dcterms:W3CDTF">2023-04-18T08:04:00Z</dcterms:modified>
  <dc:language>cs-CZ</dc:language>
</cp:coreProperties>
</file>