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2626"/>
        <w:gridCol w:w="6826"/>
      </w:tblGrid>
      <w:tr>
        <w:trPr>
          <w:trHeight w:val="1032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9" w:lineRule="auto"/>
              <w:ind w:left="0" w:right="0" w:firstLine="0"/>
              <w:jc w:val="center"/>
            </w:pPr>
            <w:r>
              <w:rPr>
                <w:rStyle w:val="CharStyle6"/>
                <w:b/>
                <w:bCs/>
              </w:rPr>
              <w:t>Dodatek č. 3 ke smlouvě o dílo č. 1/USZS/2001 ze dne 18.12. 2001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rStyle w:val="CharStyle3"/>
          <w:b/>
          <w:bCs/>
        </w:rPr>
        <w:t>o poskytnutí služeb, uzavřená podle § 536-565 Obchodního zákoníku č. 513/1991 Sb., v platném znění</w:t>
      </w:r>
    </w:p>
    <w:p>
      <w:pPr>
        <w:widowControl w:val="0"/>
        <w:spacing w:after="199" w:line="1" w:lineRule="exact"/>
      </w:pPr>
    </w:p>
    <w:tbl>
      <w:tblPr>
        <w:tblOverlap w:val="never"/>
        <w:jc w:val="center"/>
        <w:tblLayout w:type="fixed"/>
      </w:tblPr>
      <w:tblGrid>
        <w:gridCol w:w="2626"/>
        <w:gridCol w:w="6826"/>
      </w:tblGrid>
      <w:tr>
        <w:trPr>
          <w:trHeight w:val="706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6"/>
                <w:b/>
                <w:bCs/>
              </w:rPr>
              <w:t>ČI. I Smluvní strany</w:t>
            </w:r>
          </w:p>
        </w:tc>
      </w:tr>
      <w:tr>
        <w:trPr>
          <w:trHeight w:val="67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b/>
                <w:bCs/>
              </w:rPr>
              <w:t>Zdravotnická záchranná služba Jihomoravského kraje, příspěvková organizace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Sídlo: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Kamenice 798/1 d, 625 00 Brno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MUDr. Hana Albrechtová, ředitelka</w:t>
            </w:r>
          </w:p>
        </w:tc>
      </w:tr>
      <w:tr>
        <w:trPr>
          <w:trHeight w:val="52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spacing w:val="2"/>
                <w:shd w:val="clear" w:color="auto" w:fill="000000"/>
              </w:rPr>
              <w:t>.....</w:t>
            </w:r>
            <w:r>
              <w:rPr>
                <w:rStyle w:val="CharStyle6"/>
                <w:spacing w:val="3"/>
                <w:shd w:val="clear" w:color="auto" w:fill="000000"/>
              </w:rPr>
              <w:t>.</w:t>
            </w:r>
            <w:r>
              <w:rPr>
                <w:rStyle w:val="CharStyle6"/>
                <w:shd w:val="clear" w:color="auto" w:fill="000000"/>
              </w:rPr>
              <w:t>​</w:t>
            </w:r>
            <w:r>
              <w:rPr>
                <w:rStyle w:val="CharStyle6"/>
                <w:spacing w:val="2"/>
                <w:shd w:val="clear" w:color="auto" w:fill="000000"/>
              </w:rPr>
              <w:t>........</w:t>
            </w:r>
            <w:r>
              <w:rPr>
                <w:rStyle w:val="CharStyle6"/>
                <w:spacing w:val="3"/>
                <w:shd w:val="clear" w:color="auto" w:fill="000000"/>
              </w:rPr>
              <w:t>...</w:t>
            </w:r>
            <w:r>
              <w:rPr>
                <w:rStyle w:val="CharStyle6"/>
                <w:shd w:val="clear" w:color="auto" w:fill="000000"/>
              </w:rPr>
              <w:t>​</w:t>
            </w:r>
            <w:r>
              <w:rPr>
                <w:rStyle w:val="CharStyle6"/>
                <w:spacing w:val="1"/>
                <w:shd w:val="clear" w:color="auto" w:fill="000000"/>
              </w:rPr>
              <w:t>.</w:t>
            </w:r>
            <w:r>
              <w:rPr>
                <w:rStyle w:val="CharStyle6"/>
                <w:spacing w:val="2"/>
                <w:shd w:val="clear" w:color="auto" w:fill="000000"/>
              </w:rPr>
              <w:t>............</w:t>
            </w:r>
            <w:r>
              <w:rPr>
                <w:rStyle w:val="CharStyle6"/>
                <w:u w:val="single"/>
                <w:shd w:val="clear" w:color="auto" w:fill="000000"/>
                <w:lang w:val="en-US" w:eastAsia="en-US" w:bidi="en-US"/>
              </w:rPr>
              <w:t>​.................</w:t>
            </w:r>
            <w:r>
              <w:rPr>
                <w:rStyle w:val="CharStyle6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shd w:val="clear" w:color="auto" w:fill="000000"/>
              </w:rPr>
              <w:t>.......​</w:t>
            </w:r>
            <w:r>
              <w:rPr>
                <w:rStyle w:val="CharStyle6"/>
                <w:spacing w:val="7"/>
                <w:shd w:val="clear" w:color="auto" w:fill="000000"/>
              </w:rPr>
              <w:t>...</w:t>
            </w:r>
            <w:r>
              <w:rPr>
                <w:rStyle w:val="CharStyle6"/>
                <w:spacing w:val="8"/>
                <w:shd w:val="clear" w:color="auto" w:fill="000000"/>
              </w:rPr>
              <w:t>...</w:t>
            </w:r>
            <w:r>
              <w:rPr>
                <w:rStyle w:val="CharStyle6"/>
                <w:shd w:val="clear" w:color="auto" w:fill="000000"/>
              </w:rPr>
              <w:t>​</w:t>
            </w:r>
            <w:r>
              <w:rPr>
                <w:rStyle w:val="CharStyle6"/>
                <w:spacing w:val="5"/>
                <w:shd w:val="clear" w:color="auto" w:fill="000000"/>
              </w:rPr>
              <w:t>.</w:t>
            </w:r>
            <w:r>
              <w:rPr>
                <w:rStyle w:val="CharStyle6"/>
                <w:spacing w:val="6"/>
                <w:shd w:val="clear" w:color="auto" w:fill="000000"/>
              </w:rPr>
              <w:t>....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6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00346292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6"/>
              </w:rPr>
              <w:t>DIČ: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CZ00346292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tabs>
          <w:tab w:pos="273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Zápis v OR:</w:t>
        <w:tab/>
        <w:t>Krajský soud v Brně sp. zn. Pr 1245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06" w:lineRule="auto"/>
        <w:ind w:left="0" w:right="0" w:firstLine="0"/>
        <w:jc w:val="left"/>
      </w:pPr>
      <w:r>
        <w:rPr>
          <w:rStyle w:val="CharStyle3"/>
        </w:rPr>
        <w:t>Bankovní spojení (číslo účtu): MONETA Money Bank, a.s., č. ú. 117203514/0600</w:t>
      </w:r>
    </w:p>
    <w:p>
      <w:pPr>
        <w:widowControl w:val="0"/>
        <w:spacing w:after="279" w:line="1" w:lineRule="exact"/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506" w:lineRule="auto"/>
        <w:ind w:left="0" w:right="0" w:firstLine="0"/>
        <w:jc w:val="left"/>
      </w:pPr>
      <w:r>
        <w:rPr>
          <w:rStyle w:val="CharStyle24"/>
        </w:rPr>
        <w:t>(dále jen „objednatel“) a</w:t>
      </w:r>
    </w:p>
    <w:tbl>
      <w:tblPr>
        <w:tblOverlap w:val="never"/>
        <w:jc w:val="center"/>
        <w:tblLayout w:type="fixed"/>
      </w:tblPr>
      <w:tblGrid>
        <w:gridCol w:w="2626"/>
        <w:gridCol w:w="6826"/>
      </w:tblGrid>
      <w:tr>
        <w:trPr>
          <w:trHeight w:val="269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6"/>
              </w:rPr>
              <w:t>Jméno: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b/>
                <w:bCs/>
              </w:rPr>
              <w:t>PER4MANCE s.r.o.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6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Fišova 399/3, 602 00 Brno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6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Ing. Petr Maleňák, jednatel společnosti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6"/>
              </w:rPr>
              <w:t>Kontaktní osoba: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  <w:shd w:val="clear" w:color="auto" w:fill="000000"/>
              </w:rPr>
              <w:t>.......​</w:t>
            </w:r>
            <w:r>
              <w:rPr>
                <w:rStyle w:val="CharStyle6"/>
                <w:spacing w:val="9"/>
                <w:shd w:val="clear" w:color="auto" w:fill="000000"/>
              </w:rPr>
              <w:t>.</w:t>
            </w:r>
            <w:r>
              <w:rPr>
                <w:rStyle w:val="CharStyle6"/>
                <w:spacing w:val="10"/>
                <w:shd w:val="clear" w:color="auto" w:fill="000000"/>
              </w:rPr>
              <w:t>....</w:t>
            </w:r>
            <w:r>
              <w:rPr>
                <w:rStyle w:val="CharStyle6"/>
                <w:shd w:val="clear" w:color="auto" w:fill="000000"/>
              </w:rPr>
              <w:t>​</w:t>
            </w:r>
            <w:r>
              <w:rPr>
                <w:rStyle w:val="CharStyle6"/>
                <w:spacing w:val="1"/>
                <w:shd w:val="clear" w:color="auto" w:fill="000000"/>
              </w:rPr>
              <w:t>.........</w:t>
            </w:r>
            <w:r>
              <w:rPr>
                <w:rStyle w:val="CharStyle6"/>
                <w:spacing w:val="2"/>
                <w:shd w:val="clear" w:color="auto" w:fill="000000"/>
              </w:rPr>
              <w:t>..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6"/>
              </w:rPr>
              <w:t>IČO: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60749024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Style w:val="CharStyle6"/>
              </w:rPr>
              <w:t>DIČ: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CZ60749024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6"/>
              </w:rPr>
              <w:t>Krajský soud v Brně, sp.zn. C19044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Bankovní spojení (číslo účtu): KB, č.ú.7217750277/0100</w:t>
      </w:r>
    </w:p>
    <w:p>
      <w:pPr>
        <w:widowControl w:val="0"/>
        <w:spacing w:after="279" w:line="1" w:lineRule="exact"/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left"/>
      </w:pPr>
      <w:r>
        <w:rPr>
          <w:rStyle w:val="CharStyle24"/>
        </w:rPr>
        <w:t>(dále jen „zhotovitel“)</w:t>
      </w:r>
    </w:p>
    <w:tbl>
      <w:tblPr>
        <w:tblOverlap w:val="never"/>
        <w:jc w:val="center"/>
        <w:tblLayout w:type="fixed"/>
      </w:tblPr>
      <w:tblGrid>
        <w:gridCol w:w="2626"/>
        <w:gridCol w:w="6826"/>
      </w:tblGrid>
      <w:tr>
        <w:trPr>
          <w:trHeight w:val="274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60" w:right="0" w:firstLine="0"/>
              <w:jc w:val="left"/>
            </w:pPr>
            <w:r>
              <w:rPr>
                <w:rStyle w:val="CharStyle6"/>
                <w:b/>
                <w:bCs/>
              </w:rPr>
              <w:t>ČI. II</w:t>
            </w:r>
          </w:p>
        </w:tc>
      </w:tr>
    </w:tbl>
    <w:p>
      <w:pPr>
        <w:pStyle w:val="Style2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r>
        <w:rPr>
          <w:rStyle w:val="CharStyle28"/>
          <w:b/>
          <w:bCs/>
        </w:rPr>
        <w:t>Změna smlouvy</w:t>
      </w:r>
      <w:bookmarkEnd w:id="0"/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rStyle w:val="CharStyle24"/>
        </w:rPr>
        <w:t>Shora označená smlouva ze dne 18. 12. 2001 ve znění Dodatku č. 1 ze dne 28. 12. 2004 a Dodatku č. 2 ze dne 14. 12. 2005 se tímto Dodatkem č. 3 mění takto:</w:t>
      </w:r>
    </w:p>
    <w:p>
      <w:pPr>
        <w:pStyle w:val="Style2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3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rStyle w:val="CharStyle24"/>
        </w:rPr>
        <w:t>Článek II, bod 2.1 zní: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80" w:right="0" w:firstLine="0"/>
        <w:jc w:val="left"/>
      </w:pPr>
      <w:r>
        <w:rPr>
          <w:rStyle w:val="CharStyle24"/>
        </w:rPr>
        <w:t>Předmětem plnění jsou odborné služby zhotovitele - technický servis - v lokalitách Brno, Kamenice 798/1 d,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680"/>
        <w:jc w:val="left"/>
      </w:pPr>
      <w:r>
        <w:rPr>
          <w:rStyle w:val="CharStyle24"/>
        </w:rPr>
        <w:t>Brno, Těžební 1a,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rStyle w:val="CharStyle24"/>
        </w:rPr>
        <w:t>Brno, Dělostřelecká 610/19,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rStyle w:val="CharStyle24"/>
        </w:rPr>
        <w:t>Brno, Letiště Brno -Tuřany 904/1 (objekt letecké záchranné služby),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rStyle w:val="CharStyle24"/>
        </w:rPr>
        <w:t>Blansko, K. H. Máchy 2342/17,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rStyle w:val="CharStyle24"/>
        </w:rPr>
        <w:t>Břeclav, U Nemocnice 3066/1,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rStyle w:val="CharStyle24"/>
        </w:rPr>
        <w:t>Hodonín, bří. Čapků 3233/3,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rStyle w:val="CharStyle24"/>
        </w:rPr>
        <w:t>Vyškov, Purkyňova 235/36,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rStyle w:val="CharStyle24"/>
        </w:rPr>
        <w:t>Znojmo, Pražská 3872/59a,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rStyle w:val="CharStyle24"/>
        </w:rPr>
        <w:t>Boskovice, Rovná 2646/1 a,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rStyle w:val="CharStyle24"/>
        </w:rPr>
        <w:t>Bučovice, Sovětská 912,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rStyle w:val="CharStyle24"/>
        </w:rPr>
        <w:t>Hrušovany nad Jevišovkou, Mlýnská 541,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rStyle w:val="CharStyle24"/>
        </w:rPr>
        <w:t>Hustopeče, Brněnská 716/41,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rStyle w:val="CharStyle24"/>
        </w:rPr>
        <w:t>Ivančice, Široká 371/11,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rStyle w:val="CharStyle24"/>
        </w:rPr>
        <w:t>Kyjov, Strážovská 968/14,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rStyle w:val="CharStyle24"/>
        </w:rPr>
        <w:t>Mikulov, Svobody 220/2,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rStyle w:val="CharStyle24"/>
        </w:rPr>
        <w:t>Pohořelice, Vídeňská 699,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rStyle w:val="CharStyle24"/>
        </w:rPr>
        <w:t>Slavkov u Brna, Malinovského 551,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rStyle w:val="CharStyle24"/>
        </w:rPr>
        <w:t>Šumná, Šumná 141,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rStyle w:val="CharStyle24"/>
        </w:rPr>
        <w:t>Tišnov, Purkyňova 279,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rStyle w:val="CharStyle24"/>
        </w:rPr>
        <w:t>Veselí nad Moravou, U Polikliniky 1289,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rStyle w:val="CharStyle24"/>
        </w:rPr>
        <w:t>Velké Opatovice, nám. Míru 538,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rStyle w:val="CharStyle24"/>
        </w:rPr>
        <w:t>Velká nad Veličkou 461,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680"/>
        <w:jc w:val="left"/>
      </w:pPr>
      <w:r>
        <w:rPr>
          <w:rStyle w:val="CharStyle24"/>
        </w:rPr>
        <w:t>Miroslav, Kostelní 182/1,</w:t>
      </w:r>
    </w:p>
    <w:p>
      <w:pPr>
        <w:pStyle w:val="Style2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after="0"/>
        <w:ind w:left="0" w:right="0" w:firstLine="340"/>
        <w:jc w:val="left"/>
      </w:pPr>
      <w:r>
        <w:rPr>
          <w:rStyle w:val="CharStyle24"/>
        </w:rPr>
        <w:t>Článek III. bod 3.2. zní: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240"/>
        <w:ind w:left="680" w:right="0" w:firstLine="20"/>
        <w:jc w:val="left"/>
      </w:pPr>
      <w:r>
        <w:rPr>
          <w:rStyle w:val="CharStyle24"/>
        </w:rPr>
        <w:t>Uvedené služby jsou poskytovány ve vztahu k veškeré informačně komunikační infrastruktuře objednatele, vyjma zařízení ve výlučném vlastnictví třetích osob.</w:t>
      </w:r>
    </w:p>
    <w:p>
      <w:pPr>
        <w:pStyle w:val="Style2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2" w:val="left"/>
        </w:tabs>
        <w:bidi w:val="0"/>
        <w:spacing w:before="0" w:after="0"/>
        <w:ind w:left="0" w:right="0" w:firstLine="340"/>
        <w:jc w:val="left"/>
      </w:pPr>
      <w:r>
        <w:rPr>
          <w:rStyle w:val="CharStyle24"/>
        </w:rPr>
        <w:t>Článek III. bod 3.3. zní (omylem označený jako 4.2.):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240"/>
        <w:ind w:left="680" w:right="0" w:firstLine="20"/>
        <w:jc w:val="both"/>
      </w:pPr>
      <w:r>
        <w:rPr>
          <w:rStyle w:val="CharStyle24"/>
        </w:rPr>
        <w:t xml:space="preserve">Servisní služby jsou poskytovány v pracovní dobu od 8:00 do 17:00 hod., dále pak na pohotovostních číslech uvedených níže a to v rámci v rámci 24/7/365. Nahlašování poruch je možné zadat kdykoliv v tiketovacím portále zhotovitele na adrese </w:t>
      </w:r>
      <w:r>
        <w:rPr>
          <w:rStyle w:val="CharStyle24"/>
          <w:u w:val="single"/>
          <w:shd w:val="clear" w:color="auto" w:fill="000000"/>
        </w:rPr>
        <w:t>.....................................................</w:t>
      </w:r>
      <w:r>
        <w:rPr>
          <w:rStyle w:val="CharStyle24"/>
          <w:spacing w:val="1"/>
          <w:u w:val="single"/>
          <w:shd w:val="clear" w:color="auto" w:fill="000000"/>
        </w:rPr>
        <w:t>.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rStyle w:val="CharStyle24"/>
        </w:rPr>
        <w:t xml:space="preserve">Pohotovostní číslo: </w:t>
      </w:r>
      <w:r>
        <w:rPr>
          <w:rStyle w:val="CharStyle24"/>
          <w:shd w:val="clear" w:color="auto" w:fill="000000"/>
        </w:rPr>
        <w:t>.......​.......​......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680"/>
        <w:jc w:val="left"/>
      </w:pPr>
      <w:r>
        <w:rPr>
          <w:rStyle w:val="CharStyle24"/>
        </w:rPr>
        <w:t>Případně na konkrétní pracovníky servisního týmu zhotovitele.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680" w:right="0" w:firstLine="20"/>
        <w:jc w:val="left"/>
      </w:pPr>
      <w:r>
        <w:rPr>
          <w:rStyle w:val="CharStyle24"/>
        </w:rPr>
        <w:t>Objednatel nese odpovědnost za případné zneužití identifikačního údaje třetí osobou je povinen uhradit poskytovateli škodu</w:t>
      </w:r>
    </w:p>
    <w:p>
      <w:pPr>
        <w:pStyle w:val="Style2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7" w:val="left"/>
        </w:tabs>
        <w:bidi w:val="0"/>
        <w:spacing w:before="0" w:after="0"/>
        <w:ind w:left="0" w:right="0" w:firstLine="340"/>
        <w:jc w:val="left"/>
      </w:pPr>
      <w:r>
        <w:rPr>
          <w:rStyle w:val="CharStyle24"/>
        </w:rPr>
        <w:t>Článek IV. bod 4.1. zní: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240"/>
        <w:ind w:left="680" w:right="0" w:firstLine="20"/>
        <w:jc w:val="both"/>
      </w:pPr>
      <w:r>
        <w:rPr>
          <w:rStyle w:val="CharStyle24"/>
        </w:rPr>
        <w:t>Smluvní strany se dohodly na sjednání ceny díla paušální měsíční částkou ve výši 30 000,- Kč. K této ceně bude připočtena daň z přidané hodnoty podle platných předpisů a případné vícepráce a cestovní náklady dle č. 2 tohoto dodatku. Platba za služby dle této smlouvy se provádí čtvrtletně zpětně, vždy za základě dodavatelsky vystavených faktur.</w:t>
      </w:r>
      <w:r>
        <w:br w:type="page"/>
      </w:r>
    </w:p>
    <w:p>
      <w:pPr>
        <w:pStyle w:val="Style2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rStyle w:val="CharStyle24"/>
        </w:rPr>
        <w:t>Článek V. bod 5.1. zní: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680" w:right="0" w:firstLine="0"/>
        <w:jc w:val="both"/>
      </w:pPr>
      <w:r>
        <w:rPr>
          <w:rStyle w:val="CharStyle24"/>
        </w:rPr>
        <w:t xml:space="preserve">Odborným garantem předmětu činnosti za zhotovitele je </w:t>
      </w:r>
      <w:r>
        <w:rPr>
          <w:rStyle w:val="CharStyle24"/>
          <w:shd w:val="clear" w:color="auto" w:fill="000000"/>
        </w:rPr>
        <w:t>.......​</w:t>
      </w:r>
      <w:r>
        <w:rPr>
          <w:rStyle w:val="CharStyle24"/>
          <w:spacing w:val="9"/>
          <w:shd w:val="clear" w:color="auto" w:fill="000000"/>
        </w:rPr>
        <w:t>.</w:t>
      </w:r>
      <w:r>
        <w:rPr>
          <w:rStyle w:val="CharStyle24"/>
          <w:spacing w:val="10"/>
          <w:shd w:val="clear" w:color="auto" w:fill="000000"/>
        </w:rPr>
        <w:t>....</w:t>
      </w:r>
      <w:r>
        <w:rPr>
          <w:rStyle w:val="CharStyle24"/>
          <w:shd w:val="clear" w:color="auto" w:fill="000000"/>
        </w:rPr>
        <w:t>​</w:t>
      </w:r>
      <w:r>
        <w:rPr>
          <w:rStyle w:val="CharStyle24"/>
          <w:spacing w:val="1"/>
          <w:shd w:val="clear" w:color="auto" w:fill="000000"/>
        </w:rPr>
        <w:t>...........</w:t>
      </w:r>
      <w:r>
        <w:rPr>
          <w:rStyle w:val="CharStyle24"/>
          <w:spacing w:val="2"/>
          <w:shd w:val="clear" w:color="auto" w:fill="000000"/>
        </w:rPr>
        <w:t>.</w:t>
      </w:r>
      <w:r>
        <w:rPr>
          <w:rStyle w:val="CharStyle24"/>
        </w:rPr>
        <w:t xml:space="preserve"> kontaktní zástupcem za objednatele je </w:t>
      </w:r>
      <w:r>
        <w:rPr>
          <w:rStyle w:val="CharStyle24"/>
          <w:spacing w:val="2"/>
          <w:shd w:val="clear" w:color="auto" w:fill="000000"/>
        </w:rPr>
        <w:t>.....</w:t>
      </w:r>
      <w:r>
        <w:rPr>
          <w:rStyle w:val="CharStyle24"/>
          <w:spacing w:val="3"/>
          <w:shd w:val="clear" w:color="auto" w:fill="000000"/>
        </w:rPr>
        <w:t>.</w:t>
      </w:r>
      <w:r>
        <w:rPr>
          <w:rStyle w:val="CharStyle24"/>
          <w:shd w:val="clear" w:color="auto" w:fill="000000"/>
        </w:rPr>
        <w:t>​</w:t>
      </w:r>
      <w:r>
        <w:rPr>
          <w:rStyle w:val="CharStyle24"/>
          <w:spacing w:val="2"/>
          <w:shd w:val="clear" w:color="auto" w:fill="000000"/>
        </w:rPr>
        <w:t>........</w:t>
      </w:r>
      <w:r>
        <w:rPr>
          <w:rStyle w:val="CharStyle24"/>
          <w:spacing w:val="3"/>
          <w:shd w:val="clear" w:color="auto" w:fill="000000"/>
        </w:rPr>
        <w:t>...</w:t>
      </w:r>
      <w:r>
        <w:rPr>
          <w:rStyle w:val="CharStyle24"/>
          <w:shd w:val="clear" w:color="auto" w:fill="000000"/>
        </w:rPr>
        <w:t>​</w:t>
      </w:r>
      <w:r>
        <w:rPr>
          <w:rStyle w:val="CharStyle24"/>
          <w:spacing w:val="2"/>
          <w:shd w:val="clear" w:color="auto" w:fill="000000"/>
        </w:rPr>
        <w:t>...........</w:t>
      </w:r>
      <w:r>
        <w:rPr>
          <w:rStyle w:val="CharStyle24"/>
          <w:spacing w:val="3"/>
          <w:shd w:val="clear" w:color="auto" w:fill="000000"/>
        </w:rPr>
        <w:t>.</w:t>
      </w:r>
      <w:r>
        <w:rPr>
          <w:rStyle w:val="CharStyle24"/>
        </w:rPr>
        <w:t xml:space="preserve"> Tito vždy předem sjednají časové rozvržení prací v měsíci.</w:t>
      </w:r>
    </w:p>
    <w:p>
      <w:pPr>
        <w:pStyle w:val="Style2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after="260" w:line="240" w:lineRule="auto"/>
        <w:ind w:left="0" w:right="0" w:firstLine="340"/>
        <w:jc w:val="left"/>
      </w:pPr>
      <w:r>
        <w:rPr>
          <w:rStyle w:val="CharStyle24"/>
        </w:rPr>
        <w:t>Článek VIL Bod 7.1. se ruší.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24"/>
          <w:b/>
          <w:bCs/>
        </w:rPr>
        <w:t>ČI. III.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r>
        <w:rPr>
          <w:rStyle w:val="CharStyle28"/>
          <w:b/>
          <w:bCs/>
        </w:rPr>
        <w:t>Účinnost</w:t>
      </w:r>
      <w:bookmarkEnd w:id="2"/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headerReference w:type="default" r:id="rId5"/>
          <w:footerReference w:type="default" r:id="rId6"/>
          <w:headerReference w:type="firs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1922" w:right="1141" w:bottom="2112" w:left="1309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rStyle w:val="CharStyle24"/>
        </w:rPr>
        <w:t>Tento dodatek nabývá platnosti dnem jeho uzavření a účinnosti jeho uveřejněním v registru smluv dle zákona č. 340/2015 Sb. o registru smluv.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11" w:right="0" w:bottom="120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8"/>
        <w:keepNext/>
        <w:keepLines/>
        <w:framePr w:w="1675" w:h="605" w:wrap="none" w:vAnchor="text" w:hAnchor="page" w:x="654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9"/>
          <w:spacing w:val="10"/>
          <w:shd w:val="clear" w:color="auto" w:fill="000000"/>
        </w:rPr>
        <w:t>.......</w:t>
      </w:r>
      <w:r>
        <w:rPr>
          <w:rStyle w:val="CharStyle39"/>
          <w:spacing w:val="11"/>
          <w:shd w:val="clear" w:color="auto" w:fill="000000"/>
        </w:rPr>
        <w:t>.</w:t>
      </w:r>
      <w:bookmarkStart w:id="4" w:name="bookmark4"/>
      <w:r>
        <w:rPr>
          <w:rStyle w:val="CharStyle39"/>
          <w:shd w:val="clear" w:color="auto" w:fill="000000"/>
        </w:rPr>
        <w:t>​......</w:t>
      </w:r>
      <w:r>
        <w:rPr>
          <w:rStyle w:val="CharStyle39"/>
          <w:spacing w:val="1"/>
          <w:shd w:val="clear" w:color="auto" w:fill="000000"/>
        </w:rPr>
        <w:t>..</w:t>
      </w:r>
      <w:bookmarkEnd w:id="4"/>
    </w:p>
    <w:p>
      <w:pPr>
        <w:pStyle w:val="Style44"/>
        <w:keepNext w:val="0"/>
        <w:keepLines w:val="0"/>
        <w:framePr w:w="1670" w:h="533" w:wrap="none" w:vAnchor="text" w:hAnchor="page" w:x="8226" w:y="1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45"/>
          <w:spacing w:val="1"/>
          <w:shd w:val="clear" w:color="auto" w:fill="000000"/>
        </w:rPr>
        <w:t>..............</w:t>
      </w:r>
      <w:r>
        <w:rPr>
          <w:rStyle w:val="CharStyle45"/>
          <w:spacing w:val="2"/>
          <w:shd w:val="clear" w:color="auto" w:fill="000000"/>
        </w:rPr>
        <w:t>.....</w:t>
      </w:r>
      <w:r>
        <w:rPr>
          <w:rStyle w:val="CharStyle45"/>
          <w:shd w:val="clear" w:color="auto" w:fill="000000"/>
        </w:rPr>
        <w:t>​</w:t>
      </w:r>
      <w:r>
        <w:rPr>
          <w:rStyle w:val="CharStyle45"/>
          <w:spacing w:val="1"/>
          <w:shd w:val="clear" w:color="auto" w:fill="000000"/>
        </w:rPr>
        <w:t>....</w:t>
      </w:r>
      <w:r>
        <w:rPr>
          <w:rStyle w:val="CharStyle45"/>
          <w:spacing w:val="2"/>
          <w:shd w:val="clear" w:color="auto" w:fill="000000"/>
        </w:rPr>
        <w:t>..............</w:t>
      </w:r>
      <w:r>
        <w:rPr>
          <w:rStyle w:val="CharStyle45"/>
        </w:rPr>
        <w:t xml:space="preserve"> </w:t>
      </w:r>
      <w:r>
        <w:rPr>
          <w:rStyle w:val="CharStyle45"/>
          <w:shd w:val="clear" w:color="auto" w:fill="000000"/>
        </w:rPr>
        <w:t>​</w:t>
      </w:r>
      <w:r>
        <w:rPr>
          <w:rStyle w:val="CharStyle45"/>
          <w:spacing w:val="4"/>
          <w:shd w:val="clear" w:color="auto" w:fill="000000"/>
        </w:rPr>
        <w:t>....</w:t>
      </w:r>
      <w:r>
        <w:rPr>
          <w:rStyle w:val="CharStyle45"/>
          <w:spacing w:val="5"/>
          <w:shd w:val="clear" w:color="auto" w:fill="000000"/>
        </w:rPr>
        <w:t>....</w:t>
      </w:r>
      <w:r>
        <w:rPr>
          <w:rStyle w:val="CharStyle45"/>
          <w:shd w:val="clear" w:color="auto" w:fill="000000"/>
        </w:rPr>
        <w:t>​</w:t>
      </w:r>
      <w:r>
        <w:rPr>
          <w:rStyle w:val="CharStyle45"/>
          <w:spacing w:val="1"/>
          <w:shd w:val="clear" w:color="auto" w:fill="000000"/>
        </w:rPr>
        <w:t>.......</w:t>
      </w:r>
      <w:r>
        <w:rPr>
          <w:rStyle w:val="CharStyle45"/>
          <w:spacing w:val="2"/>
          <w:shd w:val="clear" w:color="auto" w:fill="000000"/>
        </w:rPr>
        <w:t>..</w:t>
      </w:r>
      <w:r>
        <w:rPr>
          <w:rStyle w:val="CharStyle45"/>
          <w:shd w:val="clear" w:color="auto" w:fill="000000"/>
        </w:rPr>
        <w:t>​..</w:t>
      </w:r>
      <w:r>
        <w:rPr>
          <w:rStyle w:val="CharStyle45"/>
          <w:spacing w:val="1"/>
          <w:shd w:val="clear" w:color="auto" w:fill="000000"/>
        </w:rPr>
        <w:t>...............</w:t>
      </w:r>
    </w:p>
    <w:p>
      <w:pPr>
        <w:pStyle w:val="Style38"/>
        <w:keepNext/>
        <w:keepLines/>
        <w:framePr w:w="3379" w:h="605" w:wrap="none" w:vAnchor="text" w:hAnchor="page" w:x="6537" w:y="6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9"/>
          <w:shd w:val="clear" w:color="auto" w:fill="000000"/>
        </w:rPr>
        <w:t>............</w:t>
      </w:r>
      <w:r>
        <w:rPr>
          <w:rStyle w:val="CharStyle39"/>
          <w:spacing w:val="1"/>
          <w:shd w:val="clear" w:color="auto" w:fill="000000"/>
        </w:rPr>
        <w:t>........</w:t>
      </w:r>
      <w:bookmarkStart w:id="6" w:name="bookmark6"/>
      <w:r>
        <w:rPr>
          <w:rStyle w:val="CharStyle39"/>
          <w:spacing w:val="71"/>
          <w:shd w:val="clear" w:color="auto" w:fill="000000"/>
        </w:rPr>
        <w:t>.</w:t>
      </w:r>
      <w:r>
        <w:rPr>
          <w:rStyle w:val="CharStyle39"/>
          <w:spacing w:val="15"/>
          <w:shd w:val="clear" w:color="auto" w:fill="000000"/>
          <w:vertAlign w:val="superscript"/>
        </w:rPr>
        <w:t>....</w:t>
      </w:r>
      <w:bookmarkEnd w:id="6"/>
    </w:p>
    <w:p>
      <w:pPr>
        <w:widowControl w:val="0"/>
        <w:spacing w:line="360" w:lineRule="exact"/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907415</wp:posOffset>
            </wp:positionH>
            <wp:positionV relativeFrom="paragraph">
              <wp:posOffset>219710</wp:posOffset>
            </wp:positionV>
            <wp:extent cx="2060575" cy="67691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060575" cy="6769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68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11" w:right="1279" w:bottom="1206" w:left="1333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1642745" cy="381000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2745" cy="38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4"/>
                              </w:rPr>
                              <w:t>MUDr. Hana Albrechtová ředitelka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9.5pt;margin-top:1.pt;width:129.34999999999999pt;height:30.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4"/>
                        </w:rPr>
                        <w:t>MUDr. Hana Albrechtová ředitelka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1751330</wp:posOffset>
                </wp:positionH>
                <wp:positionV relativeFrom="paragraph">
                  <wp:posOffset>542290</wp:posOffset>
                </wp:positionV>
                <wp:extent cx="783590" cy="179705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3590" cy="1797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4"/>
                                <w:b/>
                                <w:bCs/>
                              </w:rPr>
                              <w:t>Objednatel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37.90000000000001pt;margin-top:42.700000000000003pt;width:61.700000000000003pt;height:14.15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4"/>
                          <w:b/>
                          <w:bCs/>
                        </w:rPr>
                        <w:t>Objednatel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280" w:line="269" w:lineRule="auto"/>
        <w:ind w:left="0" w:right="0" w:firstLine="0"/>
        <w:jc w:val="center"/>
      </w:pPr>
      <w:r>
        <w:rPr>
          <w:rStyle w:val="CharStyle24"/>
        </w:rPr>
        <w:t>Ing. Petr Maleňák</w:t>
        <w:br/>
        <w:t>ředitel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69" w:lineRule="auto"/>
        <w:ind w:left="3420" w:right="0" w:firstLine="0"/>
        <w:jc w:val="left"/>
      </w:pPr>
      <w:r>
        <w:rPr>
          <w:rStyle w:val="CharStyle24"/>
          <w:b/>
          <w:bCs/>
        </w:rPr>
        <w:t>Zhotovitel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811" w:right="1279" w:bottom="1811" w:left="3935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10066020</wp:posOffset>
              </wp:positionV>
              <wp:extent cx="4495800" cy="13398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495800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9"/>
                              <w:sz w:val="22"/>
                              <w:szCs w:val="22"/>
                            </w:rPr>
                            <w:t>Dodatek č. 3 ke smlouvě o dílo č. l/USZS/2001 Technický servis lokální sítě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8.049999999999997pt;margin-top:792.60000000000002pt;width:354.pt;height:10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9"/>
                        <w:sz w:val="22"/>
                        <w:szCs w:val="22"/>
                      </w:rPr>
                      <w:t>Dodatek č. 3 ke smlouvě o dílo č. l/USZS/2001 Technický servis lokální sítě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840105</wp:posOffset>
              </wp:positionH>
              <wp:positionV relativeFrom="page">
                <wp:posOffset>9730740</wp:posOffset>
              </wp:positionV>
              <wp:extent cx="4511040" cy="14351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511040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CharStyle9"/>
                              <w:sz w:val="22"/>
                              <w:szCs w:val="22"/>
                            </w:rPr>
                            <w:t>Dodatek č. 3 ke smlouvě o dílo č. l/USZS/2001 Technický servis lokální sítě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66.150000000000006pt;margin-top:766.20000000000005pt;width:355.19999999999999pt;height:11.3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Style w:val="CharStyle9"/>
                        <w:sz w:val="22"/>
                        <w:szCs w:val="22"/>
                      </w:rPr>
                      <w:t>Dodatek č. 3 ke smlouvě o dílo č. l/USZS/2001 Technický servis lokální sítě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5339080</wp:posOffset>
              </wp:positionH>
              <wp:positionV relativeFrom="page">
                <wp:posOffset>281940</wp:posOffset>
              </wp:positionV>
              <wp:extent cx="1475105" cy="57594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75105" cy="5759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88"/>
                              <w:szCs w:val="88"/>
                            </w:rPr>
                          </w:pPr>
                          <w:r>
                            <w:rPr>
                              <w:rStyle w:val="CharStyle9"/>
                              <w:rFonts w:ascii="Arial" w:eastAsia="Arial" w:hAnsi="Arial" w:cs="Arial"/>
                              <w:sz w:val="88"/>
                              <w:szCs w:val="88"/>
                            </w:rPr>
                            <w:t>■Hmiu</w:t>
                          </w:r>
                        </w:p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CharStyle9"/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2023003662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20.40000000000003pt;margin-top:22.199999999999999pt;width:116.15000000000001pt;height:45.3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88"/>
                        <w:szCs w:val="88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sz w:val="88"/>
                        <w:szCs w:val="88"/>
                      </w:rPr>
                      <w:t>■Hmiu</w:t>
                    </w:r>
                  </w:p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CharStyle9"/>
                        <w:rFonts w:ascii="Arial" w:eastAsia="Arial" w:hAnsi="Arial" w:cs="Arial"/>
                        <w:sz w:val="16"/>
                        <w:szCs w:val="16"/>
                      </w:rPr>
                      <w:t>2023003662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tabulky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Jiné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Záhlaví nebo zápatí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Základní text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8">
    <w:name w:val="Nadpis #2_"/>
    <w:basedOn w:val="DefaultParagraphFont"/>
    <w:link w:val="Style2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9">
    <w:name w:val="Nadpis #1_"/>
    <w:basedOn w:val="DefaultParagraphFont"/>
    <w:link w:val="Style3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CharStyle45">
    <w:name w:val="Základní text (2)_"/>
    <w:basedOn w:val="DefaultParagraphFont"/>
    <w:link w:val="Style4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Titulek tabulky"/>
    <w:basedOn w:val="Normal"/>
    <w:link w:val="CharStyle3"/>
    <w:pPr>
      <w:widowControl w:val="0"/>
      <w:shd w:val="clear" w:color="auto" w:fill="auto"/>
      <w:spacing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Jiné"/>
    <w:basedOn w:val="Normal"/>
    <w:link w:val="CharStyle6"/>
    <w:pPr>
      <w:widowControl w:val="0"/>
      <w:shd w:val="clear" w:color="auto" w:fill="auto"/>
      <w:spacing w:line="254" w:lineRule="auto"/>
      <w:ind w:firstLine="1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Záhlaví nebo zápatí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Základní text"/>
    <w:basedOn w:val="Normal"/>
    <w:link w:val="CharStyle24"/>
    <w:pPr>
      <w:widowControl w:val="0"/>
      <w:shd w:val="clear" w:color="auto" w:fill="auto"/>
      <w:spacing w:line="254" w:lineRule="auto"/>
      <w:ind w:firstLine="1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7">
    <w:name w:val="Nadpis #2"/>
    <w:basedOn w:val="Normal"/>
    <w:link w:val="CharStyle28"/>
    <w:pPr>
      <w:widowControl w:val="0"/>
      <w:shd w:val="clear" w:color="auto" w:fill="auto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38">
    <w:name w:val="Nadpis #1"/>
    <w:basedOn w:val="Normal"/>
    <w:link w:val="CharStyle39"/>
    <w:pPr>
      <w:widowControl w:val="0"/>
      <w:shd w:val="clear" w:color="auto" w:fill="auto"/>
      <w:outlineLvl w:val="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Style44">
    <w:name w:val="Základní text (2)"/>
    <w:basedOn w:val="Normal"/>
    <w:link w:val="CharStyle45"/>
    <w:pPr>
      <w:widowControl w:val="0"/>
      <w:shd w:val="clear" w:color="auto" w:fill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image" Target="media/image1.jpeg" TargetMode="External"/></Relationships>
</file>