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9"/>
          <w:b/>
          <w:bCs/>
        </w:rPr>
        <w:t>Dodatek č. 1</w:t>
        <w:br/>
        <w:t>ke smlouvě o dílo č. 1/USZS/2001</w:t>
        <w:br/>
        <w:t>ze dne 18. 12. 2001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bookmarkStart w:id="2" w:name="bookmark2"/>
      <w:r>
        <w:rPr>
          <w:rStyle w:val="CharStyle12"/>
          <w:b/>
          <w:bCs/>
        </w:rPr>
        <w:t>o poskytování služeb, uzavřená podle § 536-565 Obchodního zákoníku č. 513/1991 Sb.,</w:t>
        <w:br/>
        <w:t>v platném znění</w:t>
      </w:r>
      <w:bookmarkEnd w:id="2"/>
    </w:p>
    <w:tbl>
      <w:tblPr>
        <w:tblOverlap w:val="never"/>
        <w:jc w:val="center"/>
        <w:tblLayout w:type="fixed"/>
      </w:tblPr>
      <w:tblGrid>
        <w:gridCol w:w="1858"/>
        <w:gridCol w:w="6858"/>
      </w:tblGrid>
      <w:tr>
        <w:trPr>
          <w:trHeight w:val="6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Čl. I Smluvní strany</w:t>
            </w:r>
          </w:p>
        </w:tc>
      </w:tr>
      <w:tr>
        <w:trPr>
          <w:trHeight w:val="8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Objednatel: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Územní středisko záchranné služby Brno, příspěvková organizace </w:t>
            </w:r>
            <w:r>
              <w:rPr>
                <w:rStyle w:val="CharStyle16"/>
              </w:rPr>
              <w:t>nám. 28. října 23, 602 00 Brno t</w:t>
            </w:r>
            <w:r>
              <w:rPr>
                <w:rStyle w:val="CharStyle16"/>
                <w:spacing w:val="4"/>
                <w:shd w:val="clear" w:color="auto" w:fill="000000"/>
              </w:rPr>
              <w:t>....</w:t>
            </w:r>
            <w:r>
              <w:rPr>
                <w:rStyle w:val="CharStyle16"/>
                <w:spacing w:val="5"/>
                <w:shd w:val="clear" w:color="auto" w:fill="000000"/>
              </w:rPr>
              <w:t>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1"/>
                <w:shd w:val="clear" w:color="auto" w:fill="000000"/>
              </w:rPr>
              <w:t>......</w:t>
            </w:r>
            <w:r>
              <w:rPr>
                <w:rStyle w:val="CharStyle16"/>
                <w:spacing w:val="2"/>
                <w:shd w:val="clear" w:color="auto" w:fill="000000"/>
              </w:rPr>
              <w:t>.............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8"/>
                <w:shd w:val="clear" w:color="auto" w:fill="000000"/>
              </w:rPr>
              <w:t>...</w:t>
            </w:r>
            <w:r>
              <w:rPr>
                <w:rStyle w:val="CharStyle16"/>
                <w:spacing w:val="9"/>
                <w:shd w:val="clear" w:color="auto" w:fill="000000"/>
              </w:rPr>
              <w:t>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1"/>
                <w:shd w:val="clear" w:color="auto" w:fill="000000"/>
              </w:rPr>
              <w:t>..</w:t>
            </w:r>
            <w:r>
              <w:rPr>
                <w:rStyle w:val="CharStyle16"/>
                <w:spacing w:val="2"/>
                <w:shd w:val="clear" w:color="auto" w:fill="000000"/>
              </w:rPr>
              <w:t>...............</w:t>
            </w:r>
          </w:p>
        </w:tc>
      </w:tr>
      <w:tr>
        <w:trPr>
          <w:trHeight w:val="7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6"/>
              </w:rPr>
              <w:t>bankovní spojení IČO DIČ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rStyle w:val="CharStyle16"/>
              </w:rPr>
              <w:t>GE Capital Bank, a.s., č.ú. 117 203 514/0600 00346292 neplátce DPH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</w:pPr>
      <w:r>
        <w:rPr>
          <w:rStyle w:val="CharStyle14"/>
        </w:rPr>
        <w:t>zapsáno do OR u rejstříkového soudu v Brně pod zn. Pr.1245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58"/>
        <w:gridCol w:w="6858"/>
      </w:tblGrid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zastoupený: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rStyle w:val="CharStyle16"/>
              </w:rPr>
              <w:t>MUDr. Josefem Muchou, ředitelem</w:t>
            </w:r>
          </w:p>
        </w:tc>
      </w:tr>
      <w:tr>
        <w:trPr>
          <w:trHeight w:val="94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Zhotovitel: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80" w:right="0" w:firstLine="0"/>
              <w:jc w:val="left"/>
            </w:pPr>
            <w:r>
              <w:rPr>
                <w:rStyle w:val="CharStyle16"/>
                <w:b/>
                <w:bCs/>
              </w:rPr>
              <w:t>PER4MANCE s.r.o.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80" w:right="0" w:firstLine="0"/>
              <w:jc w:val="left"/>
            </w:pPr>
            <w:r>
              <w:rPr>
                <w:rStyle w:val="CharStyle16"/>
              </w:rPr>
              <w:t>Fišova 3, 602 00 Brno - Černá Pole t</w:t>
            </w:r>
            <w:r>
              <w:rPr>
                <w:rStyle w:val="CharStyle16"/>
                <w:spacing w:val="4"/>
                <w:shd w:val="clear" w:color="auto" w:fill="000000"/>
              </w:rPr>
              <w:t>....</w:t>
            </w:r>
            <w:r>
              <w:rPr>
                <w:rStyle w:val="CharStyle16"/>
                <w:spacing w:val="5"/>
                <w:shd w:val="clear" w:color="auto" w:fill="000000"/>
              </w:rPr>
              <w:t>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2"/>
                <w:shd w:val="clear" w:color="auto" w:fill="000000"/>
              </w:rPr>
              <w:t>..........</w:t>
            </w:r>
            <w:r>
              <w:rPr>
                <w:rStyle w:val="CharStyle16"/>
                <w:spacing w:val="3"/>
                <w:shd w:val="clear" w:color="auto" w:fill="000000"/>
              </w:rPr>
              <w:t>.........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7"/>
                <w:shd w:val="clear" w:color="auto" w:fill="000000"/>
              </w:rPr>
              <w:t>......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2"/>
                <w:shd w:val="clear" w:color="auto" w:fill="000000"/>
              </w:rPr>
              <w:t>....</w:t>
            </w:r>
            <w:r>
              <w:rPr>
                <w:rStyle w:val="CharStyle16"/>
                <w:spacing w:val="3"/>
                <w:shd w:val="clear" w:color="auto" w:fill="000000"/>
              </w:rPr>
              <w:t>.............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bankovní spojení: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rStyle w:val="CharStyle16"/>
              </w:rPr>
              <w:t>KB Brno - Černá Pole, č.ú. 7217750277/0100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IČO DIČ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rStyle w:val="CharStyle16"/>
              </w:rPr>
              <w:t>60749024 290-60749024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tabs>
          <w:tab w:pos="2048" w:val="left"/>
        </w:tabs>
        <w:bidi w:val="0"/>
        <w:spacing w:before="0" w:after="0"/>
        <w:ind w:left="0" w:right="0" w:firstLine="0"/>
        <w:jc w:val="left"/>
      </w:pPr>
      <w:r>
        <w:rPr>
          <w:rStyle w:val="CharStyle14"/>
        </w:rPr>
        <w:t>zapsaný do OR u rejstříkového soudu v Brně pod zn. C 19044 zastoupený:</w:t>
        <w:tab/>
        <w:t>Ing. Petrem Maleňákem, jednatelem</w:t>
      </w:r>
    </w:p>
    <w:p>
      <w:pPr>
        <w:widowControl w:val="0"/>
        <w:spacing w:after="4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rStyle w:val="CharStyle9"/>
          <w:b/>
          <w:bCs/>
        </w:rPr>
        <w:t>ČI. II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54" w:lineRule="auto"/>
        <w:ind w:left="3520" w:right="0" w:firstLine="0"/>
        <w:jc w:val="left"/>
      </w:pPr>
      <w:bookmarkStart w:id="4" w:name="bookmark4"/>
      <w:r>
        <w:rPr>
          <w:rStyle w:val="CharStyle12"/>
          <w:b/>
          <w:bCs/>
        </w:rPr>
        <w:t>Změna smlouvy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left"/>
      </w:pPr>
      <w:r>
        <w:rPr>
          <w:rStyle w:val="CharStyle9"/>
        </w:rPr>
        <w:t>Shora označená smlouva ze dne 18. 12. 2001 se tímto Dodatkem č. 1 mění takto: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220" w:line="254" w:lineRule="auto"/>
        <w:ind w:left="0" w:right="0" w:firstLine="0"/>
        <w:jc w:val="left"/>
      </w:pPr>
      <w:r>
        <w:rPr>
          <w:rStyle w:val="CharStyle9"/>
          <w:u w:val="single"/>
        </w:rPr>
        <w:t>Označení smluvních stran</w:t>
      </w:r>
      <w:r>
        <w:rPr>
          <w:rStyle w:val="CharStyle9"/>
        </w:rPr>
        <w:t xml:space="preserve"> se upravuje tak, jak je uvedeno v čl. I tohoto dodatku.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6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Style w:val="CharStyle9"/>
          <w:u w:val="single"/>
        </w:rPr>
        <w:t>Článek II, bod 2.1 zní: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260" w:right="0" w:firstLine="300"/>
        <w:jc w:val="left"/>
      </w:pPr>
      <w:r>
        <w:rPr>
          <w:rStyle w:val="CharStyle9"/>
        </w:rPr>
        <w:t xml:space="preserve">Předmětem plnění jsou odborné služby zhotovitele - </w:t>
      </w:r>
      <w:r>
        <w:rPr>
          <w:rStyle w:val="CharStyle9"/>
          <w:b/>
          <w:bCs/>
        </w:rPr>
        <w:t xml:space="preserve">technický servis - </w:t>
      </w:r>
      <w:r>
        <w:rPr>
          <w:rStyle w:val="CharStyle9"/>
        </w:rPr>
        <w:t>v lokalitách Brno, nám. 28. října 23, Brno, Staňkova 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Brno, Olomoucká 140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Brno, Jihlavská 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Břeclav, U nemocnice 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Ivančice, Široká 16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Tišnov, Purkyňova 279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Znojmo, Vídeňská 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Hrušovany nad Jevišovkou, Mlýnská 541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60"/>
        <w:jc w:val="left"/>
      </w:pPr>
      <w:r>
        <w:rPr>
          <w:rStyle w:val="CharStyle9"/>
        </w:rPr>
        <w:t>Pohořelice, Vídeňská 699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54" w:lineRule="auto"/>
        <w:ind w:left="0" w:right="0" w:firstLine="260"/>
        <w:jc w:val="left"/>
      </w:pPr>
      <w:r>
        <w:rPr>
          <w:rStyle w:val="CharStyle9"/>
        </w:rPr>
        <w:t>Šumná 180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u w:val="single"/>
        </w:rPr>
        <w:t>Článek III, desátá odrážka zní</w:t>
      </w:r>
      <w:r>
        <w:rPr>
          <w:rStyle w:val="CharStyle9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60" w:right="0" w:firstLine="300"/>
        <w:jc w:val="left"/>
      </w:pPr>
      <w:r>
        <w:rPr>
          <w:rStyle w:val="CharStyle9"/>
        </w:rPr>
        <w:t>8 hodin měsíčně u objednatele pro řešení veškerých problémů souvisejících s technickým servisem. Zásahy nad uvedený rámec budou fakturovány samostatně při ceně práce 800,- Kč za hodinu. Cestovní náklady mimo město Brno budou fakturovány samostatně na základě ceníku a vykázaných km dle servisního protokolu.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rStyle w:val="CharStyle9"/>
          <w:u w:val="single"/>
        </w:rPr>
        <w:t>V čl JH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rStyle w:val="CharStyle9"/>
          <w:u w:val="single"/>
        </w:rPr>
        <w:t>bod 3.1. text za čtvrtou odrážkou zní</w:t>
      </w:r>
      <w:r>
        <w:rPr>
          <w:rStyle w:val="CharStyle9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660"/>
        <w:jc w:val="left"/>
      </w:pPr>
      <w:r>
        <w:rPr>
          <w:rStyle w:val="CharStyle9"/>
        </w:rPr>
        <w:t>"správa jednotlivých PC stanic v lokalitách uvedených v čl. II, bod 2.1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280"/>
        <w:jc w:val="left"/>
      </w:pPr>
      <w:r>
        <w:rPr>
          <w:rStyle w:val="CharStyle9"/>
          <w:u w:val="single"/>
        </w:rPr>
        <w:t>bod 3.3. (omylem označený jako 4.2) zní: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80" w:right="0" w:firstLine="280"/>
        <w:jc w:val="both"/>
      </w:pPr>
      <w:r>
        <w:rPr>
          <w:rStyle w:val="CharStyle9"/>
        </w:rPr>
        <w:t>Servisní služby poskytuje zhotovitel vždy na výzvu objednatele. Servisní činnost je poskytována v pracovní dny od 8 do 17 hodin.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80" w:right="0" w:firstLine="280"/>
        <w:jc w:val="both"/>
      </w:pPr>
      <w:r>
        <w:rPr>
          <w:rStyle w:val="CharStyle9"/>
        </w:rPr>
        <w:t xml:space="preserve">Nahlášení poruch (vad) a požadavků a žádosti o řešení havarijních stavů provádí objednatel v pracovní dny v době od 8 hodin do 17 hodin na čísle faxu: 545213291 nebo elektronickou poštou na adresu </w:t>
      </w:r>
      <w:r>
        <w:fldChar w:fldCharType="begin"/>
      </w:r>
      <w:r>
        <w:rPr/>
        <w:instrText> HYPERLINK "mailto:uszs_support@per4mance.cz" </w:instrText>
      </w:r>
      <w:r>
        <w:fldChar w:fldCharType="separate"/>
      </w:r>
      <w:r>
        <w:rPr>
          <w:rStyle w:val="CharStyle9"/>
          <w:u w:val="single"/>
        </w:rPr>
        <w:t xml:space="preserve">uszs </w:t>
      </w:r>
      <w:r>
        <w:rPr>
          <w:rStyle w:val="CharStyle9"/>
          <w:u w:val="single"/>
          <w:lang w:val="en-US" w:eastAsia="en-US" w:bidi="en-US"/>
        </w:rPr>
        <w:t>support@per4mance.cz</w:t>
      </w:r>
      <w:r>
        <w:fldChar w:fldCharType="end"/>
      </w:r>
      <w:r>
        <w:rPr>
          <w:rStyle w:val="CharStyle9"/>
          <w:lang w:val="en-US" w:eastAsia="en-US" w:bidi="en-US"/>
        </w:rPr>
        <w:t xml:space="preserve">. </w:t>
      </w:r>
      <w:r>
        <w:rPr>
          <w:rStyle w:val="CharStyle9"/>
        </w:rPr>
        <w:t>Poruchy nahlášené po 17. hodině jsou zhotovitelem přijaty v 8 hodin následujícího pracovního dne.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80" w:right="0" w:firstLine="280"/>
        <w:jc w:val="both"/>
      </w:pPr>
      <w:r>
        <w:rPr>
          <w:rStyle w:val="CharStyle9"/>
        </w:rPr>
        <w:t xml:space="preserve">Objednatel je povinen udat identifikační údaje, zejm. též číslo této smlouvy </w:t>
      </w:r>
      <w:r>
        <w:rPr>
          <w:rStyle w:val="CharStyle9"/>
          <w:b/>
          <w:bCs/>
        </w:rPr>
        <w:t xml:space="preserve">(1/USZS/2001). </w:t>
      </w:r>
      <w:r>
        <w:rPr>
          <w:rStyle w:val="CharStyle9"/>
        </w:rPr>
        <w:t>Objednatel nese odpovědnost za případné zneužití identifikačního údaje třetí osobou a je povinen uhradit zhotoviteli škodu případně tím způsobenou.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280" w:right="0" w:firstLine="280"/>
        <w:jc w:val="both"/>
      </w:pPr>
      <w:r>
        <w:rPr>
          <w:rStyle w:val="CharStyle9"/>
        </w:rPr>
        <w:t>O provedených požadavcích a zásazích bude vedena mezi odborným garantem zhotovitele a kontaktní osobou objednatele evidence mapující četnost a charakter servisních zásahů.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u w:val="single"/>
        </w:rPr>
        <w:t>Článek IV, bod 4.1 zni</w:t>
      </w:r>
      <w:r>
        <w:rPr>
          <w:rStyle w:val="CharStyle9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80" w:right="0" w:firstLine="280"/>
        <w:jc w:val="left"/>
      </w:pPr>
      <w:r>
        <w:rPr>
          <w:rStyle w:val="CharStyle9"/>
        </w:rPr>
        <w:t>Smluvní strany se dohodly na sjednání ceny díla paušální měsíční částkou ve výši 10 000,- Kč. K této ceně bude připočtena daň z přidané hodnoty podle platných předpisů a případné vícepráce a cestovní náklady dle článku č. 2 tohoto dodatku. Platba za služby dle této smlouvy se provádí čtvrtletně zpětně, vždy na základě dodavatelsky vystavených faktur.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  <w:u w:val="single"/>
        </w:rPr>
        <w:t>Článek VII, bod 7.1 zní</w:t>
      </w:r>
      <w:r>
        <w:rPr>
          <w:rStyle w:val="CharStyle9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/>
        <w:ind w:left="280" w:right="0" w:firstLine="280"/>
        <w:jc w:val="both"/>
      </w:pPr>
      <w:r>
        <w:rPr>
          <w:rStyle w:val="CharStyle9"/>
        </w:rPr>
        <w:t>Nedílnou součástí této smlouvy je příloha č. 1 (Seznam zařízení - Specifikace technického vybavení pracovišť objednatele zahrnutých do této servisní smlouvy).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" w:name="bookmark6"/>
      <w:r>
        <w:rPr>
          <w:rStyle w:val="CharStyle12"/>
          <w:b/>
          <w:bCs/>
        </w:rPr>
        <w:t>Čl. III</w:t>
      </w:r>
      <w:bookmarkEnd w:id="6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center"/>
      </w:pPr>
      <w:r>
        <w:rPr>
          <w:rStyle w:val="CharStyle12"/>
          <w:b/>
          <w:bCs/>
        </w:rPr>
        <w:t>Účinnost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60"/>
        <w:jc w:val="both"/>
      </w:pPr>
      <w:r>
        <w:rPr>
          <w:rStyle w:val="CharStyle9"/>
        </w:rPr>
        <w:t>Tento Dodatek č. 1 nabývá účinnosti dnem 1.1. 2005.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654" w:right="1673" w:bottom="1432" w:left="1457" w:header="1226" w:footer="1004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558800" distB="38735" distL="734060" distR="0" simplePos="0" relativeHeight="125829378" behindDoc="0" locked="0" layoutInCell="1" allowOverlap="1">
            <wp:simplePos x="0" y="0"/>
            <wp:positionH relativeFrom="page">
              <wp:posOffset>1650365</wp:posOffset>
            </wp:positionH>
            <wp:positionV relativeFrom="paragraph">
              <wp:posOffset>558800</wp:posOffset>
            </wp:positionV>
            <wp:extent cx="1365250" cy="22542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65250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652780</wp:posOffset>
                </wp:positionV>
                <wp:extent cx="701675" cy="16002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67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2.150000000000006pt;margin-top:51.399999999999999pt;width:55.25pt;height:12.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V Brně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584200" distB="0" distL="0" distR="0" simplePos="0" relativeHeight="125829379" behindDoc="0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584200</wp:posOffset>
                </wp:positionV>
                <wp:extent cx="1927225" cy="2400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7225" cy="240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0"/>
                            <w:r>
                              <w:rPr>
                                <w:rStyle w:val="CharStyle6"/>
                                <w:sz w:val="24"/>
                                <w:szCs w:val="24"/>
                                <w:vertAlign w:val="subscript"/>
                              </w:rPr>
                              <w:t>u D</w:t>
                            </w:r>
                            <w:bookmarkEnd w:id="0"/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956" w:val="right"/>
                              </w:tabs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V Brně dne</w:t>
                              <w:tab/>
                              <w:t xml:space="preserve"> 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3.05000000000001pt;margin-top:46.pt;width:151.75pt;height:18.900000000000002pt;z-index:-125829374;mso-wrap-distance-left:0;mso-wrap-distance-top:46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bookmarkStart w:id="0" w:name="bookmark0"/>
                      <w:r>
                        <w:rPr>
                          <w:rStyle w:val="CharStyle6"/>
                          <w:sz w:val="24"/>
                          <w:szCs w:val="24"/>
                          <w:vertAlign w:val="subscript"/>
                        </w:rPr>
                        <w:t>u D</w:t>
                      </w:r>
                      <w:bookmarkEnd w:id="0"/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956" w:val="righ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V Brně dne</w:t>
                        <w:tab/>
                        <w:t xml:space="preserve"> 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11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0" w:right="0" w:bottom="301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9" w:name="bookmark9"/>
      <w:r>
        <w:rPr>
          <w:rStyle w:val="CharStyle6"/>
        </w:rPr>
        <w:t>PER^MANCE®</w:t>
      </w:r>
      <w:bookmarkEnd w:id="9"/>
    </w:p>
    <w:p>
      <w:pPr>
        <w:widowControl w:val="0"/>
        <w:spacing w:after="2023" w:line="1" w:lineRule="exact"/>
      </w:pPr>
      <w:r>
        <w:drawing>
          <wp:anchor distT="414020" distB="185420" distL="0" distR="0" simplePos="0" relativeHeight="62914690" behindDoc="1" locked="0" layoutInCell="1" allowOverlap="1">
            <wp:simplePos x="0" y="0"/>
            <wp:positionH relativeFrom="page">
              <wp:posOffset>1350645</wp:posOffset>
            </wp:positionH>
            <wp:positionV relativeFrom="paragraph">
              <wp:posOffset>414020</wp:posOffset>
            </wp:positionV>
            <wp:extent cx="1713230" cy="6642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1323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1433195</wp:posOffset>
                </wp:positionH>
                <wp:positionV relativeFrom="paragraph">
                  <wp:posOffset>0</wp:posOffset>
                </wp:positionV>
                <wp:extent cx="1588770" cy="28829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8770" cy="288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PER4MANCE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Fišova 3. 602 00 BRNO IČO 607dg024. DiČ: CZ6074S024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2.85000000000001pt;margin-top:0;width:125.10000000000001pt;height:22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PER4MANCE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Fišova 3. 602 00 BRNO IČO 607dg024. DiČ: CZ6074S024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1102360</wp:posOffset>
                </wp:positionV>
                <wp:extent cx="589915" cy="16002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991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7.84999999999999pt;margin-top:86.799999999999997pt;width:46.450000000000003pt;height:12.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zhotovitel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180340" distL="0" distR="0" simplePos="0" relativeHeight="62914691" behindDoc="1" locked="0" layoutInCell="1" allowOverlap="1">
            <wp:simplePos x="0" y="0"/>
            <wp:positionH relativeFrom="page">
              <wp:posOffset>4361180</wp:posOffset>
            </wp:positionH>
            <wp:positionV relativeFrom="paragraph">
              <wp:posOffset>93980</wp:posOffset>
            </wp:positionV>
            <wp:extent cx="1810385" cy="101219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10385" cy="10121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4761230</wp:posOffset>
                </wp:positionH>
                <wp:positionV relativeFrom="paragraph">
                  <wp:posOffset>1122680</wp:posOffset>
                </wp:positionV>
                <wp:extent cx="644525" cy="16256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4525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74.90000000000003pt;margin-top:88.400000000000006pt;width:50.75pt;height:12.8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objednatel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384810</wp:posOffset>
            </wp:positionH>
            <wp:positionV relativeFrom="margin">
              <wp:posOffset>-218440</wp:posOffset>
            </wp:positionV>
            <wp:extent cx="377825" cy="591185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77825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  <w:b/>
          <w:bCs/>
        </w:rPr>
        <w:t>Příloha č.1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" w:name="bookmark11"/>
      <w:r>
        <w:rPr>
          <w:rStyle w:val="CharStyle29"/>
        </w:rPr>
        <w:t>Seznam zařízení</w:t>
      </w:r>
      <w:bookmarkEnd w:id="11"/>
    </w:p>
    <w:tbl>
      <w:tblPr>
        <w:tblOverlap w:val="never"/>
        <w:jc w:val="center"/>
        <w:tblLayout w:type="fixed"/>
      </w:tblPr>
      <w:tblGrid>
        <w:gridCol w:w="1660"/>
        <w:gridCol w:w="3269"/>
        <w:gridCol w:w="1354"/>
        <w:gridCol w:w="1141"/>
        <w:gridCol w:w="1350"/>
      </w:tblGrid>
      <w:tr>
        <w:trPr>
          <w:trHeight w:val="6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i/>
                <w:iCs/>
                <w:sz w:val="16"/>
                <w:szCs w:val="16"/>
              </w:rPr>
              <w:t>Zařízení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i/>
                <w:iCs/>
                <w:sz w:val="16"/>
                <w:szCs w:val="16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i/>
                <w:iCs/>
                <w:sz w:val="16"/>
                <w:szCs w:val="16"/>
              </w:rPr>
              <w:t>'Sériovéčíslo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right"/>
              <w:rPr>
                <w:sz w:val="48"/>
                <w:szCs w:val="48"/>
              </w:rPr>
            </w:pPr>
            <w:r>
              <w:rPr>
                <w:rStyle w:val="CharStyle16"/>
                <w:sz w:val="48"/>
                <w:szCs w:val="48"/>
              </w:rPr>
              <w:t>i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i/>
                <w:iCs/>
                <w:sz w:val="16"/>
                <w:szCs w:val="16"/>
              </w:rPr>
              <w:t>'-'Doba reakce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Cisco 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Centrální router Cisco 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nám. 28. října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Cisco 2611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Internet/ISDN Router 2611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nám. 28. října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3Com 3300 24TP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Centrální Switch 3COM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nám. 28. října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Cisco 2950T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Centrální Switch Cisto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nám. 28. října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Server DELL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Databázový server SOS1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nám. 28. října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Server DELL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Filé Server PDC + Mail server LAN Suitě 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nám. 28. října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Server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Datatabázový server SOS2 (záložní server)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nám. 28. října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Cisco 1720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PC DELL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Router Záložního dispečinku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Dispečerské a výjezdové stanoviště 14x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FN Bohunice umístěná dle čl.II., bod 2.1.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24 hod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Tahoma" w:eastAsia="Tahoma" w:hAnsi="Tahoma" w:cs="Tahoma"/>
                <w:sz w:val="15"/>
                <w:szCs w:val="15"/>
              </w:rPr>
              <w:t>48 hod</w:t>
            </w:r>
          </w:p>
        </w:tc>
      </w:tr>
    </w:tbl>
    <w:p>
      <w:pPr>
        <w:widowControl w:val="0"/>
        <w:spacing w:after="6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02335" cy="658495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02335" cy="658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bookmarkStart w:id="13" w:name="bookmark13"/>
      <w:r>
        <w:rPr>
          <w:rStyle w:val="CharStyle6"/>
        </w:rPr>
        <w:t>PER^MANCE®</w:t>
      </w:r>
      <w:bookmarkEnd w:id="13"/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/>
        <w:ind w:left="1300" w:right="0" w:firstLine="0"/>
        <w:jc w:val="left"/>
      </w:pPr>
      <w:r>
        <w:rPr>
          <w:rStyle w:val="CharStyle34"/>
        </w:rPr>
        <w:t>PER4MANCE s.r.o.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4678045</wp:posOffset>
            </wp:positionH>
            <wp:positionV relativeFrom="margin">
              <wp:posOffset>3646805</wp:posOffset>
            </wp:positionV>
            <wp:extent cx="1828800" cy="1073150"/>
            <wp:wrapSquare wrapText="left"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828800" cy="10731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4"/>
        </w:rPr>
        <w:t>Fišova 3, 602 00 SRNO</w:t>
        <w:br/>
        <w:t>IČO: 60749024, DIČ: CZ50</w:t>
      </w:r>
      <w:r>
        <w:rPr>
          <w:rStyle w:val="CharStyle34"/>
          <w:vertAlign w:val="superscript"/>
        </w:rPr>
        <w:t>7</w:t>
      </w:r>
      <w:r>
        <w:rPr>
          <w:rStyle w:val="CharStyle34"/>
        </w:rPr>
        <w:t>4S024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10" w:right="1662" w:bottom="3014" w:left="1466" w:header="882" w:footer="258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Nadpis #2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3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Nadpis #1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4">
    <w:name w:val="Základní text (2)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auto"/>
      <w:ind w:left="11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line="252" w:lineRule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auto"/>
      <w:spacing w:after="220" w:line="252" w:lineRule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auto"/>
      <w:spacing w:line="252" w:lineRule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Nadpis #1"/>
    <w:basedOn w:val="Normal"/>
    <w:link w:val="CharStyle29"/>
    <w:pPr>
      <w:widowControl w:val="0"/>
      <w:shd w:val="clear" w:color="auto" w:fill="auto"/>
      <w:spacing w:after="64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33">
    <w:name w:val="Základní text (2)"/>
    <w:basedOn w:val="Normal"/>
    <w:link w:val="CharStyle34"/>
    <w:pPr>
      <w:widowControl w:val="0"/>
      <w:shd w:val="clear" w:color="auto" w:fill="auto"/>
      <w:spacing w:line="202" w:lineRule="auto"/>
      <w:ind w:left="65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22C-6e-20230523134547</dc:title>
  <dc:subject/>
  <dc:creator/>
  <cp:keywords/>
</cp:coreProperties>
</file>