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C8A1" w14:textId="121FE7C7" w:rsidR="00663DA2" w:rsidRPr="004148B6" w:rsidRDefault="00663DA2" w:rsidP="00663DA2">
      <w:pPr>
        <w:spacing w:line="360" w:lineRule="auto"/>
        <w:jc w:val="center"/>
        <w:rPr>
          <w:rFonts w:cstheme="minorHAnsi"/>
          <w:b/>
          <w:bCs/>
          <w:sz w:val="32"/>
          <w:szCs w:val="32"/>
        </w:rPr>
      </w:pPr>
      <w:r w:rsidRPr="004148B6">
        <w:rPr>
          <w:rFonts w:cstheme="minorHAnsi"/>
          <w:b/>
          <w:bCs/>
          <w:sz w:val="32"/>
          <w:szCs w:val="32"/>
        </w:rPr>
        <w:t>DODATEK Č. 1</w:t>
      </w:r>
    </w:p>
    <w:p w14:paraId="3133C4F2" w14:textId="2C2463D9" w:rsidR="00663DA2" w:rsidRPr="004148B6" w:rsidRDefault="00663DA2" w:rsidP="00663DA2">
      <w:pPr>
        <w:jc w:val="center"/>
        <w:rPr>
          <w:rFonts w:cstheme="minorHAnsi"/>
        </w:rPr>
      </w:pPr>
      <w:r w:rsidRPr="004148B6">
        <w:rPr>
          <w:rFonts w:cstheme="minorHAnsi"/>
        </w:rPr>
        <w:t>ke Smlouvě o uzavření budoucí smlouvy o zřízení služebností č. CJ 00270/2020</w:t>
      </w:r>
      <w:r w:rsidR="004148B6">
        <w:rPr>
          <w:rFonts w:cstheme="minorHAnsi"/>
        </w:rPr>
        <w:t xml:space="preserve"> uzavřené v souladu s ustanovením § 1785 a násl. a § 1257 a násl. zákona č. 89/2012 Sb., občanský zákoník</w:t>
      </w:r>
      <w:r w:rsidR="00057FF0">
        <w:rPr>
          <w:rFonts w:cstheme="minorHAnsi"/>
        </w:rPr>
        <w:t>, ze</w:t>
      </w:r>
      <w:r w:rsidR="004148B6">
        <w:rPr>
          <w:rFonts w:cstheme="minorHAnsi"/>
        </w:rPr>
        <w:t xml:space="preserve"> dne 7. 7. 2021</w:t>
      </w:r>
      <w:r w:rsidR="00057FF0">
        <w:rPr>
          <w:rFonts w:cstheme="minorHAnsi"/>
        </w:rPr>
        <w:t xml:space="preserve"> (dále jen „</w:t>
      </w:r>
      <w:r w:rsidR="00057FF0">
        <w:rPr>
          <w:rFonts w:cstheme="minorHAnsi"/>
          <w:i/>
          <w:iCs/>
        </w:rPr>
        <w:t>Dodatek</w:t>
      </w:r>
      <w:r w:rsidR="00057FF0">
        <w:rPr>
          <w:rFonts w:cstheme="minorHAnsi"/>
        </w:rPr>
        <w:t>“)</w:t>
      </w:r>
    </w:p>
    <w:p w14:paraId="2A174684" w14:textId="77777777" w:rsidR="00663DA2" w:rsidRPr="004148B6" w:rsidRDefault="00663DA2" w:rsidP="00663DA2">
      <w:pPr>
        <w:jc w:val="both"/>
        <w:rPr>
          <w:rFonts w:cstheme="minorHAnsi"/>
        </w:rPr>
      </w:pPr>
    </w:p>
    <w:p w14:paraId="59F8FE2F" w14:textId="2DC15712" w:rsidR="00663DA2" w:rsidRPr="004148B6" w:rsidRDefault="00663DA2" w:rsidP="00663DA2">
      <w:pPr>
        <w:jc w:val="both"/>
        <w:rPr>
          <w:rFonts w:cstheme="minorHAnsi"/>
        </w:rPr>
      </w:pPr>
      <w:r w:rsidRPr="004148B6">
        <w:rPr>
          <w:rFonts w:cstheme="minorHAnsi"/>
        </w:rPr>
        <w:t>Smluvní strany:</w:t>
      </w:r>
    </w:p>
    <w:p w14:paraId="69A1B65E" w14:textId="77777777" w:rsidR="00663DA2" w:rsidRPr="004148B6" w:rsidRDefault="00663DA2" w:rsidP="00663DA2">
      <w:pPr>
        <w:jc w:val="both"/>
        <w:rPr>
          <w:rFonts w:cstheme="minorHAnsi"/>
          <w:b/>
          <w:bCs/>
        </w:rPr>
      </w:pPr>
    </w:p>
    <w:p w14:paraId="52D6FD79" w14:textId="77777777" w:rsidR="00663DA2" w:rsidRPr="004148B6" w:rsidRDefault="00663DA2" w:rsidP="00663DA2">
      <w:pPr>
        <w:pStyle w:val="Tlotextu"/>
        <w:jc w:val="left"/>
        <w:rPr>
          <w:rFonts w:cstheme="minorHAnsi"/>
          <w:b/>
        </w:rPr>
      </w:pPr>
      <w:r w:rsidRPr="004148B6">
        <w:rPr>
          <w:rFonts w:cstheme="minorHAnsi"/>
          <w:b/>
        </w:rPr>
        <w:t xml:space="preserve">Městská část Praha – Vinoř </w:t>
      </w:r>
    </w:p>
    <w:p w14:paraId="1CC6ECD1" w14:textId="69659775" w:rsidR="00663DA2" w:rsidRPr="004148B6" w:rsidRDefault="00663DA2" w:rsidP="00663DA2">
      <w:pPr>
        <w:pStyle w:val="Tlotextu"/>
        <w:spacing w:line="240" w:lineRule="auto"/>
        <w:jc w:val="left"/>
        <w:rPr>
          <w:rFonts w:cstheme="minorHAnsi"/>
        </w:rPr>
      </w:pPr>
      <w:r w:rsidRPr="004148B6">
        <w:rPr>
          <w:rFonts w:cstheme="minorHAnsi"/>
        </w:rPr>
        <w:t>se sídlem:</w:t>
      </w:r>
      <w:r w:rsidRPr="004148B6">
        <w:rPr>
          <w:rFonts w:cstheme="minorHAnsi"/>
        </w:rPr>
        <w:tab/>
      </w:r>
      <w:r w:rsidRPr="004148B6">
        <w:rPr>
          <w:rFonts w:cstheme="minorHAnsi"/>
        </w:rPr>
        <w:tab/>
        <w:t xml:space="preserve">Praha 9 – Vinoř, Bohdanečská 97, 190 17 </w:t>
      </w:r>
    </w:p>
    <w:p w14:paraId="417F10CF" w14:textId="6D6EFCD4" w:rsidR="00663DA2" w:rsidRPr="004148B6" w:rsidRDefault="00663DA2" w:rsidP="00663DA2">
      <w:pPr>
        <w:pStyle w:val="Tlotextu"/>
        <w:spacing w:line="240" w:lineRule="auto"/>
        <w:jc w:val="left"/>
        <w:rPr>
          <w:rFonts w:cstheme="minorHAnsi"/>
        </w:rPr>
      </w:pPr>
      <w:r w:rsidRPr="004148B6">
        <w:rPr>
          <w:rFonts w:cstheme="minorHAnsi"/>
        </w:rPr>
        <w:t>zastoupená:</w:t>
      </w:r>
      <w:r w:rsidRPr="004148B6">
        <w:rPr>
          <w:rFonts w:cstheme="minorHAnsi"/>
        </w:rPr>
        <w:tab/>
      </w:r>
      <w:r w:rsidRPr="004148B6">
        <w:rPr>
          <w:rFonts w:cstheme="minorHAnsi"/>
        </w:rPr>
        <w:tab/>
      </w:r>
      <w:r w:rsidR="001C2264">
        <w:rPr>
          <w:rFonts w:cstheme="minorHAnsi"/>
        </w:rPr>
        <w:t>Ing.</w:t>
      </w:r>
      <w:r w:rsidRPr="004148B6">
        <w:rPr>
          <w:rFonts w:cstheme="minorHAnsi"/>
        </w:rPr>
        <w:t xml:space="preserve"> Michalem Biskupem</w:t>
      </w:r>
      <w:r w:rsidR="001C2264">
        <w:rPr>
          <w:rFonts w:cstheme="minorHAnsi"/>
        </w:rPr>
        <w:t>, starostou</w:t>
      </w:r>
    </w:p>
    <w:p w14:paraId="1677C9F2" w14:textId="625B65B9" w:rsidR="00663DA2" w:rsidRPr="004148B6" w:rsidRDefault="00663DA2" w:rsidP="00663DA2">
      <w:pPr>
        <w:pStyle w:val="Tlotextu"/>
        <w:spacing w:line="240" w:lineRule="auto"/>
        <w:jc w:val="left"/>
        <w:rPr>
          <w:rFonts w:cstheme="minorHAnsi"/>
        </w:rPr>
      </w:pPr>
      <w:r w:rsidRPr="004148B6">
        <w:rPr>
          <w:rFonts w:cstheme="minorHAnsi"/>
        </w:rPr>
        <w:t xml:space="preserve">IČ: </w:t>
      </w:r>
      <w:r w:rsidRPr="004148B6">
        <w:rPr>
          <w:rFonts w:cstheme="minorHAnsi"/>
        </w:rPr>
        <w:tab/>
      </w:r>
      <w:r w:rsidRPr="004148B6">
        <w:rPr>
          <w:rFonts w:cstheme="minorHAnsi"/>
        </w:rPr>
        <w:tab/>
      </w:r>
      <w:r w:rsidRPr="004148B6">
        <w:rPr>
          <w:rFonts w:cstheme="minorHAnsi"/>
        </w:rPr>
        <w:tab/>
        <w:t>00240982</w:t>
      </w:r>
    </w:p>
    <w:p w14:paraId="4DD89948" w14:textId="675A66D0" w:rsidR="00663DA2" w:rsidRPr="004148B6" w:rsidRDefault="00663DA2" w:rsidP="00663DA2">
      <w:pPr>
        <w:pStyle w:val="Tlotextu"/>
        <w:spacing w:line="240" w:lineRule="auto"/>
        <w:jc w:val="left"/>
        <w:rPr>
          <w:rFonts w:cstheme="minorHAnsi"/>
        </w:rPr>
      </w:pPr>
      <w:r w:rsidRPr="004148B6">
        <w:rPr>
          <w:rFonts w:cstheme="minorHAnsi"/>
        </w:rPr>
        <w:t>DIČ:</w:t>
      </w:r>
      <w:r w:rsidRPr="004148B6">
        <w:rPr>
          <w:rFonts w:cstheme="minorHAnsi"/>
        </w:rPr>
        <w:tab/>
      </w:r>
      <w:r w:rsidRPr="004148B6">
        <w:rPr>
          <w:rFonts w:cstheme="minorHAnsi"/>
        </w:rPr>
        <w:tab/>
      </w:r>
      <w:r w:rsidRPr="004148B6">
        <w:rPr>
          <w:rFonts w:cstheme="minorHAnsi"/>
        </w:rPr>
        <w:tab/>
        <w:t xml:space="preserve">CZ00240982 </w:t>
      </w:r>
    </w:p>
    <w:p w14:paraId="53A268F1" w14:textId="12271607" w:rsidR="00663DA2" w:rsidRPr="004148B6" w:rsidRDefault="00663DA2" w:rsidP="00663DA2">
      <w:pPr>
        <w:pStyle w:val="Tlotextu"/>
        <w:spacing w:line="240" w:lineRule="auto"/>
        <w:jc w:val="left"/>
        <w:rPr>
          <w:rFonts w:cstheme="minorHAnsi"/>
        </w:rPr>
      </w:pPr>
      <w:r w:rsidRPr="004148B6">
        <w:rPr>
          <w:rFonts w:cstheme="minorHAnsi"/>
        </w:rPr>
        <w:t xml:space="preserve">bankovní spojení: </w:t>
      </w:r>
      <w:r w:rsidRPr="004148B6">
        <w:rPr>
          <w:rFonts w:cstheme="minorHAnsi"/>
        </w:rPr>
        <w:tab/>
        <w:t>ČSOB</w:t>
      </w:r>
    </w:p>
    <w:p w14:paraId="097D31BB" w14:textId="0084C391" w:rsidR="00663DA2" w:rsidRPr="004148B6" w:rsidRDefault="00663DA2" w:rsidP="00663DA2">
      <w:pPr>
        <w:pStyle w:val="Tlotextu"/>
        <w:spacing w:line="240" w:lineRule="auto"/>
        <w:jc w:val="left"/>
        <w:rPr>
          <w:rFonts w:cstheme="minorHAnsi"/>
          <w:color w:val="000000"/>
          <w:shd w:val="clear" w:color="auto" w:fill="FFFFFF"/>
        </w:rPr>
      </w:pPr>
      <w:r w:rsidRPr="004148B6">
        <w:rPr>
          <w:rFonts w:cstheme="minorHAnsi"/>
        </w:rPr>
        <w:t xml:space="preserve">číslo účtu: </w:t>
      </w:r>
      <w:r w:rsidRPr="004148B6">
        <w:rPr>
          <w:rFonts w:cstheme="minorHAnsi"/>
        </w:rPr>
        <w:tab/>
      </w:r>
      <w:r w:rsidRPr="004148B6">
        <w:rPr>
          <w:rFonts w:cstheme="minorHAnsi"/>
        </w:rPr>
        <w:tab/>
      </w:r>
      <w:r w:rsidRPr="004148B6">
        <w:rPr>
          <w:rFonts w:cstheme="minorHAnsi"/>
          <w:color w:val="000000"/>
          <w:shd w:val="clear" w:color="auto" w:fill="FFFFFF"/>
        </w:rPr>
        <w:t>274958902/0300</w:t>
      </w:r>
    </w:p>
    <w:p w14:paraId="46553532" w14:textId="004F4DEC" w:rsidR="00663DA2" w:rsidRPr="004148B6" w:rsidRDefault="00663DA2" w:rsidP="00663DA2">
      <w:pPr>
        <w:pStyle w:val="Tlotextu"/>
        <w:spacing w:line="240" w:lineRule="auto"/>
        <w:jc w:val="left"/>
        <w:rPr>
          <w:rFonts w:cstheme="minorHAnsi"/>
          <w:color w:val="000000"/>
          <w:shd w:val="clear" w:color="auto" w:fill="FFFFFF"/>
        </w:rPr>
      </w:pPr>
      <w:r w:rsidRPr="004148B6">
        <w:rPr>
          <w:rFonts w:cstheme="minorHAnsi"/>
          <w:color w:val="000000"/>
          <w:shd w:val="clear" w:color="auto" w:fill="FFFFFF"/>
        </w:rPr>
        <w:tab/>
      </w:r>
      <w:r w:rsidRPr="004148B6">
        <w:rPr>
          <w:rFonts w:cstheme="minorHAnsi"/>
          <w:color w:val="000000"/>
          <w:shd w:val="clear" w:color="auto" w:fill="FFFFFF"/>
        </w:rPr>
        <w:tab/>
      </w:r>
      <w:r w:rsidRPr="004148B6">
        <w:rPr>
          <w:rFonts w:cstheme="minorHAnsi"/>
          <w:color w:val="000000"/>
          <w:shd w:val="clear" w:color="auto" w:fill="FFFFFF"/>
        </w:rPr>
        <w:tab/>
        <w:t>plátce DPH</w:t>
      </w:r>
    </w:p>
    <w:p w14:paraId="450724C5" w14:textId="7D6D0BB5" w:rsidR="00663DA2" w:rsidRPr="004148B6" w:rsidRDefault="00663DA2" w:rsidP="00663DA2">
      <w:pPr>
        <w:pStyle w:val="Tlotextu"/>
        <w:spacing w:line="240" w:lineRule="auto"/>
        <w:jc w:val="left"/>
        <w:rPr>
          <w:rFonts w:cstheme="minorHAnsi"/>
          <w:color w:val="000000"/>
          <w:shd w:val="clear" w:color="auto" w:fill="FFFFFF"/>
        </w:rPr>
      </w:pPr>
      <w:r w:rsidRPr="004148B6">
        <w:rPr>
          <w:rFonts w:cstheme="minorHAnsi"/>
          <w:color w:val="000000"/>
          <w:shd w:val="clear" w:color="auto" w:fill="FFFFFF"/>
        </w:rPr>
        <w:tab/>
      </w:r>
      <w:r w:rsidRPr="004148B6">
        <w:rPr>
          <w:rFonts w:cstheme="minorHAnsi"/>
          <w:color w:val="000000"/>
          <w:shd w:val="clear" w:color="auto" w:fill="FFFFFF"/>
        </w:rPr>
        <w:tab/>
      </w:r>
      <w:r w:rsidRPr="004148B6">
        <w:rPr>
          <w:rFonts w:cstheme="minorHAnsi"/>
          <w:color w:val="000000"/>
          <w:shd w:val="clear" w:color="auto" w:fill="FFFFFF"/>
        </w:rPr>
        <w:tab/>
        <w:t>povinný subjekt pro registr smluv</w:t>
      </w:r>
    </w:p>
    <w:p w14:paraId="22E98CDB" w14:textId="77777777" w:rsidR="00663DA2" w:rsidRPr="004148B6" w:rsidRDefault="00663DA2" w:rsidP="00663DA2">
      <w:pPr>
        <w:pStyle w:val="Tlotextu"/>
        <w:spacing w:line="240" w:lineRule="auto"/>
        <w:jc w:val="left"/>
        <w:rPr>
          <w:rFonts w:cstheme="minorHAnsi"/>
          <w:color w:val="000000"/>
          <w:shd w:val="clear" w:color="auto" w:fill="FFFFFF"/>
        </w:rPr>
      </w:pPr>
    </w:p>
    <w:p w14:paraId="74CD70B1" w14:textId="7C47AEE5" w:rsidR="00663DA2" w:rsidRPr="004148B6" w:rsidRDefault="00663DA2" w:rsidP="00663DA2">
      <w:pPr>
        <w:pStyle w:val="Tlotextu"/>
        <w:spacing w:line="240" w:lineRule="auto"/>
        <w:jc w:val="left"/>
        <w:rPr>
          <w:rFonts w:cstheme="minorHAnsi"/>
        </w:rPr>
      </w:pPr>
      <w:r w:rsidRPr="004148B6">
        <w:rPr>
          <w:rFonts w:cstheme="minorHAnsi"/>
          <w:color w:val="000000"/>
          <w:shd w:val="clear" w:color="auto" w:fill="FFFFFF"/>
        </w:rPr>
        <w:t>(dále jen „</w:t>
      </w:r>
      <w:r w:rsidRPr="004148B6">
        <w:rPr>
          <w:rFonts w:cstheme="minorHAnsi"/>
          <w:i/>
          <w:iCs/>
          <w:color w:val="000000"/>
          <w:shd w:val="clear" w:color="auto" w:fill="FFFFFF"/>
        </w:rPr>
        <w:t>budoucí povinný</w:t>
      </w:r>
      <w:r w:rsidRPr="004148B6">
        <w:rPr>
          <w:rFonts w:cstheme="minorHAnsi"/>
          <w:color w:val="000000"/>
          <w:shd w:val="clear" w:color="auto" w:fill="FFFFFF"/>
        </w:rPr>
        <w:t>“)</w:t>
      </w:r>
    </w:p>
    <w:p w14:paraId="08692CEA" w14:textId="77777777" w:rsidR="00663DA2" w:rsidRPr="004148B6" w:rsidRDefault="00663DA2" w:rsidP="00663DA2">
      <w:pPr>
        <w:jc w:val="both"/>
        <w:rPr>
          <w:rStyle w:val="Siln"/>
          <w:rFonts w:cstheme="minorHAnsi"/>
          <w:b w:val="0"/>
        </w:rPr>
      </w:pPr>
    </w:p>
    <w:p w14:paraId="45ECD52A" w14:textId="77777777" w:rsidR="00663DA2" w:rsidRPr="004148B6" w:rsidRDefault="00663DA2" w:rsidP="00663DA2">
      <w:pPr>
        <w:jc w:val="both"/>
        <w:rPr>
          <w:rStyle w:val="Siln"/>
          <w:rFonts w:cstheme="minorHAnsi"/>
          <w:b w:val="0"/>
        </w:rPr>
      </w:pPr>
      <w:r w:rsidRPr="004148B6">
        <w:rPr>
          <w:rStyle w:val="Siln"/>
          <w:rFonts w:cstheme="minorHAnsi"/>
        </w:rPr>
        <w:t>a</w:t>
      </w:r>
    </w:p>
    <w:p w14:paraId="29BA8307" w14:textId="77777777" w:rsidR="00663DA2" w:rsidRPr="004148B6" w:rsidRDefault="00663DA2" w:rsidP="00663DA2">
      <w:pPr>
        <w:jc w:val="both"/>
        <w:rPr>
          <w:rStyle w:val="Siln"/>
          <w:rFonts w:cstheme="minorHAnsi"/>
        </w:rPr>
      </w:pPr>
    </w:p>
    <w:p w14:paraId="7341640E" w14:textId="4555D368" w:rsidR="00663DA2" w:rsidRPr="004148B6" w:rsidRDefault="00663DA2" w:rsidP="00663DA2">
      <w:pPr>
        <w:spacing w:line="276" w:lineRule="auto"/>
        <w:rPr>
          <w:rFonts w:cstheme="minorHAnsi"/>
          <w:b/>
          <w:bCs/>
        </w:rPr>
      </w:pPr>
      <w:proofErr w:type="spellStart"/>
      <w:r w:rsidRPr="004148B6">
        <w:rPr>
          <w:rFonts w:cstheme="minorHAnsi"/>
          <w:b/>
          <w:bCs/>
        </w:rPr>
        <w:t>Scancom</w:t>
      </w:r>
      <w:proofErr w:type="spellEnd"/>
      <w:r w:rsidRPr="004148B6">
        <w:rPr>
          <w:rFonts w:cstheme="minorHAnsi"/>
          <w:b/>
          <w:bCs/>
        </w:rPr>
        <w:t xml:space="preserve"> s.r.o.</w:t>
      </w:r>
    </w:p>
    <w:p w14:paraId="455935F6" w14:textId="10FCF63E" w:rsidR="00663DA2" w:rsidRPr="004148B6" w:rsidRDefault="00663DA2" w:rsidP="00663DA2">
      <w:pPr>
        <w:pStyle w:val="Tlotextu"/>
        <w:spacing w:line="240" w:lineRule="auto"/>
        <w:jc w:val="left"/>
        <w:rPr>
          <w:rFonts w:cstheme="minorHAnsi"/>
        </w:rPr>
      </w:pPr>
      <w:r w:rsidRPr="004148B6">
        <w:rPr>
          <w:rFonts w:cstheme="minorHAnsi"/>
        </w:rPr>
        <w:t>se sídlem:</w:t>
      </w:r>
      <w:r w:rsidRPr="004148B6">
        <w:rPr>
          <w:rFonts w:cstheme="minorHAnsi"/>
        </w:rPr>
        <w:tab/>
      </w:r>
      <w:r w:rsidRPr="004148B6">
        <w:rPr>
          <w:rFonts w:cstheme="minorHAnsi"/>
        </w:rPr>
        <w:tab/>
        <w:t>Praha 10, Pod Sychrovem I, 870/30, 101 00</w:t>
      </w:r>
    </w:p>
    <w:p w14:paraId="0A77E660" w14:textId="3344A32C" w:rsidR="00663DA2" w:rsidRPr="004148B6" w:rsidRDefault="00663DA2" w:rsidP="00663DA2">
      <w:pPr>
        <w:pStyle w:val="Tlotextu"/>
        <w:spacing w:line="240" w:lineRule="auto"/>
        <w:jc w:val="left"/>
        <w:rPr>
          <w:rFonts w:cstheme="minorHAnsi"/>
        </w:rPr>
      </w:pPr>
      <w:r w:rsidRPr="004148B6">
        <w:rPr>
          <w:rFonts w:cstheme="minorHAnsi"/>
        </w:rPr>
        <w:t>zastoupená:</w:t>
      </w:r>
      <w:r w:rsidRPr="004148B6">
        <w:rPr>
          <w:rFonts w:cstheme="minorHAnsi"/>
        </w:rPr>
        <w:tab/>
      </w:r>
      <w:r w:rsidRPr="004148B6">
        <w:rPr>
          <w:rFonts w:cstheme="minorHAnsi"/>
        </w:rPr>
        <w:tab/>
        <w:t xml:space="preserve">Stefanem </w:t>
      </w:r>
      <w:proofErr w:type="spellStart"/>
      <w:r w:rsidRPr="004148B6">
        <w:rPr>
          <w:rFonts w:cstheme="minorHAnsi"/>
        </w:rPr>
        <w:t>Lagerem</w:t>
      </w:r>
      <w:proofErr w:type="spellEnd"/>
      <w:r w:rsidRPr="004148B6">
        <w:rPr>
          <w:rFonts w:cstheme="minorHAnsi"/>
        </w:rPr>
        <w:t xml:space="preserve">, jednatelem </w:t>
      </w:r>
    </w:p>
    <w:p w14:paraId="34CDB9B5" w14:textId="345C3F97" w:rsidR="00663DA2" w:rsidRPr="004148B6" w:rsidRDefault="00663DA2" w:rsidP="00663DA2">
      <w:pPr>
        <w:pStyle w:val="Tlotextu"/>
        <w:spacing w:line="240" w:lineRule="auto"/>
        <w:jc w:val="left"/>
        <w:rPr>
          <w:rFonts w:cstheme="minorHAnsi"/>
        </w:rPr>
      </w:pPr>
      <w:r w:rsidRPr="004148B6">
        <w:rPr>
          <w:rFonts w:cstheme="minorHAnsi"/>
        </w:rPr>
        <w:t xml:space="preserve">IČ: </w:t>
      </w:r>
      <w:r w:rsidRPr="004148B6">
        <w:rPr>
          <w:rFonts w:cstheme="minorHAnsi"/>
        </w:rPr>
        <w:tab/>
      </w:r>
      <w:r w:rsidRPr="004148B6">
        <w:rPr>
          <w:rFonts w:cstheme="minorHAnsi"/>
        </w:rPr>
        <w:tab/>
      </w:r>
      <w:r w:rsidRPr="004148B6">
        <w:rPr>
          <w:rFonts w:cstheme="minorHAnsi"/>
        </w:rPr>
        <w:tab/>
        <w:t>06708170</w:t>
      </w:r>
    </w:p>
    <w:p w14:paraId="520043EB" w14:textId="2D9B4796" w:rsidR="00663DA2" w:rsidRPr="004148B6" w:rsidRDefault="00663DA2" w:rsidP="00663DA2">
      <w:pPr>
        <w:pStyle w:val="Tlotextu"/>
        <w:spacing w:line="240" w:lineRule="auto"/>
        <w:jc w:val="left"/>
        <w:rPr>
          <w:rFonts w:cstheme="minorHAnsi"/>
        </w:rPr>
      </w:pPr>
      <w:r w:rsidRPr="004148B6">
        <w:rPr>
          <w:rFonts w:cstheme="minorHAnsi"/>
        </w:rPr>
        <w:t>zápis v OR:</w:t>
      </w:r>
      <w:r w:rsidRPr="004148B6">
        <w:rPr>
          <w:rFonts w:cstheme="minorHAnsi"/>
        </w:rPr>
        <w:tab/>
      </w:r>
      <w:r w:rsidRPr="004148B6">
        <w:rPr>
          <w:rFonts w:cstheme="minorHAnsi"/>
        </w:rPr>
        <w:tab/>
        <w:t xml:space="preserve">Městský soud v Praze </w:t>
      </w:r>
      <w:proofErr w:type="spellStart"/>
      <w:r w:rsidRPr="004148B6">
        <w:rPr>
          <w:rFonts w:cstheme="minorHAnsi"/>
        </w:rPr>
        <w:t>sp</w:t>
      </w:r>
      <w:proofErr w:type="spellEnd"/>
      <w:r w:rsidRPr="004148B6">
        <w:rPr>
          <w:rFonts w:cstheme="minorHAnsi"/>
        </w:rPr>
        <w:t>. zn. C 287 177</w:t>
      </w:r>
    </w:p>
    <w:p w14:paraId="432AEC61" w14:textId="4BFA08F3" w:rsidR="00663DA2" w:rsidRPr="004148B6" w:rsidRDefault="00663DA2" w:rsidP="00663DA2">
      <w:pPr>
        <w:pStyle w:val="Tlotextu"/>
        <w:spacing w:line="240" w:lineRule="auto"/>
        <w:jc w:val="left"/>
        <w:rPr>
          <w:rFonts w:cstheme="minorHAnsi"/>
        </w:rPr>
      </w:pPr>
      <w:r w:rsidRPr="004148B6">
        <w:rPr>
          <w:rFonts w:cstheme="minorHAnsi"/>
        </w:rPr>
        <w:t xml:space="preserve">bankovní spojení: </w:t>
      </w:r>
      <w:r w:rsidRPr="004148B6">
        <w:rPr>
          <w:rFonts w:cstheme="minorHAnsi"/>
        </w:rPr>
        <w:tab/>
        <w:t>ČS</w:t>
      </w:r>
    </w:p>
    <w:p w14:paraId="2CA8AA5B" w14:textId="4D2F9CE3" w:rsidR="00663DA2" w:rsidRPr="004148B6" w:rsidRDefault="00663DA2" w:rsidP="00663DA2">
      <w:pPr>
        <w:pStyle w:val="Tlotextu"/>
        <w:spacing w:line="240" w:lineRule="auto"/>
        <w:jc w:val="left"/>
        <w:rPr>
          <w:rFonts w:cstheme="minorHAnsi"/>
          <w:color w:val="000000"/>
          <w:shd w:val="clear" w:color="auto" w:fill="FFFFFF"/>
        </w:rPr>
      </w:pPr>
      <w:r w:rsidRPr="004148B6">
        <w:rPr>
          <w:rFonts w:cstheme="minorHAnsi"/>
        </w:rPr>
        <w:t xml:space="preserve">číslo účtu: </w:t>
      </w:r>
      <w:r w:rsidRPr="004148B6">
        <w:rPr>
          <w:rFonts w:cstheme="minorHAnsi"/>
        </w:rPr>
        <w:tab/>
      </w:r>
      <w:r w:rsidRPr="004148B6">
        <w:rPr>
          <w:rFonts w:cstheme="minorHAnsi"/>
          <w:color w:val="000000"/>
          <w:shd w:val="clear" w:color="auto" w:fill="FFFFFF"/>
        </w:rPr>
        <w:t xml:space="preserve"> </w:t>
      </w:r>
      <w:r w:rsidRPr="004148B6">
        <w:rPr>
          <w:rFonts w:cstheme="minorHAnsi"/>
          <w:color w:val="000000"/>
          <w:shd w:val="clear" w:color="auto" w:fill="FFFFFF"/>
        </w:rPr>
        <w:tab/>
        <w:t>5207377369/0800</w:t>
      </w:r>
    </w:p>
    <w:p w14:paraId="5D9C329C" w14:textId="77777777" w:rsidR="00663DA2" w:rsidRPr="004148B6" w:rsidRDefault="00663DA2" w:rsidP="00663DA2">
      <w:pPr>
        <w:pStyle w:val="Tlotextu"/>
        <w:spacing w:line="240" w:lineRule="auto"/>
        <w:jc w:val="left"/>
        <w:rPr>
          <w:rFonts w:cstheme="minorHAnsi"/>
          <w:color w:val="000000"/>
          <w:shd w:val="clear" w:color="auto" w:fill="FFFFFF"/>
        </w:rPr>
      </w:pPr>
    </w:p>
    <w:p w14:paraId="20DF5000" w14:textId="5FAA1A9B" w:rsidR="00663DA2" w:rsidRPr="004148B6" w:rsidRDefault="00663DA2" w:rsidP="00663DA2">
      <w:pPr>
        <w:pStyle w:val="Tlotextu"/>
        <w:spacing w:line="240" w:lineRule="auto"/>
        <w:jc w:val="left"/>
        <w:rPr>
          <w:rFonts w:cstheme="minorHAnsi"/>
        </w:rPr>
      </w:pPr>
      <w:r w:rsidRPr="004148B6">
        <w:rPr>
          <w:rFonts w:cstheme="minorHAnsi"/>
          <w:color w:val="000000"/>
          <w:shd w:val="clear" w:color="auto" w:fill="FFFFFF"/>
        </w:rPr>
        <w:t>(dále jen „</w:t>
      </w:r>
      <w:r w:rsidRPr="004148B6">
        <w:rPr>
          <w:rFonts w:cstheme="minorHAnsi"/>
          <w:i/>
          <w:iCs/>
          <w:color w:val="000000"/>
          <w:shd w:val="clear" w:color="auto" w:fill="FFFFFF"/>
        </w:rPr>
        <w:t>budoucí oprávněný</w:t>
      </w:r>
      <w:r w:rsidRPr="004148B6">
        <w:rPr>
          <w:rFonts w:cstheme="minorHAnsi"/>
          <w:color w:val="000000"/>
          <w:shd w:val="clear" w:color="auto" w:fill="FFFFFF"/>
        </w:rPr>
        <w:t>“)</w:t>
      </w:r>
    </w:p>
    <w:p w14:paraId="32B902B2" w14:textId="77777777" w:rsidR="00663DA2" w:rsidRPr="004148B6" w:rsidRDefault="00663DA2" w:rsidP="00663DA2">
      <w:pPr>
        <w:pStyle w:val="Tlotextu"/>
        <w:spacing w:line="240" w:lineRule="auto"/>
        <w:jc w:val="left"/>
        <w:rPr>
          <w:rFonts w:cstheme="minorHAnsi"/>
          <w:color w:val="000000"/>
          <w:shd w:val="clear" w:color="auto" w:fill="FFFFFF"/>
        </w:rPr>
      </w:pPr>
    </w:p>
    <w:p w14:paraId="4C4E646F" w14:textId="320CDE4D" w:rsidR="00663DA2" w:rsidRPr="004148B6" w:rsidRDefault="00663DA2" w:rsidP="00663DA2">
      <w:pPr>
        <w:pStyle w:val="Tlotextu"/>
        <w:spacing w:line="240" w:lineRule="auto"/>
        <w:jc w:val="left"/>
        <w:rPr>
          <w:rFonts w:cstheme="minorHAnsi"/>
        </w:rPr>
      </w:pPr>
      <w:r w:rsidRPr="004148B6">
        <w:rPr>
          <w:rFonts w:cstheme="minorHAnsi"/>
          <w:color w:val="000000"/>
          <w:shd w:val="clear" w:color="auto" w:fill="FFFFFF"/>
        </w:rPr>
        <w:t>(společně také jako „</w:t>
      </w:r>
      <w:r w:rsidRPr="004148B6">
        <w:rPr>
          <w:rFonts w:cstheme="minorHAnsi"/>
          <w:i/>
          <w:iCs/>
          <w:color w:val="000000"/>
          <w:shd w:val="clear" w:color="auto" w:fill="FFFFFF"/>
        </w:rPr>
        <w:t>smluvní strany</w:t>
      </w:r>
      <w:r w:rsidRPr="004148B6">
        <w:rPr>
          <w:rFonts w:cstheme="minorHAnsi"/>
          <w:color w:val="000000"/>
          <w:shd w:val="clear" w:color="auto" w:fill="FFFFFF"/>
        </w:rPr>
        <w:t>“)</w:t>
      </w:r>
    </w:p>
    <w:p w14:paraId="766FE763" w14:textId="77777777" w:rsidR="00663DA2" w:rsidRPr="004148B6" w:rsidRDefault="00663DA2" w:rsidP="00663DA2">
      <w:pPr>
        <w:rPr>
          <w:rFonts w:cstheme="minorHAnsi"/>
        </w:rPr>
      </w:pPr>
    </w:p>
    <w:p w14:paraId="3E0CC4D7" w14:textId="77777777" w:rsidR="00663DA2" w:rsidRPr="004148B6" w:rsidRDefault="00663DA2" w:rsidP="00663DA2">
      <w:pPr>
        <w:rPr>
          <w:rFonts w:cstheme="minorHAnsi"/>
        </w:rPr>
      </w:pPr>
    </w:p>
    <w:p w14:paraId="793B590F" w14:textId="77777777" w:rsidR="004F02F6" w:rsidRPr="004148B6" w:rsidRDefault="004F02F6" w:rsidP="004F02F6">
      <w:pPr>
        <w:pStyle w:val="Odstavecseseznamem"/>
        <w:numPr>
          <w:ilvl w:val="0"/>
          <w:numId w:val="2"/>
        </w:numPr>
        <w:spacing w:line="360" w:lineRule="auto"/>
        <w:jc w:val="center"/>
        <w:rPr>
          <w:rFonts w:cstheme="minorHAnsi"/>
          <w:b/>
          <w:bCs/>
        </w:rPr>
      </w:pPr>
    </w:p>
    <w:p w14:paraId="0AE839F6" w14:textId="2E727D3D" w:rsidR="00663DA2" w:rsidRPr="004148B6" w:rsidRDefault="004F02F6" w:rsidP="004F02F6">
      <w:pPr>
        <w:spacing w:line="360" w:lineRule="auto"/>
        <w:jc w:val="center"/>
        <w:rPr>
          <w:rFonts w:cstheme="minorHAnsi"/>
          <w:b/>
          <w:bCs/>
        </w:rPr>
      </w:pPr>
      <w:r w:rsidRPr="004148B6">
        <w:rPr>
          <w:rFonts w:cstheme="minorHAnsi"/>
          <w:b/>
          <w:bCs/>
        </w:rPr>
        <w:t>Předmět dodatku</w:t>
      </w:r>
    </w:p>
    <w:p w14:paraId="21DCE6FA" w14:textId="5CD7BC29" w:rsidR="00057FF0" w:rsidRPr="00057FF0" w:rsidRDefault="004F02F6" w:rsidP="00057FF0">
      <w:pPr>
        <w:pStyle w:val="Odstavecseseznamem"/>
        <w:numPr>
          <w:ilvl w:val="0"/>
          <w:numId w:val="3"/>
        </w:numPr>
        <w:spacing w:after="240"/>
        <w:ind w:left="426"/>
        <w:jc w:val="both"/>
        <w:rPr>
          <w:rFonts w:cstheme="minorHAnsi"/>
        </w:rPr>
      </w:pPr>
      <w:r w:rsidRPr="004148B6">
        <w:rPr>
          <w:rFonts w:cstheme="minorHAnsi"/>
        </w:rPr>
        <w:t xml:space="preserve">Smluvní strany se dohodly, že se tímto Dodatkem mění článek </w:t>
      </w:r>
      <w:r w:rsidR="00057FF0">
        <w:rPr>
          <w:rFonts w:cstheme="minorHAnsi"/>
        </w:rPr>
        <w:t>III</w:t>
      </w:r>
      <w:r w:rsidRPr="004148B6">
        <w:rPr>
          <w:rFonts w:cstheme="minorHAnsi"/>
        </w:rPr>
        <w:t xml:space="preserve">. odst. </w:t>
      </w:r>
      <w:r w:rsidR="00057FF0">
        <w:rPr>
          <w:rFonts w:cstheme="minorHAnsi"/>
        </w:rPr>
        <w:t>3</w:t>
      </w:r>
      <w:r w:rsidRPr="004148B6">
        <w:rPr>
          <w:rFonts w:cstheme="minorHAnsi"/>
        </w:rPr>
        <w:t>.</w:t>
      </w:r>
      <w:r w:rsidR="00057FF0">
        <w:rPr>
          <w:rFonts w:cstheme="minorHAnsi"/>
        </w:rPr>
        <w:t>4</w:t>
      </w:r>
      <w:r w:rsidRPr="004148B6">
        <w:rPr>
          <w:rFonts w:cstheme="minorHAnsi"/>
        </w:rPr>
        <w:t xml:space="preserve"> </w:t>
      </w:r>
      <w:r w:rsidR="00057FF0" w:rsidRPr="004148B6">
        <w:rPr>
          <w:rFonts w:cstheme="minorHAnsi"/>
        </w:rPr>
        <w:t>Smlouv</w:t>
      </w:r>
      <w:r w:rsidR="00057FF0">
        <w:rPr>
          <w:rFonts w:cstheme="minorHAnsi"/>
        </w:rPr>
        <w:t>y</w:t>
      </w:r>
      <w:r w:rsidR="00057FF0" w:rsidRPr="004148B6">
        <w:rPr>
          <w:rFonts w:cstheme="minorHAnsi"/>
        </w:rPr>
        <w:t xml:space="preserve"> o uzavření budoucí smlouvy o zřízení služebností </w:t>
      </w:r>
      <w:r w:rsidRPr="004148B6">
        <w:rPr>
          <w:rFonts w:cstheme="minorHAnsi"/>
        </w:rPr>
        <w:t>a nově zní:</w:t>
      </w:r>
    </w:p>
    <w:p w14:paraId="371B4409" w14:textId="16899681" w:rsidR="00663DA2" w:rsidRPr="00922743" w:rsidRDefault="00057FF0" w:rsidP="00922743">
      <w:pPr>
        <w:ind w:left="993" w:hanging="567"/>
        <w:jc w:val="both"/>
        <w:rPr>
          <w:rFonts w:cstheme="minorHAnsi"/>
          <w:i/>
          <w:iCs/>
        </w:rPr>
      </w:pPr>
      <w:r w:rsidRPr="00057FF0">
        <w:rPr>
          <w:rFonts w:cstheme="minorHAnsi"/>
        </w:rPr>
        <w:t>3.4</w:t>
      </w:r>
      <w:r>
        <w:rPr>
          <w:rFonts w:cstheme="minorHAnsi"/>
        </w:rPr>
        <w:tab/>
      </w:r>
      <w:r w:rsidR="004F02F6" w:rsidRPr="00057FF0">
        <w:rPr>
          <w:rFonts w:cstheme="minorHAnsi"/>
        </w:rPr>
        <w:t>„</w:t>
      </w:r>
      <w:r w:rsidRPr="00057FF0">
        <w:rPr>
          <w:rFonts w:cstheme="minorHAnsi"/>
          <w:i/>
          <w:iCs/>
        </w:rPr>
        <w:t>V případě, že by</w:t>
      </w:r>
      <w:r>
        <w:rPr>
          <w:rFonts w:cstheme="minorHAnsi"/>
          <w:i/>
          <w:iCs/>
        </w:rPr>
        <w:t xml:space="preserve"> budoucí oprávněný nedodržel závazek realizovat Stavbu v rozsahu stanoveném touto Smlouvou do 48 měsíců ode dne podpisu této Smlouvy, platí jednorázová náhrada za zřízení služebnosti ve výši Ceny. Pro vyloučení všech pochybností, má budoucí povinný právo požadovat zpětné dorovnání Ceny oproti Snížené ceně i pro ty části Stavby, kde už byla zřízena služebnost za Sníženou cenu; </w:t>
      </w:r>
      <w:r>
        <w:rPr>
          <w:rFonts w:cstheme="minorHAnsi"/>
          <w:i/>
          <w:iCs/>
        </w:rPr>
        <w:lastRenderedPageBreak/>
        <w:t>takovéto dorovnání se zavazuje budoucí oprávněný zaplatit budoucímu povinnému ve lhůtě 30 dnů ode dne, kdy k tomu bude budoucím povinným vyzván.“</w:t>
      </w:r>
    </w:p>
    <w:p w14:paraId="2C0DEE74" w14:textId="77777777" w:rsidR="00663DA2" w:rsidRPr="004148B6" w:rsidRDefault="00663DA2" w:rsidP="00663DA2">
      <w:pPr>
        <w:jc w:val="both"/>
        <w:rPr>
          <w:rFonts w:cstheme="minorHAnsi"/>
        </w:rPr>
      </w:pPr>
    </w:p>
    <w:p w14:paraId="68F6B953" w14:textId="77777777" w:rsidR="004F02F6" w:rsidRPr="004148B6" w:rsidRDefault="004F02F6" w:rsidP="004F02F6">
      <w:pPr>
        <w:pStyle w:val="Odstavecseseznamem"/>
        <w:ind w:left="426"/>
        <w:jc w:val="both"/>
        <w:rPr>
          <w:rFonts w:cstheme="minorHAnsi"/>
        </w:rPr>
      </w:pPr>
    </w:p>
    <w:p w14:paraId="5C309A0A" w14:textId="77777777" w:rsidR="004F02F6" w:rsidRPr="004148B6" w:rsidRDefault="004F02F6" w:rsidP="004F02F6">
      <w:pPr>
        <w:pStyle w:val="Odstavecseseznamem"/>
        <w:numPr>
          <w:ilvl w:val="0"/>
          <w:numId w:val="2"/>
        </w:numPr>
        <w:spacing w:line="360" w:lineRule="auto"/>
        <w:jc w:val="center"/>
        <w:rPr>
          <w:rFonts w:cstheme="minorHAnsi"/>
        </w:rPr>
      </w:pPr>
    </w:p>
    <w:p w14:paraId="4F925942" w14:textId="77777777" w:rsidR="004F02F6" w:rsidRPr="004148B6" w:rsidRDefault="004F02F6" w:rsidP="004F02F6">
      <w:pPr>
        <w:ind w:left="-142"/>
        <w:jc w:val="center"/>
        <w:rPr>
          <w:rFonts w:cstheme="minorHAnsi"/>
          <w:b/>
          <w:bCs/>
        </w:rPr>
      </w:pPr>
      <w:r w:rsidRPr="004148B6">
        <w:rPr>
          <w:rFonts w:cstheme="minorHAnsi"/>
          <w:b/>
          <w:bCs/>
        </w:rPr>
        <w:t>Závěrečná ustanovení</w:t>
      </w:r>
    </w:p>
    <w:p w14:paraId="3C771AD5" w14:textId="77777777" w:rsidR="004F02F6" w:rsidRPr="004148B6" w:rsidRDefault="004F02F6" w:rsidP="004F02F6">
      <w:pPr>
        <w:ind w:left="-142"/>
        <w:rPr>
          <w:rFonts w:cstheme="minorHAnsi"/>
          <w:b/>
          <w:bCs/>
        </w:rPr>
      </w:pPr>
    </w:p>
    <w:p w14:paraId="404D3FC3" w14:textId="14DA46C5" w:rsidR="004F02F6" w:rsidRPr="004148B6" w:rsidRDefault="004F02F6" w:rsidP="004F02F6">
      <w:pPr>
        <w:pStyle w:val="Odstavecseseznamem"/>
        <w:numPr>
          <w:ilvl w:val="0"/>
          <w:numId w:val="7"/>
        </w:numPr>
        <w:ind w:left="426"/>
        <w:jc w:val="both"/>
        <w:rPr>
          <w:rFonts w:cstheme="minorHAnsi"/>
        </w:rPr>
      </w:pPr>
      <w:r w:rsidRPr="004148B6">
        <w:rPr>
          <w:rFonts w:cstheme="minorHAnsi"/>
        </w:rPr>
        <w:t xml:space="preserve">Ostatní ujednání Smlouvy </w:t>
      </w:r>
      <w:r w:rsidR="001311D8" w:rsidRPr="004148B6">
        <w:rPr>
          <w:rFonts w:cstheme="minorHAnsi"/>
        </w:rPr>
        <w:t xml:space="preserve">o uzavření budoucí smlouvy o zřízení služebností </w:t>
      </w:r>
      <w:r w:rsidRPr="004148B6">
        <w:rPr>
          <w:rFonts w:cstheme="minorHAnsi"/>
        </w:rPr>
        <w:t>se nemění a zůstávají nadále v platnosti.</w:t>
      </w:r>
    </w:p>
    <w:p w14:paraId="05F6C6E3" w14:textId="77777777" w:rsidR="004F02F6" w:rsidRPr="001311D8" w:rsidRDefault="004F02F6" w:rsidP="001311D8">
      <w:pPr>
        <w:jc w:val="both"/>
        <w:rPr>
          <w:rFonts w:cstheme="minorHAnsi"/>
        </w:rPr>
      </w:pPr>
    </w:p>
    <w:p w14:paraId="6738B35A" w14:textId="7E4465F9" w:rsidR="004F02F6" w:rsidRPr="004148B6" w:rsidRDefault="004F02F6" w:rsidP="004F02F6">
      <w:pPr>
        <w:pStyle w:val="Odstavecseseznamem"/>
        <w:numPr>
          <w:ilvl w:val="0"/>
          <w:numId w:val="7"/>
        </w:numPr>
        <w:ind w:left="426"/>
        <w:jc w:val="both"/>
        <w:rPr>
          <w:rFonts w:cstheme="minorHAnsi"/>
        </w:rPr>
      </w:pPr>
      <w:r w:rsidRPr="004148B6">
        <w:rPr>
          <w:rFonts w:cstheme="minorHAnsi"/>
        </w:rPr>
        <w:t xml:space="preserve">Tento Dodatek je sepsán ve dvou vyhotoveních, z nichž jedno obdrží </w:t>
      </w:r>
      <w:r w:rsidR="001311D8">
        <w:rPr>
          <w:rFonts w:cstheme="minorHAnsi"/>
        </w:rPr>
        <w:t>budoucí povinný</w:t>
      </w:r>
      <w:r w:rsidR="001311D8" w:rsidRPr="004148B6">
        <w:rPr>
          <w:rFonts w:cstheme="minorHAnsi"/>
        </w:rPr>
        <w:t xml:space="preserve"> </w:t>
      </w:r>
      <w:r w:rsidRPr="004148B6">
        <w:rPr>
          <w:rFonts w:cstheme="minorHAnsi"/>
        </w:rPr>
        <w:t xml:space="preserve">a jedno </w:t>
      </w:r>
      <w:r w:rsidR="001311D8">
        <w:rPr>
          <w:rFonts w:cstheme="minorHAnsi"/>
        </w:rPr>
        <w:t>budoucí oprávněný</w:t>
      </w:r>
      <w:r w:rsidRPr="004148B6">
        <w:rPr>
          <w:rFonts w:cstheme="minorHAnsi"/>
        </w:rPr>
        <w:t>.</w:t>
      </w:r>
    </w:p>
    <w:p w14:paraId="05456914" w14:textId="77777777" w:rsidR="004F02F6" w:rsidRPr="004148B6" w:rsidRDefault="004F02F6" w:rsidP="004F02F6">
      <w:pPr>
        <w:pStyle w:val="Odstavecseseznamem"/>
        <w:jc w:val="both"/>
        <w:rPr>
          <w:rFonts w:cstheme="minorHAnsi"/>
        </w:rPr>
      </w:pPr>
    </w:p>
    <w:p w14:paraId="52DCCE86" w14:textId="46ADA7CE" w:rsidR="004F02F6" w:rsidRPr="004148B6" w:rsidRDefault="004F02F6" w:rsidP="004F02F6">
      <w:pPr>
        <w:pStyle w:val="Odstavecseseznamem"/>
        <w:numPr>
          <w:ilvl w:val="0"/>
          <w:numId w:val="7"/>
        </w:numPr>
        <w:ind w:left="426"/>
        <w:jc w:val="both"/>
        <w:rPr>
          <w:rFonts w:cstheme="minorHAnsi"/>
        </w:rPr>
      </w:pPr>
      <w:r w:rsidRPr="004148B6">
        <w:rPr>
          <w:rFonts w:cstheme="minorHAnsi"/>
        </w:rPr>
        <w:t xml:space="preserve">Dodatek nabývá účinnosti dnem jeho podpisu oběma </w:t>
      </w:r>
      <w:r w:rsidR="00D86C62">
        <w:rPr>
          <w:rFonts w:cstheme="minorHAnsi"/>
        </w:rPr>
        <w:t>s</w:t>
      </w:r>
      <w:r w:rsidRPr="004148B6">
        <w:rPr>
          <w:rFonts w:cstheme="minorHAnsi"/>
        </w:rPr>
        <w:t>mluvními stranami, nejdříve však dnem jeho uveřejnění v registru smluv dle zákona č. 340/2015 Sb., o registru smluv.</w:t>
      </w:r>
    </w:p>
    <w:p w14:paraId="7BEBD599" w14:textId="77777777" w:rsidR="004F02F6" w:rsidRPr="004148B6" w:rsidRDefault="004F02F6" w:rsidP="004F02F6">
      <w:pPr>
        <w:pStyle w:val="Odstavecseseznamem"/>
        <w:ind w:left="426"/>
        <w:jc w:val="both"/>
        <w:rPr>
          <w:rFonts w:cstheme="minorHAnsi"/>
        </w:rPr>
      </w:pPr>
    </w:p>
    <w:p w14:paraId="216E5681" w14:textId="77777777" w:rsidR="004F02F6" w:rsidRPr="004148B6" w:rsidRDefault="004F02F6" w:rsidP="004F02F6">
      <w:pPr>
        <w:pStyle w:val="Odstavecseseznamem"/>
        <w:numPr>
          <w:ilvl w:val="0"/>
          <w:numId w:val="7"/>
        </w:numPr>
        <w:ind w:left="426"/>
        <w:jc w:val="both"/>
        <w:rPr>
          <w:rFonts w:cstheme="minorHAnsi"/>
        </w:rPr>
      </w:pPr>
      <w:r w:rsidRPr="004148B6">
        <w:rPr>
          <w:rFonts w:cstheme="minorHAnsi"/>
        </w:rPr>
        <w:t>Smluvní strany prohlašují, že se s Dodatkem řádně seznámily a že tento je projevem jejich pravé, svobodné a vážné vůle, na důkaz čehož připojují své podpisy.</w:t>
      </w:r>
    </w:p>
    <w:p w14:paraId="20F95986" w14:textId="77777777" w:rsidR="004F02F6" w:rsidRPr="004148B6" w:rsidRDefault="004F02F6" w:rsidP="004F02F6">
      <w:pPr>
        <w:pStyle w:val="Odstavecseseznamem"/>
        <w:ind w:left="426"/>
        <w:jc w:val="both"/>
        <w:rPr>
          <w:rFonts w:cstheme="minorHAnsi"/>
        </w:rPr>
      </w:pPr>
    </w:p>
    <w:p w14:paraId="18EC282C" w14:textId="77777777" w:rsidR="004F02F6" w:rsidRPr="004148B6" w:rsidRDefault="004F02F6" w:rsidP="004F02F6">
      <w:pPr>
        <w:pStyle w:val="Odstavecseseznamem"/>
        <w:ind w:left="426"/>
        <w:jc w:val="both"/>
        <w:rPr>
          <w:rFonts w:cstheme="minorHAnsi"/>
        </w:rPr>
      </w:pPr>
    </w:p>
    <w:p w14:paraId="6E14B538" w14:textId="77777777" w:rsidR="00663DA2" w:rsidRPr="004148B6" w:rsidRDefault="00663DA2" w:rsidP="00663DA2">
      <w:pPr>
        <w:jc w:val="both"/>
        <w:rPr>
          <w:rFonts w:cstheme="minorHAnsi"/>
        </w:rPr>
      </w:pPr>
    </w:p>
    <w:p w14:paraId="2B7913F1" w14:textId="77777777" w:rsidR="00663DA2" w:rsidRPr="004148B6" w:rsidRDefault="00663DA2" w:rsidP="00663DA2">
      <w:pPr>
        <w:jc w:val="both"/>
        <w:rPr>
          <w:rFonts w:cstheme="minorHAnsi"/>
        </w:rPr>
      </w:pPr>
    </w:p>
    <w:p w14:paraId="5EFEBBEC" w14:textId="77777777" w:rsidR="00663DA2" w:rsidRPr="004148B6" w:rsidRDefault="00663DA2" w:rsidP="00663DA2">
      <w:pPr>
        <w:jc w:val="both"/>
        <w:rPr>
          <w:rFonts w:cstheme="minorHAnsi"/>
        </w:rPr>
      </w:pPr>
      <w:r w:rsidRPr="004148B6">
        <w:rPr>
          <w:rFonts w:cstheme="minorHAnsi"/>
        </w:rPr>
        <w:t>V Praze dne .......................</w:t>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t xml:space="preserve">V Praze dne ....................... </w:t>
      </w:r>
    </w:p>
    <w:p w14:paraId="6D7C2F7D" w14:textId="77777777" w:rsidR="00663DA2" w:rsidRPr="004148B6" w:rsidRDefault="00663DA2" w:rsidP="00663DA2">
      <w:pPr>
        <w:jc w:val="both"/>
        <w:rPr>
          <w:rFonts w:cstheme="minorHAnsi"/>
        </w:rPr>
      </w:pPr>
    </w:p>
    <w:p w14:paraId="5036B7AF" w14:textId="77777777" w:rsidR="00663DA2" w:rsidRPr="004148B6" w:rsidRDefault="00663DA2" w:rsidP="00663DA2">
      <w:pPr>
        <w:jc w:val="both"/>
        <w:rPr>
          <w:rFonts w:cstheme="minorHAnsi"/>
        </w:rPr>
      </w:pPr>
    </w:p>
    <w:p w14:paraId="5E31965B" w14:textId="77777777" w:rsidR="00663DA2" w:rsidRPr="004148B6" w:rsidRDefault="00663DA2" w:rsidP="00663DA2">
      <w:pPr>
        <w:jc w:val="both"/>
        <w:rPr>
          <w:rFonts w:cstheme="minorHAnsi"/>
        </w:rPr>
      </w:pPr>
    </w:p>
    <w:p w14:paraId="2F61FC79" w14:textId="77777777" w:rsidR="00663DA2" w:rsidRPr="004148B6" w:rsidRDefault="00663DA2" w:rsidP="00663DA2">
      <w:pPr>
        <w:jc w:val="both"/>
        <w:rPr>
          <w:rFonts w:cstheme="minorHAnsi"/>
        </w:rPr>
      </w:pPr>
    </w:p>
    <w:p w14:paraId="5D1F7882" w14:textId="77777777" w:rsidR="00663DA2" w:rsidRPr="004148B6" w:rsidRDefault="00663DA2" w:rsidP="00663DA2">
      <w:pPr>
        <w:jc w:val="both"/>
        <w:rPr>
          <w:rFonts w:cstheme="minorHAnsi"/>
        </w:rPr>
      </w:pPr>
      <w:r w:rsidRPr="004148B6">
        <w:rPr>
          <w:rFonts w:cstheme="minorHAnsi"/>
        </w:rPr>
        <w:t>...........................................</w:t>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t>...........................................</w:t>
      </w:r>
    </w:p>
    <w:p w14:paraId="6A316450" w14:textId="77777777" w:rsidR="00922743" w:rsidRPr="004148B6" w:rsidRDefault="00663DA2" w:rsidP="00922743">
      <w:pPr>
        <w:spacing w:line="276" w:lineRule="auto"/>
        <w:rPr>
          <w:rFonts w:cstheme="minorHAnsi"/>
          <w:b/>
          <w:bCs/>
        </w:rPr>
      </w:pPr>
      <w:r w:rsidRPr="004148B6">
        <w:rPr>
          <w:rFonts w:cstheme="minorHAnsi"/>
          <w:b/>
          <w:bCs/>
        </w:rPr>
        <w:t>Městská část Praha-Vinoř</w:t>
      </w:r>
      <w:r w:rsidRPr="004148B6">
        <w:rPr>
          <w:rFonts w:cstheme="minorHAnsi"/>
          <w:b/>
          <w:bCs/>
        </w:rPr>
        <w:tab/>
      </w:r>
      <w:r w:rsidRPr="004148B6">
        <w:rPr>
          <w:rFonts w:cstheme="minorHAnsi"/>
          <w:b/>
          <w:bCs/>
        </w:rPr>
        <w:tab/>
      </w:r>
      <w:r w:rsidRPr="004148B6">
        <w:rPr>
          <w:rFonts w:cstheme="minorHAnsi"/>
          <w:b/>
          <w:bCs/>
        </w:rPr>
        <w:tab/>
      </w:r>
      <w:r w:rsidRPr="004148B6">
        <w:rPr>
          <w:rFonts w:cstheme="minorHAnsi"/>
          <w:b/>
          <w:bCs/>
        </w:rPr>
        <w:tab/>
      </w:r>
      <w:r w:rsidRPr="004148B6">
        <w:rPr>
          <w:rFonts w:cstheme="minorHAnsi"/>
          <w:b/>
          <w:bCs/>
        </w:rPr>
        <w:tab/>
      </w:r>
      <w:proofErr w:type="spellStart"/>
      <w:r w:rsidR="00922743" w:rsidRPr="004148B6">
        <w:rPr>
          <w:rFonts w:cstheme="minorHAnsi"/>
          <w:b/>
          <w:bCs/>
        </w:rPr>
        <w:t>Scancom</w:t>
      </w:r>
      <w:proofErr w:type="spellEnd"/>
      <w:r w:rsidR="00922743" w:rsidRPr="004148B6">
        <w:rPr>
          <w:rFonts w:cstheme="minorHAnsi"/>
          <w:b/>
          <w:bCs/>
        </w:rPr>
        <w:t xml:space="preserve"> s.r.o.</w:t>
      </w:r>
    </w:p>
    <w:p w14:paraId="27EF665A" w14:textId="5C41F251" w:rsidR="00663DA2" w:rsidRPr="004148B6" w:rsidRDefault="00663DA2" w:rsidP="00663DA2">
      <w:pPr>
        <w:jc w:val="both"/>
        <w:rPr>
          <w:rFonts w:cstheme="minorHAnsi"/>
        </w:rPr>
      </w:pPr>
      <w:r w:rsidRPr="004148B6">
        <w:rPr>
          <w:rFonts w:cstheme="minorHAnsi"/>
        </w:rPr>
        <w:t>Ing. Michal Biskup</w:t>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00922743" w:rsidRPr="004148B6">
        <w:rPr>
          <w:rFonts w:cstheme="minorHAnsi"/>
        </w:rPr>
        <w:t xml:space="preserve">Stefan </w:t>
      </w:r>
      <w:proofErr w:type="spellStart"/>
      <w:r w:rsidR="00922743" w:rsidRPr="004148B6">
        <w:rPr>
          <w:rFonts w:cstheme="minorHAnsi"/>
        </w:rPr>
        <w:t>Lager</w:t>
      </w:r>
      <w:proofErr w:type="spellEnd"/>
      <w:r w:rsidR="00922743">
        <w:rPr>
          <w:rFonts w:cstheme="minorHAnsi"/>
        </w:rPr>
        <w:t xml:space="preserve"> </w:t>
      </w:r>
    </w:p>
    <w:p w14:paraId="26365939" w14:textId="20E8C3BB" w:rsidR="00663DA2" w:rsidRPr="004148B6" w:rsidRDefault="00663DA2" w:rsidP="00663DA2">
      <w:pPr>
        <w:jc w:val="both"/>
        <w:rPr>
          <w:rFonts w:cstheme="minorHAnsi"/>
        </w:rPr>
      </w:pPr>
      <w:r w:rsidRPr="004148B6">
        <w:rPr>
          <w:rFonts w:cstheme="minorHAnsi"/>
        </w:rPr>
        <w:t>starosta</w:t>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00922743" w:rsidRPr="004148B6">
        <w:rPr>
          <w:rFonts w:cstheme="minorHAnsi"/>
        </w:rPr>
        <w:t>jednatel</w:t>
      </w:r>
    </w:p>
    <w:p w14:paraId="0E09A0F9" w14:textId="42B7F812" w:rsidR="00663DA2" w:rsidRPr="004148B6" w:rsidRDefault="00663DA2" w:rsidP="00663DA2">
      <w:pPr>
        <w:jc w:val="both"/>
        <w:rPr>
          <w:rFonts w:cstheme="minorHAnsi"/>
        </w:rPr>
      </w:pPr>
      <w:r w:rsidRPr="004148B6">
        <w:rPr>
          <w:rFonts w:cstheme="minorHAnsi"/>
        </w:rPr>
        <w:t>(</w:t>
      </w:r>
      <w:r w:rsidR="00922743">
        <w:rPr>
          <w:rFonts w:cstheme="minorHAnsi"/>
        </w:rPr>
        <w:t>budoucí povinný</w:t>
      </w:r>
      <w:r w:rsidRPr="004148B6">
        <w:rPr>
          <w:rFonts w:cstheme="minorHAnsi"/>
        </w:rPr>
        <w:t>)</w:t>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r>
      <w:r w:rsidRPr="004148B6">
        <w:rPr>
          <w:rFonts w:cstheme="minorHAnsi"/>
        </w:rPr>
        <w:tab/>
        <w:t>(</w:t>
      </w:r>
      <w:r w:rsidR="00922743">
        <w:rPr>
          <w:rFonts w:cstheme="minorHAnsi"/>
        </w:rPr>
        <w:t>budoucí oprávněný</w:t>
      </w:r>
      <w:r w:rsidRPr="004148B6">
        <w:rPr>
          <w:rFonts w:cstheme="minorHAnsi"/>
        </w:rPr>
        <w:t>)</w:t>
      </w:r>
      <w:r w:rsidRPr="004148B6">
        <w:rPr>
          <w:rFonts w:cstheme="minorHAnsi"/>
        </w:rPr>
        <w:tab/>
      </w:r>
      <w:r w:rsidRPr="004148B6">
        <w:rPr>
          <w:rFonts w:cstheme="minorHAnsi"/>
        </w:rPr>
        <w:tab/>
      </w:r>
    </w:p>
    <w:p w14:paraId="22712BF4" w14:textId="77777777" w:rsidR="00663DA2" w:rsidRPr="004148B6" w:rsidRDefault="00663DA2" w:rsidP="00663DA2">
      <w:pPr>
        <w:jc w:val="both"/>
        <w:rPr>
          <w:rFonts w:cstheme="minorHAnsi"/>
        </w:rPr>
      </w:pPr>
    </w:p>
    <w:p w14:paraId="389ED4A3" w14:textId="77777777" w:rsidR="009C7E77" w:rsidRPr="004148B6" w:rsidRDefault="009C7E77" w:rsidP="00663DA2">
      <w:pPr>
        <w:jc w:val="both"/>
        <w:rPr>
          <w:rFonts w:cstheme="minorHAnsi"/>
        </w:rPr>
      </w:pPr>
    </w:p>
    <w:sectPr w:rsidR="009C7E77" w:rsidRPr="004148B6" w:rsidSect="006D1DCC">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BC63" w14:textId="77777777" w:rsidR="007608BB" w:rsidRDefault="007608BB" w:rsidP="004148B6">
      <w:r>
        <w:separator/>
      </w:r>
    </w:p>
  </w:endnote>
  <w:endnote w:type="continuationSeparator" w:id="0">
    <w:p w14:paraId="25C94D76" w14:textId="77777777" w:rsidR="007608BB" w:rsidRDefault="007608BB" w:rsidP="0041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6365" w14:textId="77777777" w:rsidR="007608BB" w:rsidRDefault="007608BB" w:rsidP="004148B6">
      <w:r>
        <w:separator/>
      </w:r>
    </w:p>
  </w:footnote>
  <w:footnote w:type="continuationSeparator" w:id="0">
    <w:p w14:paraId="7E0FB93E" w14:textId="77777777" w:rsidR="007608BB" w:rsidRDefault="007608BB" w:rsidP="0041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3D63" w14:textId="07B4F62B" w:rsidR="004148B6" w:rsidRDefault="004148B6" w:rsidP="004148B6">
    <w:pPr>
      <w:pStyle w:val="Zhlav"/>
      <w:jc w:val="right"/>
    </w:pPr>
    <w:r w:rsidRPr="00E050F2">
      <w:t xml:space="preserve">č. </w:t>
    </w:r>
    <w:r w:rsidR="00E050F2" w:rsidRPr="00E050F2">
      <w:t>SML/55/1090/0163/2023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753"/>
    <w:multiLevelType w:val="hybridMultilevel"/>
    <w:tmpl w:val="F11EB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F1B28"/>
    <w:multiLevelType w:val="hybridMultilevel"/>
    <w:tmpl w:val="EA460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4740E7"/>
    <w:multiLevelType w:val="hybridMultilevel"/>
    <w:tmpl w:val="26AC1FB8"/>
    <w:lvl w:ilvl="0" w:tplc="0405000F">
      <w:start w:val="1"/>
      <w:numFmt w:val="decimal"/>
      <w:lvlText w:val="%1."/>
      <w:lvlJc w:val="left"/>
      <w:pPr>
        <w:ind w:left="4260" w:hanging="360"/>
      </w:p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3" w15:restartNumberingAfterBreak="0">
    <w:nsid w:val="26DE5473"/>
    <w:multiLevelType w:val="hybridMultilevel"/>
    <w:tmpl w:val="F11EBA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AC6EA5"/>
    <w:multiLevelType w:val="hybridMultilevel"/>
    <w:tmpl w:val="AB960336"/>
    <w:lvl w:ilvl="0" w:tplc="A2F66544">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E35D44"/>
    <w:multiLevelType w:val="hybridMultilevel"/>
    <w:tmpl w:val="920ED09A"/>
    <w:lvl w:ilvl="0" w:tplc="D4AA2860">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0A7C0A"/>
    <w:multiLevelType w:val="hybridMultilevel"/>
    <w:tmpl w:val="26AC1FB8"/>
    <w:lvl w:ilvl="0" w:tplc="FFFFFFFF">
      <w:start w:val="1"/>
      <w:numFmt w:val="decimal"/>
      <w:lvlText w:val="%1."/>
      <w:lvlJc w:val="left"/>
      <w:pPr>
        <w:ind w:left="4260" w:hanging="360"/>
      </w:p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num w:numId="1" w16cid:durableId="2057660610">
    <w:abstractNumId w:val="1"/>
  </w:num>
  <w:num w:numId="2" w16cid:durableId="662466200">
    <w:abstractNumId w:val="5"/>
  </w:num>
  <w:num w:numId="3" w16cid:durableId="521751667">
    <w:abstractNumId w:val="3"/>
  </w:num>
  <w:num w:numId="4" w16cid:durableId="172842265">
    <w:abstractNumId w:val="0"/>
  </w:num>
  <w:num w:numId="5" w16cid:durableId="55394201">
    <w:abstractNumId w:val="2"/>
  </w:num>
  <w:num w:numId="6" w16cid:durableId="1265528287">
    <w:abstractNumId w:val="4"/>
  </w:num>
  <w:num w:numId="7" w16cid:durableId="1698584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A2"/>
    <w:rsid w:val="00057FF0"/>
    <w:rsid w:val="001311D8"/>
    <w:rsid w:val="001C2264"/>
    <w:rsid w:val="004148B6"/>
    <w:rsid w:val="004361FD"/>
    <w:rsid w:val="004F02F6"/>
    <w:rsid w:val="006604C2"/>
    <w:rsid w:val="00663DA2"/>
    <w:rsid w:val="006D1DCC"/>
    <w:rsid w:val="007608BB"/>
    <w:rsid w:val="00922743"/>
    <w:rsid w:val="009C2F34"/>
    <w:rsid w:val="009C7E77"/>
    <w:rsid w:val="00BD1D90"/>
    <w:rsid w:val="00D86C62"/>
    <w:rsid w:val="00E050F2"/>
    <w:rsid w:val="00E34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C52C"/>
  <w15:chartTrackingRefBased/>
  <w15:docId w15:val="{C7392D25-3437-714E-800C-57F68A6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D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rsid w:val="004361FD"/>
    <w:pPr>
      <w:spacing w:before="120"/>
    </w:pPr>
    <w:rPr>
      <w:rFonts w:ascii="Cambria" w:hAnsi="Cambria" w:cstheme="minorHAnsi"/>
      <w:b/>
      <w:bCs/>
      <w:iCs/>
      <w:color w:val="2F5496" w:themeColor="accent1" w:themeShade="BF"/>
    </w:rPr>
  </w:style>
  <w:style w:type="paragraph" w:styleId="Odstavecseseznamem">
    <w:name w:val="List Paragraph"/>
    <w:basedOn w:val="Normln"/>
    <w:uiPriority w:val="34"/>
    <w:qFormat/>
    <w:rsid w:val="00663DA2"/>
    <w:pPr>
      <w:ind w:left="720"/>
      <w:contextualSpacing/>
    </w:pPr>
  </w:style>
  <w:style w:type="paragraph" w:styleId="Normlnweb">
    <w:name w:val="Normal (Web)"/>
    <w:basedOn w:val="Normln"/>
    <w:uiPriority w:val="99"/>
    <w:unhideWhenUsed/>
    <w:rsid w:val="00663DA2"/>
    <w:pPr>
      <w:spacing w:before="100" w:beforeAutospacing="1" w:after="100" w:afterAutospacing="1"/>
    </w:pPr>
    <w:rPr>
      <w:rFonts w:ascii="Times New Roman" w:eastAsia="Times New Roman" w:hAnsi="Times New Roman" w:cs="Times New Roman"/>
      <w:lang w:eastAsia="cs-CZ"/>
    </w:rPr>
  </w:style>
  <w:style w:type="character" w:styleId="Siln">
    <w:name w:val="Strong"/>
    <w:qFormat/>
    <w:rsid w:val="00663DA2"/>
    <w:rPr>
      <w:b/>
    </w:rPr>
  </w:style>
  <w:style w:type="character" w:customStyle="1" w:styleId="ZkladntextChar">
    <w:name w:val="Základní text Char"/>
    <w:link w:val="Tlotextu"/>
    <w:locked/>
    <w:rsid w:val="00663DA2"/>
  </w:style>
  <w:style w:type="paragraph" w:customStyle="1" w:styleId="Tlotextu">
    <w:name w:val="Tělo textu"/>
    <w:basedOn w:val="Normln"/>
    <w:link w:val="ZkladntextChar"/>
    <w:rsid w:val="00663DA2"/>
    <w:pPr>
      <w:suppressAutoHyphens/>
      <w:spacing w:line="288" w:lineRule="auto"/>
      <w:jc w:val="center"/>
    </w:pPr>
  </w:style>
  <w:style w:type="paragraph" w:styleId="Zhlav">
    <w:name w:val="header"/>
    <w:basedOn w:val="Normln"/>
    <w:link w:val="ZhlavChar"/>
    <w:uiPriority w:val="99"/>
    <w:unhideWhenUsed/>
    <w:rsid w:val="004148B6"/>
    <w:pPr>
      <w:tabs>
        <w:tab w:val="center" w:pos="4536"/>
        <w:tab w:val="right" w:pos="9072"/>
      </w:tabs>
    </w:pPr>
  </w:style>
  <w:style w:type="character" w:customStyle="1" w:styleId="ZhlavChar">
    <w:name w:val="Záhlaví Char"/>
    <w:basedOn w:val="Standardnpsmoodstavce"/>
    <w:link w:val="Zhlav"/>
    <w:uiPriority w:val="99"/>
    <w:rsid w:val="004148B6"/>
  </w:style>
  <w:style w:type="paragraph" w:styleId="Zpat">
    <w:name w:val="footer"/>
    <w:basedOn w:val="Normln"/>
    <w:link w:val="ZpatChar"/>
    <w:uiPriority w:val="99"/>
    <w:unhideWhenUsed/>
    <w:rsid w:val="004148B6"/>
    <w:pPr>
      <w:tabs>
        <w:tab w:val="center" w:pos="4536"/>
        <w:tab w:val="right" w:pos="9072"/>
      </w:tabs>
    </w:pPr>
  </w:style>
  <w:style w:type="character" w:customStyle="1" w:styleId="ZpatChar">
    <w:name w:val="Zápatí Char"/>
    <w:basedOn w:val="Standardnpsmoodstavce"/>
    <w:link w:val="Zpat"/>
    <w:uiPriority w:val="99"/>
    <w:rsid w:val="0041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358</Words>
  <Characters>2118</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Nová</dc:creator>
  <cp:keywords/>
  <dc:description/>
  <cp:lastModifiedBy>Tommáš Sém</cp:lastModifiedBy>
  <cp:revision>4</cp:revision>
  <dcterms:created xsi:type="dcterms:W3CDTF">2023-02-20T12:50:00Z</dcterms:created>
  <dcterms:modified xsi:type="dcterms:W3CDTF">2023-04-28T09:34:00Z</dcterms:modified>
</cp:coreProperties>
</file>