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3C0C" w14:textId="254C80C4" w:rsidR="00944A28" w:rsidRPr="005E313B" w:rsidRDefault="002B34CC" w:rsidP="002B34CC">
      <w:pPr>
        <w:pStyle w:val="Titul"/>
        <w:spacing w:before="1560"/>
        <w:ind w:right="992"/>
        <w:rPr>
          <w:rFonts w:ascii="NettoPro" w:hAnsi="NettoPro" w:cs="NettoPro"/>
          <w:b w:val="0"/>
          <w:sz w:val="56"/>
          <w:szCs w:val="56"/>
        </w:rPr>
      </w:pPr>
      <w:r w:rsidRPr="005E313B">
        <w:rPr>
          <w:rFonts w:ascii="NettoPro" w:hAnsi="NettoPro" w:cs="NettoPro"/>
          <w:b w:val="0"/>
          <w:sz w:val="56"/>
          <w:szCs w:val="56"/>
        </w:rPr>
        <w:t>Smlouva o poskytování</w:t>
      </w:r>
      <w:r w:rsidRPr="005E313B">
        <w:rPr>
          <w:rFonts w:ascii="NettoPro" w:hAnsi="NettoPro" w:cs="NettoPro"/>
          <w:b w:val="0"/>
          <w:sz w:val="56"/>
          <w:szCs w:val="56"/>
        </w:rPr>
        <w:br/>
        <w:t>a využívání informací</w:t>
      </w:r>
    </w:p>
    <w:p w14:paraId="0D916EC1" w14:textId="0911CD29" w:rsidR="00E2654A" w:rsidRPr="005E313B" w:rsidRDefault="00E2654A" w:rsidP="00F75785">
      <w:pPr>
        <w:rPr>
          <w:rFonts w:ascii="NettoPro" w:hAnsi="NettoPro" w:cs="NettoPro"/>
        </w:rPr>
      </w:pPr>
    </w:p>
    <w:p w14:paraId="1F52A627" w14:textId="77777777" w:rsidR="002B34CC" w:rsidRPr="005E313B" w:rsidRDefault="002B34CC" w:rsidP="00DA7E72">
      <w:pPr>
        <w:pStyle w:val="Mezinadpis"/>
        <w:spacing w:before="720"/>
        <w:rPr>
          <w:rFonts w:ascii="NettoPro" w:hAnsi="NettoPro" w:cs="NettoPro"/>
          <w:b w:val="0"/>
        </w:rPr>
      </w:pPr>
      <w:r w:rsidRPr="005E313B">
        <w:rPr>
          <w:rFonts w:ascii="NettoPro" w:hAnsi="NettoPro" w:cs="NettoPro"/>
          <w:b w:val="0"/>
        </w:rPr>
        <w:t>Dnešního dne uzavřely:</w:t>
      </w:r>
    </w:p>
    <w:p w14:paraId="40BCD6F2" w14:textId="77777777" w:rsidR="002B34CC" w:rsidRPr="005E313B" w:rsidRDefault="002B34CC" w:rsidP="002B34CC">
      <w:pPr>
        <w:pStyle w:val="podtitul"/>
        <w:rPr>
          <w:rFonts w:ascii="NettoPro" w:hAnsi="NettoPro" w:cs="NettoPro"/>
          <w:b w:val="0"/>
        </w:rPr>
      </w:pPr>
      <w:r w:rsidRPr="005E313B">
        <w:rPr>
          <w:rFonts w:ascii="NettoPro" w:hAnsi="NettoPro" w:cs="NettoPro"/>
          <w:b w:val="0"/>
        </w:rPr>
        <w:t xml:space="preserve">NEWTON Media, a.s. </w:t>
      </w:r>
    </w:p>
    <w:p w14:paraId="278EE545" w14:textId="77777777" w:rsidR="002B34CC" w:rsidRPr="005E313B" w:rsidRDefault="002B34CC" w:rsidP="002B34CC">
      <w:pPr>
        <w:ind w:left="709"/>
        <w:rPr>
          <w:rFonts w:ascii="NettoPro" w:hAnsi="NettoPro" w:cs="NettoPro"/>
        </w:rPr>
      </w:pPr>
      <w:r w:rsidRPr="005E313B">
        <w:rPr>
          <w:rFonts w:ascii="NettoPro" w:hAnsi="NettoPro" w:cs="NettoPro"/>
        </w:rPr>
        <w:t xml:space="preserve">zapsaná v obchodním rejstříku vedeném Městským soudem v Praze, </w:t>
      </w:r>
    </w:p>
    <w:p w14:paraId="2FFE5C5D" w14:textId="77777777" w:rsidR="002B34CC" w:rsidRPr="005E313B" w:rsidRDefault="002B34CC" w:rsidP="002B34CC">
      <w:pPr>
        <w:ind w:left="709"/>
        <w:rPr>
          <w:rFonts w:ascii="NettoPro" w:hAnsi="NettoPro" w:cs="NettoPro"/>
        </w:rPr>
      </w:pPr>
      <w:r w:rsidRPr="005E313B">
        <w:rPr>
          <w:rFonts w:ascii="NettoPro" w:hAnsi="NettoPro" w:cs="NettoPro"/>
        </w:rPr>
        <w:t>oddíl B, vložka 12446</w:t>
      </w:r>
    </w:p>
    <w:p w14:paraId="4C2A1C86" w14:textId="77777777" w:rsidR="002B34CC" w:rsidRPr="005E313B" w:rsidRDefault="002B34CC" w:rsidP="002B34CC">
      <w:pPr>
        <w:ind w:left="709"/>
        <w:rPr>
          <w:rFonts w:ascii="NettoPro" w:hAnsi="NettoPro" w:cs="NettoPro"/>
        </w:rPr>
      </w:pPr>
      <w:r w:rsidRPr="005E313B">
        <w:rPr>
          <w:rFonts w:ascii="NettoPro" w:hAnsi="NettoPro" w:cs="NettoPro"/>
        </w:rPr>
        <w:t>se sídlem Praha 4, Na Pankráci 1683/127, PSČ 140 00</w:t>
      </w:r>
    </w:p>
    <w:p w14:paraId="06951820" w14:textId="77777777" w:rsidR="002B34CC" w:rsidRPr="005E313B" w:rsidRDefault="002B34CC" w:rsidP="002B34CC">
      <w:pPr>
        <w:ind w:left="709"/>
        <w:rPr>
          <w:rFonts w:ascii="NettoPro" w:hAnsi="NettoPro" w:cs="NettoPro"/>
        </w:rPr>
      </w:pPr>
      <w:r w:rsidRPr="005E313B">
        <w:rPr>
          <w:rFonts w:ascii="NettoPro" w:hAnsi="NettoPro" w:cs="NettoPro"/>
        </w:rPr>
        <w:t>IČ: 28168356, DIČ: CZ28168356</w:t>
      </w:r>
    </w:p>
    <w:p w14:paraId="20CB3621" w14:textId="54B79FA4" w:rsidR="002B34CC" w:rsidRPr="005E313B" w:rsidRDefault="002B34CC" w:rsidP="002B34CC">
      <w:pPr>
        <w:ind w:left="709"/>
        <w:rPr>
          <w:rFonts w:ascii="NettoPro" w:hAnsi="NettoPro" w:cs="NettoPro"/>
        </w:rPr>
      </w:pPr>
      <w:r w:rsidRPr="005E313B">
        <w:rPr>
          <w:rFonts w:ascii="NettoPro" w:hAnsi="NettoPro" w:cs="NettoPro"/>
        </w:rPr>
        <w:t xml:space="preserve">bankovní spojení: </w:t>
      </w:r>
      <w:r w:rsidR="006E1F2F">
        <w:rPr>
          <w:rFonts w:ascii="NettoPro" w:hAnsi="NettoPro" w:cs="NettoPro"/>
        </w:rPr>
        <w:t>xxxxxxxxx</w:t>
      </w:r>
      <w:r w:rsidRPr="005E313B">
        <w:rPr>
          <w:rFonts w:ascii="NettoPro" w:hAnsi="NettoPro" w:cs="NettoPro"/>
        </w:rPr>
        <w:t xml:space="preserve">, a.s., č. účtu: </w:t>
      </w:r>
      <w:r w:rsidR="006E1F2F">
        <w:rPr>
          <w:rFonts w:ascii="NettoPro" w:hAnsi="NettoPro" w:cs="NettoPro"/>
        </w:rPr>
        <w:t>xxxxxxxxxxxxxxx</w:t>
      </w:r>
    </w:p>
    <w:p w14:paraId="2EE853CD" w14:textId="77777777" w:rsidR="002B34CC" w:rsidRPr="005E313B" w:rsidRDefault="002B34CC" w:rsidP="002B34CC">
      <w:pPr>
        <w:ind w:left="709"/>
        <w:rPr>
          <w:rFonts w:ascii="NettoPro" w:hAnsi="NettoPro" w:cs="NettoPro"/>
        </w:rPr>
      </w:pPr>
      <w:r w:rsidRPr="005E313B">
        <w:rPr>
          <w:rFonts w:ascii="NettoPro" w:hAnsi="NettoPro" w:cs="NettoPro"/>
        </w:rPr>
        <w:t>zastoupená: Ing. Petrem Herianem, předsedou představenstva</w:t>
      </w:r>
    </w:p>
    <w:p w14:paraId="21E3A1B6" w14:textId="77777777" w:rsidR="002B34CC" w:rsidRPr="005E313B" w:rsidRDefault="002B34CC" w:rsidP="002B34CC">
      <w:pPr>
        <w:ind w:left="709"/>
        <w:rPr>
          <w:rFonts w:ascii="NettoPro" w:hAnsi="NettoPro" w:cs="NettoPro"/>
        </w:rPr>
      </w:pPr>
      <w:r w:rsidRPr="005E313B">
        <w:rPr>
          <w:rFonts w:ascii="NettoPro" w:hAnsi="NettoPro" w:cs="NettoPro"/>
        </w:rPr>
        <w:t>(dále jen „dodavatel“)</w:t>
      </w:r>
    </w:p>
    <w:p w14:paraId="34BF8C79" w14:textId="77777777" w:rsidR="002B34CC" w:rsidRPr="005E313B" w:rsidRDefault="002B34CC" w:rsidP="002B34CC">
      <w:pPr>
        <w:ind w:left="709"/>
        <w:rPr>
          <w:rFonts w:ascii="NettoPro" w:hAnsi="NettoPro" w:cs="NettoPro"/>
        </w:rPr>
      </w:pPr>
    </w:p>
    <w:p w14:paraId="337CD121" w14:textId="77777777" w:rsidR="002B34CC" w:rsidRPr="005E313B" w:rsidRDefault="002B34CC" w:rsidP="002B34CC">
      <w:pPr>
        <w:jc w:val="center"/>
        <w:rPr>
          <w:rFonts w:ascii="NettoPro" w:hAnsi="NettoPro" w:cs="NettoPro"/>
        </w:rPr>
      </w:pPr>
      <w:r w:rsidRPr="005E313B">
        <w:rPr>
          <w:rFonts w:ascii="NettoPro" w:hAnsi="NettoPro" w:cs="NettoPro"/>
        </w:rPr>
        <w:t>- na straně jedné -</w:t>
      </w:r>
    </w:p>
    <w:p w14:paraId="566FAA4A" w14:textId="77777777" w:rsidR="002B34CC" w:rsidRPr="005E313B" w:rsidRDefault="002B34CC" w:rsidP="002B34CC">
      <w:pPr>
        <w:rPr>
          <w:rFonts w:ascii="NettoPro" w:hAnsi="NettoPro" w:cs="NettoPro"/>
        </w:rPr>
      </w:pPr>
    </w:p>
    <w:p w14:paraId="14E4C7C8" w14:textId="77777777" w:rsidR="002B34CC" w:rsidRPr="005E313B" w:rsidRDefault="002B34CC" w:rsidP="002B34CC">
      <w:pPr>
        <w:jc w:val="center"/>
        <w:rPr>
          <w:rFonts w:ascii="NettoPro" w:hAnsi="NettoPro" w:cs="NettoPro"/>
        </w:rPr>
      </w:pPr>
      <w:r w:rsidRPr="005E313B">
        <w:rPr>
          <w:rFonts w:ascii="NettoPro" w:hAnsi="NettoPro" w:cs="NettoPro"/>
        </w:rPr>
        <w:t>a</w:t>
      </w:r>
    </w:p>
    <w:p w14:paraId="651EF280" w14:textId="5CF591E3" w:rsidR="00ED5B4F" w:rsidRPr="005E313B" w:rsidRDefault="00ED5B4F" w:rsidP="00762C42">
      <w:pPr>
        <w:spacing w:line="360" w:lineRule="atLeast"/>
        <w:rPr>
          <w:rFonts w:ascii="NettoPro" w:hAnsi="NettoPro" w:cs="NettoPro"/>
          <w:sz w:val="24"/>
        </w:rPr>
      </w:pPr>
      <w:r w:rsidRPr="005E313B">
        <w:rPr>
          <w:rFonts w:ascii="NettoPro" w:eastAsia="Times New Roman" w:hAnsi="NettoPro" w:cs="NettoPro"/>
          <w:b/>
          <w:bCs/>
          <w:color w:val="333333"/>
          <w:sz w:val="18"/>
          <w:szCs w:val="18"/>
          <w:bdr w:val="none" w:sz="0" w:space="0" w:color="auto" w:frame="1"/>
          <w:lang w:eastAsia="cs-CZ"/>
        </w:rPr>
        <w:br/>
      </w:r>
      <w:r w:rsidR="00762C42" w:rsidRPr="005E313B">
        <w:rPr>
          <w:rFonts w:ascii="NettoPro" w:hAnsi="NettoPro" w:cs="NettoPro"/>
          <w:sz w:val="24"/>
        </w:rPr>
        <w:t>Karlovarská agentura rozvoje podnikání, p. o.</w:t>
      </w:r>
    </w:p>
    <w:p w14:paraId="394BF0BF" w14:textId="77777777" w:rsidR="00762C42" w:rsidRPr="005E313B" w:rsidRDefault="00762C42" w:rsidP="00ED5B4F">
      <w:pPr>
        <w:spacing w:line="360" w:lineRule="atLeast"/>
        <w:rPr>
          <w:rFonts w:ascii="NettoPro" w:eastAsia="Times New Roman" w:hAnsi="NettoPro" w:cs="NettoPro"/>
          <w:color w:val="333333"/>
          <w:sz w:val="18"/>
          <w:szCs w:val="18"/>
          <w:lang w:eastAsia="cs-CZ"/>
        </w:rPr>
      </w:pPr>
    </w:p>
    <w:p w14:paraId="03844A32" w14:textId="562F19B8" w:rsidR="002B34CC" w:rsidRPr="005E313B" w:rsidRDefault="002B34CC" w:rsidP="004C7697">
      <w:pPr>
        <w:ind w:firstLine="709"/>
        <w:rPr>
          <w:rFonts w:ascii="NettoPro" w:hAnsi="NettoPro" w:cs="NettoPro"/>
        </w:rPr>
      </w:pPr>
      <w:r w:rsidRPr="005E313B">
        <w:rPr>
          <w:rFonts w:ascii="NettoPro" w:hAnsi="NettoPro" w:cs="NettoPro"/>
        </w:rPr>
        <w:t>zapsaná v obchodním rejstříku vedeném</w:t>
      </w:r>
      <w:r w:rsidR="00ED5B4F" w:rsidRPr="005E313B">
        <w:rPr>
          <w:rFonts w:ascii="NettoPro" w:hAnsi="NettoPro" w:cs="NettoPro"/>
        </w:rPr>
        <w:t xml:space="preserve"> </w:t>
      </w:r>
      <w:r w:rsidR="00762C42" w:rsidRPr="005E313B">
        <w:rPr>
          <w:rFonts w:ascii="NettoPro" w:hAnsi="NettoPro" w:cs="NettoPro"/>
        </w:rPr>
        <w:t>soudem v Plzni,</w:t>
      </w:r>
    </w:p>
    <w:p w14:paraId="051F0D6D" w14:textId="1CB177D5" w:rsidR="002B34CC" w:rsidRPr="005E313B" w:rsidRDefault="002B34CC" w:rsidP="002B34CC">
      <w:pPr>
        <w:ind w:firstLine="709"/>
        <w:rPr>
          <w:rFonts w:ascii="NettoPro" w:hAnsi="NettoPro" w:cs="NettoPro"/>
        </w:rPr>
      </w:pPr>
      <w:r w:rsidRPr="005E313B">
        <w:rPr>
          <w:rFonts w:ascii="NettoPro" w:hAnsi="NettoPro" w:cs="NettoPro"/>
        </w:rPr>
        <w:t xml:space="preserve">se sídlem </w:t>
      </w:r>
      <w:r w:rsidR="00762C42" w:rsidRPr="005E313B">
        <w:rPr>
          <w:rFonts w:ascii="NettoPro" w:hAnsi="NettoPro" w:cs="NettoPro"/>
        </w:rPr>
        <w:t>Závodní 278, 360 18 Karlovy Vary</w:t>
      </w:r>
    </w:p>
    <w:p w14:paraId="1352B6FD" w14:textId="4AB77D54" w:rsidR="002B34CC" w:rsidRPr="005E313B" w:rsidRDefault="002B34CC" w:rsidP="002B34CC">
      <w:pPr>
        <w:ind w:firstLine="709"/>
        <w:rPr>
          <w:rFonts w:ascii="NettoPro" w:hAnsi="NettoPro" w:cs="NettoPro"/>
        </w:rPr>
      </w:pPr>
      <w:r w:rsidRPr="005E313B">
        <w:rPr>
          <w:rFonts w:ascii="NettoPro" w:hAnsi="NettoPro" w:cs="NettoPro"/>
        </w:rPr>
        <w:t>IČ:</w:t>
      </w:r>
      <w:r w:rsidR="00762C42" w:rsidRPr="005E313B">
        <w:rPr>
          <w:rFonts w:ascii="NettoPro" w:hAnsi="NettoPro" w:cs="NettoPro"/>
        </w:rPr>
        <w:t xml:space="preserve"> 72053666</w:t>
      </w:r>
      <w:r w:rsidRPr="005E313B">
        <w:rPr>
          <w:rFonts w:ascii="NettoPro" w:hAnsi="NettoPro" w:cs="NettoPro"/>
        </w:rPr>
        <w:t xml:space="preserve">, DIČ: </w:t>
      </w:r>
      <w:r w:rsidR="00762C42" w:rsidRPr="005E313B">
        <w:rPr>
          <w:rFonts w:ascii="NettoPro" w:hAnsi="NettoPro" w:cs="NettoPro"/>
        </w:rPr>
        <w:t>CZ72053666</w:t>
      </w:r>
    </w:p>
    <w:p w14:paraId="6742B7B6" w14:textId="66A4A4A0" w:rsidR="002B34CC" w:rsidRPr="005E313B" w:rsidRDefault="002B34CC" w:rsidP="002B34CC">
      <w:pPr>
        <w:ind w:firstLine="709"/>
        <w:rPr>
          <w:rFonts w:ascii="NettoPro" w:hAnsi="NettoPro" w:cs="NettoPro"/>
        </w:rPr>
      </w:pPr>
      <w:r w:rsidRPr="005E313B">
        <w:rPr>
          <w:rFonts w:ascii="NettoPro" w:hAnsi="NettoPro" w:cs="NettoPro"/>
        </w:rPr>
        <w:t xml:space="preserve">bankovní spojení: </w:t>
      </w:r>
      <w:r w:rsidR="00EF1CAC">
        <w:rPr>
          <w:rFonts w:ascii="NettoPro" w:hAnsi="NettoPro" w:cs="NettoPro"/>
        </w:rPr>
        <w:t>xxxxxxxxx</w:t>
      </w:r>
      <w:r w:rsidRPr="005E313B">
        <w:rPr>
          <w:rFonts w:ascii="NettoPro" w:hAnsi="NettoPro" w:cs="NettoPro"/>
        </w:rPr>
        <w:t xml:space="preserve">, č. účtu: </w:t>
      </w:r>
      <w:r w:rsidR="006E1F2F">
        <w:rPr>
          <w:rFonts w:ascii="NettoPro" w:hAnsi="NettoPro" w:cs="NettoPro"/>
        </w:rPr>
        <w:t>xxxxxxxxxxxxxxx</w:t>
      </w:r>
    </w:p>
    <w:p w14:paraId="058EBCFA" w14:textId="465B1D95" w:rsidR="002B34CC" w:rsidRPr="00600A83" w:rsidRDefault="002B34CC" w:rsidP="002B34CC">
      <w:pPr>
        <w:ind w:firstLine="709"/>
        <w:rPr>
          <w:rFonts w:ascii="NettoPro" w:hAnsi="NettoPro" w:cs="NettoPro"/>
        </w:rPr>
      </w:pPr>
      <w:r w:rsidRPr="005E313B">
        <w:rPr>
          <w:rFonts w:ascii="NettoPro" w:hAnsi="NettoPro" w:cs="NettoPro"/>
        </w:rPr>
        <w:t xml:space="preserve">fakturační </w:t>
      </w:r>
      <w:r w:rsidRPr="00600A83">
        <w:rPr>
          <w:rFonts w:ascii="NettoPro" w:hAnsi="NettoPro" w:cs="NettoPro"/>
        </w:rPr>
        <w:t xml:space="preserve">e-mailová adresa: </w:t>
      </w:r>
      <w:r w:rsidR="006E1F2F">
        <w:rPr>
          <w:rFonts w:ascii="NettoPro" w:hAnsi="NettoPro" w:cs="NettoPro"/>
        </w:rPr>
        <w:t>xxxxxxxxxxxxx</w:t>
      </w:r>
    </w:p>
    <w:p w14:paraId="4FF47FF6" w14:textId="0141DA71" w:rsidR="002B34CC" w:rsidRPr="00600A83" w:rsidRDefault="002B34CC" w:rsidP="002B34CC">
      <w:pPr>
        <w:ind w:firstLine="709"/>
        <w:rPr>
          <w:rFonts w:ascii="NettoPro" w:hAnsi="NettoPro" w:cs="NettoPro"/>
        </w:rPr>
      </w:pPr>
      <w:r w:rsidRPr="00600A83">
        <w:rPr>
          <w:rFonts w:ascii="NettoPro" w:hAnsi="NettoPro" w:cs="NettoPro"/>
        </w:rPr>
        <w:t xml:space="preserve">zastoupená: </w:t>
      </w:r>
      <w:r w:rsidR="00832E9E" w:rsidRPr="00600A83">
        <w:rPr>
          <w:rFonts w:ascii="NettoPro" w:hAnsi="NettoPro" w:cs="NettoPro"/>
        </w:rPr>
        <w:t xml:space="preserve">Ing. </w:t>
      </w:r>
      <w:r w:rsidR="00211B7D" w:rsidRPr="00600A83">
        <w:rPr>
          <w:rFonts w:ascii="NettoPro" w:hAnsi="NettoPro" w:cs="NettoPro"/>
        </w:rPr>
        <w:t>Vlastimilem Veselým</w:t>
      </w:r>
      <w:r w:rsidRPr="00600A83">
        <w:rPr>
          <w:rFonts w:ascii="NettoPro" w:hAnsi="NettoPro" w:cs="NettoPro"/>
        </w:rPr>
        <w:t xml:space="preserve">, </w:t>
      </w:r>
      <w:r w:rsidR="00211B7D" w:rsidRPr="00600A83">
        <w:rPr>
          <w:rFonts w:ascii="NettoPro" w:hAnsi="NettoPro" w:cs="NettoPro"/>
        </w:rPr>
        <w:t>ředitelem</w:t>
      </w:r>
    </w:p>
    <w:p w14:paraId="71DDE298" w14:textId="77777777" w:rsidR="002B34CC" w:rsidRPr="005E313B" w:rsidRDefault="002B34CC" w:rsidP="002B34CC">
      <w:pPr>
        <w:ind w:firstLine="709"/>
        <w:rPr>
          <w:rFonts w:ascii="NettoPro" w:hAnsi="NettoPro" w:cs="NettoPro"/>
        </w:rPr>
      </w:pPr>
      <w:r w:rsidRPr="005E313B">
        <w:rPr>
          <w:rFonts w:ascii="NettoPro" w:hAnsi="NettoPro" w:cs="NettoPro"/>
        </w:rPr>
        <w:t>(dále jen „odběratel“)</w:t>
      </w:r>
    </w:p>
    <w:p w14:paraId="1C775565" w14:textId="77777777" w:rsidR="002B34CC" w:rsidRPr="005E313B" w:rsidRDefault="002B34CC" w:rsidP="00F62B93">
      <w:pPr>
        <w:jc w:val="center"/>
        <w:rPr>
          <w:rFonts w:ascii="NettoPro" w:hAnsi="NettoPro" w:cs="NettoPro"/>
        </w:rPr>
      </w:pPr>
      <w:r w:rsidRPr="005E313B">
        <w:rPr>
          <w:rFonts w:ascii="NettoPro" w:hAnsi="NettoPro" w:cs="NettoPro"/>
        </w:rPr>
        <w:t>- na straně druhé -</w:t>
      </w:r>
    </w:p>
    <w:p w14:paraId="2913BD17" w14:textId="77777777" w:rsidR="002B34CC" w:rsidRPr="005E313B" w:rsidRDefault="002B34CC" w:rsidP="002B34CC">
      <w:pPr>
        <w:spacing w:before="240"/>
        <w:jc w:val="center"/>
        <w:rPr>
          <w:rFonts w:ascii="NettoPro" w:hAnsi="NettoPro" w:cs="NettoPro"/>
        </w:rPr>
      </w:pPr>
      <w:r w:rsidRPr="005E313B">
        <w:rPr>
          <w:rFonts w:ascii="NettoPro" w:hAnsi="NettoPro" w:cs="NettoPro"/>
        </w:rPr>
        <w:t>tuto</w:t>
      </w:r>
    </w:p>
    <w:p w14:paraId="7549D413" w14:textId="77777777" w:rsidR="002B34CC" w:rsidRPr="005E313B" w:rsidRDefault="002B34CC" w:rsidP="002B34CC">
      <w:pPr>
        <w:pStyle w:val="Mezinadpis"/>
        <w:jc w:val="center"/>
        <w:rPr>
          <w:rFonts w:ascii="NettoPro" w:hAnsi="NettoPro" w:cs="NettoPro"/>
          <w:b w:val="0"/>
        </w:rPr>
      </w:pPr>
      <w:r w:rsidRPr="005E313B">
        <w:rPr>
          <w:rFonts w:ascii="NettoPro" w:hAnsi="NettoPro" w:cs="NettoPro"/>
          <w:b w:val="0"/>
        </w:rPr>
        <w:t>smlouvu o poskytování a využívání informací.</w:t>
      </w:r>
    </w:p>
    <w:p w14:paraId="2C59CA00" w14:textId="77777777" w:rsidR="007810E8" w:rsidRPr="005E313B" w:rsidRDefault="007810E8" w:rsidP="007810E8">
      <w:pPr>
        <w:pStyle w:val="Mezinadpis"/>
        <w:rPr>
          <w:rFonts w:ascii="NettoPro" w:hAnsi="NettoPro" w:cs="NettoPro"/>
        </w:rPr>
      </w:pPr>
    </w:p>
    <w:p w14:paraId="0BA72776" w14:textId="77777777" w:rsidR="007D204B" w:rsidRPr="005E313B" w:rsidRDefault="007D204B" w:rsidP="007D204B">
      <w:pPr>
        <w:rPr>
          <w:rFonts w:ascii="NettoPro" w:hAnsi="NettoPro" w:cs="NettoPro"/>
        </w:rPr>
      </w:pPr>
      <w:r w:rsidRPr="005E313B">
        <w:rPr>
          <w:rFonts w:ascii="NettoPro" w:hAnsi="NettoPro" w:cs="NettoPro"/>
        </w:rPr>
        <w:t>Smluvní strany, vědomy si svých závazků v této smlouvě obsažených a s úmyslem být touto smlouvou vázány, dohodly se v souladu s </w:t>
      </w:r>
      <w:r w:rsidRPr="00600A83">
        <w:rPr>
          <w:rFonts w:ascii="NettoPro" w:hAnsi="NettoPro" w:cs="NettoPro"/>
        </w:rPr>
        <w:t>ustanovením</w:t>
      </w:r>
      <w:r w:rsidRPr="005E313B">
        <w:rPr>
          <w:rFonts w:ascii="NettoPro" w:hAnsi="NettoPro" w:cs="NettoPro"/>
        </w:rPr>
        <w:t xml:space="preserve"> § 1746 odst. 2 zákona č. 89/2012 Sb., občanský zákoník, ve znění pozdějších předpisů (dále jen „občanský zákoník“) na následujícím znění smlouvy (dále jen „smlouva“):</w:t>
      </w:r>
    </w:p>
    <w:p w14:paraId="26A19BF5" w14:textId="77777777" w:rsidR="007D204B" w:rsidRPr="005E313B" w:rsidRDefault="007D204B" w:rsidP="000907D2">
      <w:pPr>
        <w:pStyle w:val="HlavniNadpis"/>
        <w:rPr>
          <w:rFonts w:ascii="NettoPro" w:hAnsi="NettoPro" w:cs="NettoPro"/>
          <w:b w:val="0"/>
        </w:rPr>
      </w:pPr>
      <w:r w:rsidRPr="005E313B">
        <w:rPr>
          <w:rFonts w:ascii="NettoPro" w:hAnsi="NettoPro" w:cs="NettoPro"/>
          <w:b w:val="0"/>
        </w:rPr>
        <w:t>Předmět smlouvy</w:t>
      </w:r>
    </w:p>
    <w:p w14:paraId="20E8C16D" w14:textId="77777777" w:rsidR="007D204B" w:rsidRPr="005E313B" w:rsidRDefault="007D204B" w:rsidP="000907D2">
      <w:pPr>
        <w:pStyle w:val="Podnadpis1"/>
        <w:rPr>
          <w:rFonts w:ascii="NettoPro" w:hAnsi="NettoPro" w:cs="NettoPro"/>
        </w:rPr>
      </w:pPr>
      <w:bookmarkStart w:id="0" w:name="_Ref252256328"/>
      <w:r w:rsidRPr="005E313B">
        <w:rPr>
          <w:rFonts w:ascii="NettoPro" w:hAnsi="NettoPro" w:cs="NettoPro"/>
        </w:rPr>
        <w:t>Dodavatel se touto smlouvou zavazuje poskytovat odběrateli plnění způsobem, ve lhůtách a za podmínek</w:t>
      </w:r>
      <w:r w:rsidR="00796765" w:rsidRPr="005E313B">
        <w:rPr>
          <w:rFonts w:ascii="NettoPro" w:hAnsi="NettoPro" w:cs="NettoPro"/>
        </w:rPr>
        <w:t xml:space="preserve"> stanovených touto smlouvou, tj.</w:t>
      </w:r>
      <w:r w:rsidRPr="005E313B">
        <w:rPr>
          <w:rFonts w:ascii="NettoPro" w:hAnsi="NettoPro" w:cs="NettoPro"/>
        </w:rPr>
        <w:t>:</w:t>
      </w:r>
      <w:bookmarkEnd w:id="0"/>
    </w:p>
    <w:p w14:paraId="24CAA91D" w14:textId="5C79EEA4" w:rsidR="00174423" w:rsidRPr="005E313B" w:rsidRDefault="0059229F" w:rsidP="00EC30E2">
      <w:pPr>
        <w:pStyle w:val="PodPodNadpis"/>
        <w:rPr>
          <w:rFonts w:ascii="NettoPro" w:hAnsi="NettoPro" w:cs="NettoPro"/>
        </w:rPr>
      </w:pPr>
      <w:bookmarkStart w:id="1" w:name="_Hlk2599612"/>
      <w:r w:rsidRPr="005E313B">
        <w:rPr>
          <w:rFonts w:ascii="NettoPro" w:hAnsi="NettoPro" w:cs="NettoPro"/>
        </w:rPr>
        <w:t xml:space="preserve">Vytvořit a dodat </w:t>
      </w:r>
      <w:r w:rsidR="00B540ED" w:rsidRPr="005E313B">
        <w:rPr>
          <w:rFonts w:ascii="NettoPro" w:hAnsi="NettoPro" w:cs="NettoPro"/>
        </w:rPr>
        <w:t>předmět smlouvy, který</w:t>
      </w:r>
      <w:r w:rsidR="00174423" w:rsidRPr="005E313B">
        <w:rPr>
          <w:rFonts w:ascii="NettoPro" w:hAnsi="NettoPro" w:cs="NettoPro"/>
        </w:rPr>
        <w:t xml:space="preserve"> obsahuje:</w:t>
      </w:r>
    </w:p>
    <w:tbl>
      <w:tblPr>
        <w:tblStyle w:val="Prosttabulka21"/>
        <w:tblW w:w="0" w:type="auto"/>
        <w:tblLook w:val="04A0" w:firstRow="1" w:lastRow="0" w:firstColumn="1" w:lastColumn="0" w:noHBand="0" w:noVBand="1"/>
      </w:tblPr>
      <w:tblGrid>
        <w:gridCol w:w="9759"/>
      </w:tblGrid>
      <w:tr w:rsidR="00B8394A" w:rsidRPr="005E313B" w14:paraId="3F5D6037" w14:textId="77777777" w:rsidTr="00F62B93">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4A1C6BB8" w14:textId="52930617" w:rsidR="00B8394A" w:rsidRPr="005E313B" w:rsidRDefault="00EF1CAC" w:rsidP="00F62B93">
            <w:pPr>
              <w:pStyle w:val="Podnadpis1"/>
              <w:numPr>
                <w:ilvl w:val="0"/>
                <w:numId w:val="0"/>
              </w:numPr>
              <w:rPr>
                <w:rFonts w:ascii="NettoPro" w:hAnsi="NettoPro" w:cs="NettoPro"/>
                <w:b w:val="0"/>
                <w:highlight w:val="yellow"/>
              </w:rPr>
            </w:pPr>
            <w:sdt>
              <w:sdtPr>
                <w:rPr>
                  <w:rFonts w:ascii="NettoPro" w:hAnsi="NettoPro" w:cs="NettoPro"/>
                  <w:color w:val="auto"/>
                </w:rPr>
                <w:id w:val="441033064"/>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94A" w:rsidRPr="005E313B">
              <w:rPr>
                <w:rFonts w:ascii="NettoPro" w:hAnsi="NettoPro" w:cs="NettoPro"/>
                <w:b w:val="0"/>
                <w:color w:val="auto"/>
              </w:rPr>
              <w:t xml:space="preserve"> </w:t>
            </w:r>
            <w:r w:rsidR="00B8394A" w:rsidRPr="005E313B">
              <w:rPr>
                <w:rFonts w:ascii="NettoPro" w:hAnsi="NettoPro" w:cs="NettoPro"/>
                <w:b w:val="0"/>
                <w:sz w:val="24"/>
              </w:rPr>
              <w:t>Mediální analýza</w:t>
            </w:r>
          </w:p>
        </w:tc>
      </w:tr>
      <w:tr w:rsidR="00B8394A" w:rsidRPr="005E313B" w14:paraId="7F2E0C27" w14:textId="77777777" w:rsidTr="00F62B9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7C40E6CF" w14:textId="6A9143DE" w:rsidR="00B8394A" w:rsidRPr="005E313B" w:rsidRDefault="00325E00" w:rsidP="00F62B93">
            <w:pPr>
              <w:pStyle w:val="Podnadpis1"/>
              <w:numPr>
                <w:ilvl w:val="0"/>
                <w:numId w:val="0"/>
              </w:numPr>
              <w:spacing w:line="276" w:lineRule="auto"/>
              <w:ind w:left="360"/>
              <w:rPr>
                <w:rFonts w:ascii="NettoPro" w:hAnsi="NettoPro" w:cs="NettoPro"/>
                <w:b w:val="0"/>
              </w:rPr>
            </w:pPr>
            <w:r w:rsidRPr="005E313B">
              <w:rPr>
                <w:rFonts w:ascii="NettoPro" w:hAnsi="NettoPro" w:cs="NettoPro"/>
                <w:b w:val="0"/>
              </w:rPr>
              <w:t>Sledované období</w:t>
            </w:r>
            <w:r w:rsidR="00B8394A" w:rsidRPr="005E313B">
              <w:rPr>
                <w:rFonts w:ascii="NettoPro" w:hAnsi="NettoPro" w:cs="NettoPro"/>
                <w:b w:val="0"/>
              </w:rPr>
              <w:t xml:space="preserve">: </w:t>
            </w:r>
          </w:p>
          <w:p w14:paraId="170A3F60" w14:textId="2CEB7E13" w:rsidR="00325E00" w:rsidRPr="005E313B" w:rsidRDefault="00762C42" w:rsidP="00325E00">
            <w:pPr>
              <w:spacing w:line="276" w:lineRule="auto"/>
              <w:ind w:left="360"/>
              <w:rPr>
                <w:rFonts w:ascii="NettoPro" w:hAnsi="NettoPro" w:cs="NettoPro"/>
                <w:b w:val="0"/>
                <w:bCs w:val="0"/>
              </w:rPr>
            </w:pPr>
            <w:r w:rsidRPr="005E313B">
              <w:rPr>
                <w:rFonts w:ascii="NettoPro" w:hAnsi="NettoPro" w:cs="NettoPro"/>
              </w:rPr>
              <w:t xml:space="preserve">Klouzavé </w:t>
            </w:r>
            <w:r w:rsidR="00932852" w:rsidRPr="005E313B">
              <w:rPr>
                <w:rFonts w:ascii="NettoPro" w:hAnsi="NettoPro" w:cs="NettoPro"/>
              </w:rPr>
              <w:t xml:space="preserve">období 12 měsíců dle </w:t>
            </w:r>
            <w:r w:rsidR="00932852" w:rsidRPr="005E313B">
              <w:rPr>
                <w:rFonts w:ascii="NettoPro" w:hAnsi="NettoPro" w:cs="NettoPro"/>
                <w:color w:val="auto"/>
              </w:rPr>
              <w:t xml:space="preserve">specifikace </w:t>
            </w:r>
            <w:r w:rsidR="008E00C8">
              <w:rPr>
                <w:rFonts w:ascii="NettoPro" w:hAnsi="NettoPro" w:cs="NettoPro"/>
                <w:color w:val="auto"/>
              </w:rPr>
              <w:t>odběratele</w:t>
            </w:r>
            <w:r w:rsidR="0059229F" w:rsidRPr="005E313B">
              <w:rPr>
                <w:rFonts w:ascii="NettoPro" w:hAnsi="NettoPro" w:cs="NettoPro"/>
                <w:color w:val="auto"/>
              </w:rPr>
              <w:t xml:space="preserve"> za období 05/2022 – 04/2023</w:t>
            </w:r>
            <w:r w:rsidR="00325E00" w:rsidRPr="005E313B">
              <w:rPr>
                <w:rFonts w:ascii="NettoPro" w:hAnsi="NettoPro" w:cs="NettoPro"/>
              </w:rPr>
              <w:br/>
            </w:r>
          </w:p>
        </w:tc>
      </w:tr>
      <w:tr w:rsidR="00325E00" w:rsidRPr="005E313B" w14:paraId="34DBA916" w14:textId="77777777" w:rsidTr="00F62B93">
        <w:trPr>
          <w:trHeight w:val="574"/>
        </w:trPr>
        <w:tc>
          <w:tcPr>
            <w:cnfStyle w:val="001000000000" w:firstRow="0" w:lastRow="0" w:firstColumn="1" w:lastColumn="0" w:oddVBand="0" w:evenVBand="0" w:oddHBand="0" w:evenHBand="0" w:firstRowFirstColumn="0" w:firstRowLastColumn="0" w:lastRowFirstColumn="0" w:lastRowLastColumn="0"/>
            <w:tcW w:w="9759" w:type="dxa"/>
          </w:tcPr>
          <w:p w14:paraId="778EFC94" w14:textId="77777777" w:rsidR="00325E00" w:rsidRPr="00600A83" w:rsidRDefault="00325E00" w:rsidP="00325E00">
            <w:pPr>
              <w:pStyle w:val="Podnadpis1"/>
              <w:numPr>
                <w:ilvl w:val="0"/>
                <w:numId w:val="0"/>
              </w:numPr>
              <w:spacing w:line="276" w:lineRule="auto"/>
              <w:ind w:left="360"/>
              <w:rPr>
                <w:rFonts w:ascii="NettoPro" w:hAnsi="NettoPro" w:cs="NettoPro"/>
                <w:b w:val="0"/>
              </w:rPr>
            </w:pPr>
            <w:r w:rsidRPr="00600A83">
              <w:rPr>
                <w:rFonts w:ascii="NettoPro" w:hAnsi="NettoPro" w:cs="NettoPro"/>
                <w:b w:val="0"/>
              </w:rPr>
              <w:t xml:space="preserve">Struktura analýzy: </w:t>
            </w:r>
          </w:p>
          <w:p w14:paraId="0A067B59" w14:textId="77777777" w:rsidR="00325E00" w:rsidRPr="00600A83" w:rsidRDefault="00932852" w:rsidP="00325E00">
            <w:pPr>
              <w:pStyle w:val="Podnadpis1"/>
              <w:numPr>
                <w:ilvl w:val="0"/>
                <w:numId w:val="0"/>
              </w:numPr>
              <w:spacing w:line="276" w:lineRule="auto"/>
              <w:ind w:left="360"/>
              <w:rPr>
                <w:rFonts w:ascii="NettoPro" w:hAnsi="NettoPro" w:cs="NettoPro"/>
                <w:b w:val="0"/>
              </w:rPr>
            </w:pPr>
            <w:r w:rsidRPr="00600A83">
              <w:rPr>
                <w:rFonts w:ascii="NettoPro" w:hAnsi="NettoPro" w:cs="NettoPro"/>
                <w:b w:val="0"/>
              </w:rPr>
              <w:t>Cílem analýzy je zjistit, jakou digitální stopu neboli otisk za sebou zanechal v posledních 12 měsících Karlovarský kraj. Jaká témata pomáhají tuto digitální stopu zanechat? Kdo ji nejvíce ovlivňuje/prohlubuje? Jak digitální stopa ovlivňuje hodnoty Karlovarského kraje?</w:t>
            </w:r>
          </w:p>
          <w:p w14:paraId="4D37D8C2" w14:textId="40016180" w:rsidR="00932852" w:rsidRPr="00600A83" w:rsidRDefault="00932852"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Dodání analýzy ve 2 částech – makro pohled se základním přehledem o medializaci kraje – a následně detailní analýzu dle specifikace </w:t>
            </w:r>
            <w:r w:rsidR="008E00C8">
              <w:rPr>
                <w:rFonts w:ascii="NettoPro" w:hAnsi="NettoPro" w:cs="NettoPro"/>
                <w:b w:val="0"/>
              </w:rPr>
              <w:t>odběratele</w:t>
            </w:r>
            <w:r w:rsidRPr="00600A83">
              <w:rPr>
                <w:rFonts w:ascii="NettoPro" w:hAnsi="NettoPro" w:cs="NettoPro"/>
                <w:b w:val="0"/>
              </w:rPr>
              <w:t>.</w:t>
            </w:r>
          </w:p>
          <w:p w14:paraId="7C07217A" w14:textId="77777777" w:rsidR="00832E9E" w:rsidRPr="00600A83" w:rsidRDefault="00832E9E" w:rsidP="00832E9E">
            <w:pPr>
              <w:spacing w:line="276" w:lineRule="auto"/>
              <w:jc w:val="both"/>
              <w:rPr>
                <w:rFonts w:ascii="NettoPro" w:hAnsi="NettoPro" w:cs="NettoPro"/>
                <w:b w:val="0"/>
              </w:rPr>
            </w:pPr>
            <w:r w:rsidRPr="00600A83">
              <w:rPr>
                <w:rFonts w:ascii="NettoPro" w:hAnsi="NettoPro" w:cs="NettoPro"/>
                <w:b w:val="0"/>
              </w:rPr>
              <w:t>Cílem mediální analýzy je zjistit:</w:t>
            </w:r>
          </w:p>
          <w:p w14:paraId="389C46B9"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Jak je Karlovarský kraj vnímán díky mediální (offline a online) komunikaci? </w:t>
            </w:r>
          </w:p>
          <w:p w14:paraId="5E51F55B"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Co se zmiňuje v souvislosti s Karlovarským krajem? Kdo o něm mluví? Jak o něm mluví? V jakých souvislostech? Kdy o něm mluví? Kde o něm mluví? Jaká je tonalita/sentiment diskuse? Jaké cílové/věkové skupiny se o daná témata zajímají?</w:t>
            </w:r>
          </w:p>
          <w:p w14:paraId="093E8F36"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Jaká je digitální identita Karlovarského kraje, tedy jak se mluví o Karlovarském kraji v určitých tématech na webech, sociálních sítích (FB, IG, Twitter a dalších), diskusních skupinách, komentářích atd. Tedy v platformách, které nespravují žádné oficiální instituce, agentury atd.</w:t>
            </w:r>
          </w:p>
          <w:p w14:paraId="4008B45A"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O jakých oblastech ve spojitosti s Karlovarským kraje se píše/mluví nejvíce a jaký mají emotivní dopad?</w:t>
            </w:r>
          </w:p>
          <w:p w14:paraId="28FBC134"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O jakých tématech se píše v rámci regionu a jaká témata se diskutují/objevují v mediálním prostoru za hranicemi Karlovarského kraje v ČR?</w:t>
            </w:r>
          </w:p>
          <w:p w14:paraId="5D2FBFEE"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Kdo o regionu nejvíce mluví? Kdo patří mezi jeho největší influencery?</w:t>
            </w:r>
          </w:p>
          <w:p w14:paraId="0BE2F7B6"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Jaká média převažují? </w:t>
            </w:r>
          </w:p>
          <w:p w14:paraId="1D45CA53"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Jaké jsou nejčastější # hastagy ve spojitosti s diskuzí o Karlovarském kraji?</w:t>
            </w:r>
          </w:p>
          <w:p w14:paraId="196F9764" w14:textId="77777777" w:rsidR="00832E9E" w:rsidRPr="00600A83" w:rsidRDefault="00832E9E"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Jaká jsou nejčastější klíčová spojení ve spojitosti s Karlovarským krajem?</w:t>
            </w:r>
          </w:p>
          <w:p w14:paraId="690F8482" w14:textId="77777777" w:rsidR="00832E9E" w:rsidRPr="00600A83" w:rsidRDefault="00832E9E" w:rsidP="00832E9E">
            <w:pPr>
              <w:spacing w:line="276" w:lineRule="auto"/>
              <w:jc w:val="both"/>
              <w:rPr>
                <w:rFonts w:ascii="NettoPro" w:hAnsi="NettoPro" w:cs="NettoPro"/>
                <w:b w:val="0"/>
              </w:rPr>
            </w:pPr>
            <w:r w:rsidRPr="00600A83">
              <w:rPr>
                <w:rFonts w:ascii="NettoPro" w:hAnsi="NettoPro" w:cs="NettoPro"/>
                <w:b w:val="0"/>
              </w:rPr>
              <w:t>Hodnocení bude probíhat metodou kvantitativní (např. počet mediálních zmínek, inzertní síla médií, prostor věnovaný sledovanému tématu apod.) a kvalitativní (např. sentiment, zmiňované hodnoty apod.).</w:t>
            </w:r>
          </w:p>
          <w:p w14:paraId="0E0A706E" w14:textId="77777777" w:rsidR="00832E9E" w:rsidRPr="00600A83" w:rsidRDefault="00832E9E" w:rsidP="00832E9E">
            <w:pPr>
              <w:autoSpaceDE/>
              <w:autoSpaceDN/>
              <w:adjustRightInd/>
              <w:spacing w:after="160" w:line="276" w:lineRule="auto"/>
              <w:jc w:val="both"/>
              <w:rPr>
                <w:rFonts w:ascii="NettoPro" w:hAnsi="NettoPro" w:cs="NettoPro"/>
                <w:b w:val="0"/>
              </w:rPr>
            </w:pPr>
          </w:p>
          <w:p w14:paraId="529CBF3B" w14:textId="77777777" w:rsidR="00AF0D8C" w:rsidRPr="00600A83" w:rsidRDefault="00AF0D8C" w:rsidP="00AF0D8C">
            <w:pPr>
              <w:spacing w:line="276" w:lineRule="auto"/>
              <w:jc w:val="both"/>
              <w:rPr>
                <w:rFonts w:ascii="NettoPro" w:hAnsi="NettoPro" w:cs="NettoPro"/>
                <w:b w:val="0"/>
              </w:rPr>
            </w:pPr>
            <w:r w:rsidRPr="00600A83">
              <w:rPr>
                <w:rFonts w:ascii="NettoPro" w:hAnsi="NettoPro" w:cs="NettoPro"/>
                <w:b w:val="0"/>
              </w:rPr>
              <w:lastRenderedPageBreak/>
              <w:t>Potenciální oblasti zájmu Karlovarského kraje pro detailní část analýzy (vychází ze strategických oblastí Karlovarského kraje a inovačního ekosystému) budou upřesněny dle výstupu z makro části prvotního šetření poptávané analýzy. Předběžně se jedná o oblasti zájmu:</w:t>
            </w:r>
          </w:p>
          <w:p w14:paraId="62611DC9"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Lázeňství</w:t>
            </w:r>
          </w:p>
          <w:p w14:paraId="42C0A2AD"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Cestovní ruch</w:t>
            </w:r>
          </w:p>
          <w:p w14:paraId="732DADF2"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Kultura</w:t>
            </w:r>
          </w:p>
          <w:p w14:paraId="3A771AB8"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Vzdělávání (se zaměřením na kvalitu školství)</w:t>
            </w:r>
          </w:p>
          <w:p w14:paraId="0648DDCA"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Sport</w:t>
            </w:r>
          </w:p>
          <w:p w14:paraId="347132CD"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Sociální oblast</w:t>
            </w:r>
          </w:p>
          <w:p w14:paraId="75B6A096"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Zdravotnictví (systém)</w:t>
            </w:r>
          </w:p>
          <w:p w14:paraId="7A3B8A95"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Životní prostředí</w:t>
            </w:r>
          </w:p>
          <w:p w14:paraId="59406C24"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Zemědělství</w:t>
            </w:r>
          </w:p>
          <w:p w14:paraId="17817E37"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Energetika</w:t>
            </w:r>
          </w:p>
          <w:p w14:paraId="5DD3D55A"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Doprava</w:t>
            </w:r>
          </w:p>
          <w:p w14:paraId="22ACC194"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Řízení a správa kraje</w:t>
            </w:r>
          </w:p>
          <w:p w14:paraId="588B031C"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Bezpečnost</w:t>
            </w:r>
          </w:p>
          <w:p w14:paraId="680339C9"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Investice</w:t>
            </w:r>
          </w:p>
          <w:p w14:paraId="5ECCD472"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Inovace</w:t>
            </w:r>
          </w:p>
          <w:p w14:paraId="72FEFFFD"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Vývoj a výzkum</w:t>
            </w:r>
          </w:p>
          <w:p w14:paraId="3BAF804D"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Transformace (ve spojení změn, příležitosti. Ne ve spojení s Operačním programem Spravedlivé transformace)</w:t>
            </w:r>
          </w:p>
          <w:p w14:paraId="56D9D952" w14:textId="77777777" w:rsidR="00AF0D8C" w:rsidRPr="00600A83" w:rsidRDefault="00AF0D8C" w:rsidP="00A12C55">
            <w:pPr>
              <w:pStyle w:val="Odstavecseseznamem"/>
              <w:numPr>
                <w:ilvl w:val="0"/>
                <w:numId w:val="9"/>
              </w:numPr>
              <w:autoSpaceDE/>
              <w:autoSpaceDN/>
              <w:adjustRightInd/>
              <w:spacing w:line="276" w:lineRule="auto"/>
              <w:jc w:val="both"/>
              <w:rPr>
                <w:rFonts w:ascii="NettoPro" w:hAnsi="NettoPro" w:cs="NettoPro"/>
                <w:b w:val="0"/>
              </w:rPr>
            </w:pPr>
            <w:r w:rsidRPr="00600A83">
              <w:rPr>
                <w:rFonts w:ascii="NettoPro" w:hAnsi="NettoPro" w:cs="NettoPro"/>
                <w:b w:val="0"/>
              </w:rPr>
              <w:t>Podnikání</w:t>
            </w:r>
          </w:p>
          <w:p w14:paraId="7E730656" w14:textId="77777777" w:rsidR="00AF0D8C" w:rsidRPr="00600A83" w:rsidRDefault="00AF0D8C" w:rsidP="00AF0D8C">
            <w:pPr>
              <w:pStyle w:val="Odstavecseseznamem"/>
              <w:spacing w:line="276" w:lineRule="auto"/>
              <w:jc w:val="both"/>
              <w:rPr>
                <w:rFonts w:ascii="NettoPro" w:hAnsi="NettoPro" w:cs="NettoPro"/>
                <w:b w:val="0"/>
              </w:rPr>
            </w:pPr>
          </w:p>
          <w:p w14:paraId="1DC7127F" w14:textId="77777777" w:rsidR="00AF0D8C" w:rsidRPr="00600A83" w:rsidRDefault="00AF0D8C" w:rsidP="00AF0D8C">
            <w:pPr>
              <w:pStyle w:val="Odstavecseseznamem"/>
              <w:spacing w:line="276" w:lineRule="auto"/>
              <w:ind w:left="0"/>
              <w:jc w:val="both"/>
              <w:rPr>
                <w:rFonts w:ascii="NettoPro" w:hAnsi="NettoPro" w:cs="NettoPro"/>
                <w:b w:val="0"/>
              </w:rPr>
            </w:pPr>
            <w:r w:rsidRPr="00600A83">
              <w:rPr>
                <w:rFonts w:ascii="NettoPro" w:hAnsi="NettoPro" w:cs="NettoPro"/>
                <w:b w:val="0"/>
              </w:rPr>
              <w:t>Seznam hodnot Karlovarského kraje bude upřesněn dle výstupů z mediálního vnímání Karlovarského kraje. Současné hodnoty Karlovarského kraje jsou uvedeny níže a vychází z Image analýzy Karlovarského kraje 2019:</w:t>
            </w:r>
          </w:p>
          <w:p w14:paraId="791D5259"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 xml:space="preserve">Kreativní/tvořivý </w:t>
            </w:r>
            <w:r w:rsidRPr="00600A83">
              <w:rPr>
                <w:rFonts w:ascii="NettoPro" w:hAnsi="NettoPro" w:cs="NettoPro"/>
                <w:b w:val="0"/>
              </w:rPr>
              <w:tab/>
            </w:r>
          </w:p>
          <w:p w14:paraId="74ED13B8"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Spojený s tradicí</w:t>
            </w:r>
            <w:r w:rsidRPr="00600A83">
              <w:rPr>
                <w:rFonts w:ascii="NettoPro" w:hAnsi="NettoPro" w:cs="NettoPro"/>
                <w:b w:val="0"/>
              </w:rPr>
              <w:tab/>
            </w:r>
          </w:p>
          <w:p w14:paraId="461A6F8E"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Bezpečný</w:t>
            </w:r>
            <w:r w:rsidRPr="00600A83">
              <w:rPr>
                <w:rFonts w:ascii="NettoPro" w:hAnsi="NettoPro" w:cs="NettoPro"/>
                <w:b w:val="0"/>
              </w:rPr>
              <w:tab/>
            </w:r>
            <w:r w:rsidRPr="00600A83">
              <w:rPr>
                <w:rFonts w:ascii="NettoPro" w:hAnsi="NettoPro" w:cs="NettoPro"/>
                <w:b w:val="0"/>
              </w:rPr>
              <w:tab/>
            </w:r>
          </w:p>
          <w:p w14:paraId="7F368235"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Otevřený světu</w:t>
            </w:r>
            <w:r w:rsidRPr="00600A83">
              <w:rPr>
                <w:rFonts w:ascii="NettoPro" w:hAnsi="NettoPro" w:cs="NettoPro"/>
                <w:b w:val="0"/>
              </w:rPr>
              <w:tab/>
            </w:r>
            <w:r w:rsidRPr="00600A83">
              <w:rPr>
                <w:rFonts w:ascii="NettoPro" w:hAnsi="NettoPro" w:cs="NettoPro"/>
                <w:b w:val="0"/>
              </w:rPr>
              <w:tab/>
            </w:r>
          </w:p>
          <w:p w14:paraId="692E3379"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Vstřícný</w:t>
            </w:r>
            <w:r w:rsidRPr="00600A83">
              <w:rPr>
                <w:rFonts w:ascii="NettoPro" w:hAnsi="NettoPro" w:cs="NettoPro"/>
                <w:b w:val="0"/>
              </w:rPr>
              <w:tab/>
            </w:r>
            <w:r w:rsidRPr="00600A83">
              <w:rPr>
                <w:rFonts w:ascii="NettoPro" w:hAnsi="NettoPro" w:cs="NettoPro"/>
                <w:b w:val="0"/>
              </w:rPr>
              <w:tab/>
            </w:r>
          </w:p>
          <w:p w14:paraId="2C798B7D"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Pokrokový/inovativní</w:t>
            </w:r>
            <w:r w:rsidRPr="00600A83">
              <w:rPr>
                <w:rFonts w:ascii="NettoPro" w:hAnsi="NettoPro" w:cs="NettoPro"/>
                <w:b w:val="0"/>
              </w:rPr>
              <w:tab/>
            </w:r>
          </w:p>
          <w:p w14:paraId="4DE90EC7"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Živý</w:t>
            </w:r>
            <w:r w:rsidRPr="00600A83">
              <w:rPr>
                <w:rFonts w:ascii="NettoPro" w:hAnsi="NettoPro" w:cs="NettoPro"/>
                <w:b w:val="0"/>
              </w:rPr>
              <w:tab/>
            </w:r>
            <w:r w:rsidRPr="00600A83">
              <w:rPr>
                <w:rFonts w:ascii="NettoPro" w:hAnsi="NettoPro" w:cs="NettoPro"/>
                <w:b w:val="0"/>
              </w:rPr>
              <w:tab/>
            </w:r>
            <w:r w:rsidRPr="00600A83">
              <w:rPr>
                <w:rFonts w:ascii="NettoPro" w:hAnsi="NettoPro" w:cs="NettoPro"/>
                <w:b w:val="0"/>
              </w:rPr>
              <w:tab/>
            </w:r>
          </w:p>
          <w:p w14:paraId="00E8D65E"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Moderní</w:t>
            </w:r>
            <w:r w:rsidRPr="00600A83">
              <w:rPr>
                <w:rFonts w:ascii="NettoPro" w:hAnsi="NettoPro" w:cs="NettoPro"/>
                <w:b w:val="0"/>
              </w:rPr>
              <w:tab/>
            </w:r>
            <w:r w:rsidRPr="00600A83">
              <w:rPr>
                <w:rFonts w:ascii="NettoPro" w:hAnsi="NettoPro" w:cs="NettoPro"/>
                <w:b w:val="0"/>
              </w:rPr>
              <w:tab/>
            </w:r>
          </w:p>
          <w:p w14:paraId="7F74811A"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Pro mladé</w:t>
            </w:r>
            <w:r w:rsidRPr="00600A83">
              <w:rPr>
                <w:rFonts w:ascii="NettoPro" w:hAnsi="NettoPro" w:cs="NettoPro"/>
                <w:b w:val="0"/>
              </w:rPr>
              <w:tab/>
            </w:r>
            <w:r w:rsidRPr="00600A83">
              <w:rPr>
                <w:rFonts w:ascii="NettoPro" w:hAnsi="NettoPro" w:cs="NettoPro"/>
                <w:b w:val="0"/>
              </w:rPr>
              <w:tab/>
            </w:r>
          </w:p>
          <w:p w14:paraId="3389C20D"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Zajímavý</w:t>
            </w:r>
            <w:r w:rsidRPr="00600A83">
              <w:rPr>
                <w:rFonts w:ascii="NettoPro" w:hAnsi="NettoPro" w:cs="NettoPro"/>
                <w:b w:val="0"/>
              </w:rPr>
              <w:tab/>
            </w:r>
            <w:r w:rsidRPr="00600A83">
              <w:rPr>
                <w:rFonts w:ascii="NettoPro" w:hAnsi="NettoPro" w:cs="NettoPro"/>
                <w:b w:val="0"/>
              </w:rPr>
              <w:tab/>
            </w:r>
          </w:p>
          <w:p w14:paraId="46E638A0"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Klidný</w:t>
            </w:r>
            <w:r w:rsidRPr="00600A83">
              <w:rPr>
                <w:rFonts w:ascii="NettoPro" w:hAnsi="NettoPro" w:cs="NettoPro"/>
                <w:b w:val="0"/>
              </w:rPr>
              <w:tab/>
            </w:r>
          </w:p>
          <w:p w14:paraId="09172C0B"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Aktivní</w:t>
            </w:r>
            <w:r w:rsidRPr="00600A83">
              <w:rPr>
                <w:rFonts w:ascii="NettoPro" w:hAnsi="NettoPro" w:cs="NettoPro"/>
                <w:b w:val="0"/>
              </w:rPr>
              <w:tab/>
            </w:r>
          </w:p>
          <w:p w14:paraId="59015446"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Atraktivní</w:t>
            </w:r>
          </w:p>
          <w:p w14:paraId="230AD6B3" w14:textId="77777777" w:rsidR="00AF0D8C" w:rsidRPr="00600A83" w:rsidRDefault="00AF0D8C" w:rsidP="00A12C55">
            <w:pPr>
              <w:pStyle w:val="Odstavecseseznamem"/>
              <w:numPr>
                <w:ilvl w:val="0"/>
                <w:numId w:val="10"/>
              </w:numPr>
              <w:autoSpaceDE/>
              <w:autoSpaceDN/>
              <w:adjustRightInd/>
              <w:spacing w:line="276" w:lineRule="auto"/>
              <w:jc w:val="both"/>
              <w:rPr>
                <w:rFonts w:ascii="NettoPro" w:hAnsi="NettoPro" w:cs="NettoPro"/>
                <w:b w:val="0"/>
              </w:rPr>
            </w:pPr>
            <w:r w:rsidRPr="00600A83">
              <w:rPr>
                <w:rFonts w:ascii="NettoPro" w:hAnsi="NettoPro" w:cs="NettoPro"/>
                <w:b w:val="0"/>
              </w:rPr>
              <w:t>Dynamický</w:t>
            </w:r>
            <w:r w:rsidRPr="00600A83">
              <w:rPr>
                <w:rFonts w:ascii="NettoPro" w:hAnsi="NettoPro" w:cs="NettoPro"/>
                <w:b w:val="0"/>
              </w:rPr>
              <w:tab/>
            </w:r>
          </w:p>
          <w:p w14:paraId="71DB5FA0" w14:textId="77777777" w:rsidR="00AF0D8C" w:rsidRPr="00600A83" w:rsidRDefault="00AF0D8C" w:rsidP="00AF0D8C">
            <w:pPr>
              <w:pStyle w:val="Odstavecseseznamem"/>
              <w:spacing w:line="276" w:lineRule="auto"/>
              <w:ind w:left="0"/>
              <w:jc w:val="both"/>
              <w:rPr>
                <w:rFonts w:ascii="NettoPro" w:hAnsi="NettoPro" w:cs="NettoPro"/>
                <w:b w:val="0"/>
              </w:rPr>
            </w:pPr>
          </w:p>
          <w:p w14:paraId="07F06BB9" w14:textId="77777777" w:rsidR="00AF0D8C" w:rsidRPr="00600A83" w:rsidRDefault="00AF0D8C" w:rsidP="00AF0D8C">
            <w:pPr>
              <w:spacing w:line="276" w:lineRule="auto"/>
              <w:jc w:val="both"/>
              <w:rPr>
                <w:rFonts w:ascii="NettoPro" w:hAnsi="NettoPro" w:cs="NettoPro"/>
                <w:b w:val="0"/>
              </w:rPr>
            </w:pPr>
            <w:r w:rsidRPr="00600A83">
              <w:rPr>
                <w:rFonts w:ascii="NettoPro" w:hAnsi="NettoPro" w:cs="NettoPro"/>
                <w:b w:val="0"/>
              </w:rPr>
              <w:t>Požadavek na agenturu je naplnit cíle mediální analýzy včetně:</w:t>
            </w:r>
          </w:p>
          <w:p w14:paraId="2D614F95" w14:textId="5A2FDA9B"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Dodání analýzy ve 2 částech – makro pohled se základním přehledem o medializaci kraje – a následně detailní analýzu dle specifikace </w:t>
            </w:r>
            <w:r w:rsidR="008E00C8">
              <w:rPr>
                <w:rFonts w:ascii="NettoPro" w:hAnsi="NettoPro" w:cs="NettoPro"/>
                <w:b w:val="0"/>
              </w:rPr>
              <w:t>odběratele</w:t>
            </w:r>
            <w:r w:rsidRPr="00600A83">
              <w:rPr>
                <w:rFonts w:ascii="NettoPro" w:hAnsi="NettoPro" w:cs="NettoPro"/>
                <w:b w:val="0"/>
              </w:rPr>
              <w:t>.</w:t>
            </w:r>
          </w:p>
          <w:p w14:paraId="0936C386"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Přehled o tom, jak je Karlovarský kraj vnímán a popisován na národní úrovni v klasických a digitálních médiích a na regionální úrovni v klasických médiích.</w:t>
            </w:r>
          </w:p>
          <w:p w14:paraId="14F7AE98"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lastRenderedPageBreak/>
              <w:t>Do analýzy musí být zahrnuty i města a obce z území Karlovarského kraje, případně velcí zaměstnavatele z regionu (i pokud v textu není konkrétně uvedeno, že se jedná o Karlovarský kraj).</w:t>
            </w:r>
          </w:p>
          <w:p w14:paraId="7CF1B88F"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Doporučení na témata, která mají potenciál ovlivnit pozitivně image Karlovarského kraje.</w:t>
            </w:r>
          </w:p>
          <w:p w14:paraId="604240C1"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Seznam klíčových slov a hastagů, která jsou nejčastější ve spojitosti s Karlovarským krajem.</w:t>
            </w:r>
          </w:p>
          <w:p w14:paraId="68BB2139"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Doporučení na relevantní média mající dopad na pozitivní image KK s nimiž má KK spolupracovat.</w:t>
            </w:r>
          </w:p>
          <w:p w14:paraId="6DF6843C"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Doporučení na témata, která mají být komunikována.</w:t>
            </w:r>
          </w:p>
          <w:p w14:paraId="253BEDA8"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Doporučení na klíčové influencery (ideálně z rozdílných oblastí).</w:t>
            </w:r>
          </w:p>
          <w:p w14:paraId="07190340"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Doporučení na média a influencery, které mají silný vliv na digitální stopu KK, ale v současné době ji ovlivňují negativně. </w:t>
            </w:r>
          </w:p>
          <w:p w14:paraId="659E7116" w14:textId="6E58B875"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Prezentace ve formě pptx v tištěné a digitální podobě obsahující zapracované komentáře či doplňující požadavky ze strany </w:t>
            </w:r>
            <w:r w:rsidR="008E00C8">
              <w:rPr>
                <w:rFonts w:ascii="NettoPro" w:hAnsi="NettoPro" w:cs="NettoPro"/>
                <w:b w:val="0"/>
              </w:rPr>
              <w:t>odběratele</w:t>
            </w:r>
            <w:r w:rsidRPr="00600A83">
              <w:rPr>
                <w:rFonts w:ascii="NettoPro" w:hAnsi="NettoPro" w:cs="NettoPro"/>
                <w:b w:val="0"/>
              </w:rPr>
              <w:t>.</w:t>
            </w:r>
          </w:p>
          <w:p w14:paraId="0A6533BC" w14:textId="77777777"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Jednoduché a přehledné grafické zpracování dopadu digitální stopy na definované hodnoty Karlovarského kraje (např. dle grafu níže).</w:t>
            </w:r>
          </w:p>
          <w:p w14:paraId="677E657F" w14:textId="0F003621" w:rsidR="00AF0D8C" w:rsidRPr="00600A83" w:rsidRDefault="00AF0D8C" w:rsidP="00A12C55">
            <w:pPr>
              <w:pStyle w:val="Odstavecseseznamem"/>
              <w:numPr>
                <w:ilvl w:val="0"/>
                <w:numId w:val="8"/>
              </w:numPr>
              <w:autoSpaceDE/>
              <w:autoSpaceDN/>
              <w:adjustRightInd/>
              <w:spacing w:after="160" w:line="276" w:lineRule="auto"/>
              <w:jc w:val="both"/>
              <w:rPr>
                <w:rFonts w:ascii="NettoPro" w:hAnsi="NettoPro" w:cs="NettoPro"/>
                <w:b w:val="0"/>
              </w:rPr>
            </w:pPr>
            <w:r w:rsidRPr="00600A83">
              <w:rPr>
                <w:rFonts w:ascii="NettoPro" w:hAnsi="NettoPro" w:cs="NettoPro"/>
                <w:b w:val="0"/>
              </w:rPr>
              <w:t xml:space="preserve">2x osobní prezentace v Karlovarským kraji (cílová skupina bude upřesněna </w:t>
            </w:r>
            <w:r w:rsidR="008E00C8">
              <w:rPr>
                <w:rFonts w:ascii="NettoPro" w:hAnsi="NettoPro" w:cs="NettoPro"/>
                <w:b w:val="0"/>
              </w:rPr>
              <w:t>odběratele</w:t>
            </w:r>
            <w:r w:rsidRPr="00600A83">
              <w:rPr>
                <w:rFonts w:ascii="NettoPro" w:hAnsi="NettoPro" w:cs="NettoPro"/>
                <w:b w:val="0"/>
              </w:rPr>
              <w:t>, např. Rada KK, marketingová platforma KK nebo jiné).</w:t>
            </w:r>
          </w:p>
          <w:p w14:paraId="5A6A235E" w14:textId="35B6CE8A" w:rsidR="00932852" w:rsidRPr="00600A83" w:rsidRDefault="00932852" w:rsidP="00932852">
            <w:pPr>
              <w:rPr>
                <w:rFonts w:ascii="NettoPro" w:hAnsi="NettoPro" w:cs="NettoPro"/>
                <w:b w:val="0"/>
              </w:rPr>
            </w:pPr>
          </w:p>
        </w:tc>
      </w:tr>
      <w:tr w:rsidR="00B8394A" w:rsidRPr="005E313B" w14:paraId="69A4C02C" w14:textId="77777777" w:rsidTr="00F62B9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249542E9" w14:textId="77777777" w:rsidR="00B8394A" w:rsidRPr="005E313B" w:rsidRDefault="00B8394A" w:rsidP="00F62B93">
            <w:pPr>
              <w:pStyle w:val="Podnadpis1"/>
              <w:numPr>
                <w:ilvl w:val="0"/>
                <w:numId w:val="0"/>
              </w:numPr>
              <w:ind w:left="360"/>
              <w:rPr>
                <w:rFonts w:ascii="NettoPro" w:hAnsi="NettoPro" w:cs="NettoPro"/>
                <w:b w:val="0"/>
              </w:rPr>
            </w:pPr>
            <w:r w:rsidRPr="005E313B">
              <w:rPr>
                <w:rFonts w:ascii="NettoPro" w:hAnsi="NettoPro" w:cs="NettoPro"/>
                <w:b w:val="0"/>
              </w:rPr>
              <w:lastRenderedPageBreak/>
              <w:t xml:space="preserve">Zdroje: </w:t>
            </w:r>
          </w:p>
          <w:p w14:paraId="0D34992C" w14:textId="15C0752E" w:rsidR="00B8394A" w:rsidRPr="005E313B" w:rsidRDefault="00EF1CAC" w:rsidP="00F62B93">
            <w:pPr>
              <w:pStyle w:val="Podnadpis1"/>
              <w:numPr>
                <w:ilvl w:val="0"/>
                <w:numId w:val="0"/>
              </w:numPr>
              <w:spacing w:line="240" w:lineRule="auto"/>
              <w:ind w:left="360"/>
              <w:rPr>
                <w:rFonts w:ascii="NettoPro" w:hAnsi="NettoPro" w:cs="NettoPro"/>
                <w:b w:val="0"/>
              </w:rPr>
            </w:pPr>
            <w:sdt>
              <w:sdtPr>
                <w:rPr>
                  <w:rFonts w:ascii="NettoPro" w:hAnsi="NettoPro" w:cs="NettoPro"/>
                  <w:color w:val="auto"/>
                </w:rPr>
                <w:id w:val="666214184"/>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94A" w:rsidRPr="005E313B">
              <w:rPr>
                <w:rFonts w:ascii="NettoPro" w:hAnsi="NettoPro" w:cs="NettoPro"/>
                <w:b w:val="0"/>
                <w:color w:val="auto"/>
              </w:rPr>
              <w:t xml:space="preserve"> </w:t>
            </w:r>
            <w:r w:rsidR="00B8394A" w:rsidRPr="005E313B">
              <w:rPr>
                <w:rFonts w:ascii="NettoPro" w:hAnsi="NettoPro" w:cs="NettoPro"/>
                <w:b w:val="0"/>
              </w:rPr>
              <w:t xml:space="preserve">Tisk z těchto zemí: </w:t>
            </w:r>
            <w:r w:rsidR="00762C42" w:rsidRPr="005E313B">
              <w:rPr>
                <w:rFonts w:ascii="NettoPro" w:hAnsi="NettoPro" w:cs="NettoPro"/>
              </w:rPr>
              <w:t>CZ</w:t>
            </w:r>
          </w:p>
          <w:p w14:paraId="35E4ED20" w14:textId="73EBBDC2" w:rsidR="00B8394A" w:rsidRPr="005E313B" w:rsidRDefault="00EF1CAC" w:rsidP="00F62B93">
            <w:pPr>
              <w:pStyle w:val="Podnadpis1"/>
              <w:numPr>
                <w:ilvl w:val="0"/>
                <w:numId w:val="0"/>
              </w:numPr>
              <w:spacing w:line="240" w:lineRule="auto"/>
              <w:ind w:left="360"/>
              <w:rPr>
                <w:rFonts w:ascii="NettoPro" w:hAnsi="NettoPro" w:cs="NettoPro"/>
                <w:b w:val="0"/>
              </w:rPr>
            </w:pPr>
            <w:sdt>
              <w:sdtPr>
                <w:rPr>
                  <w:rFonts w:ascii="NettoPro" w:hAnsi="NettoPro" w:cs="NettoPro"/>
                  <w:color w:val="auto"/>
                </w:rPr>
                <w:id w:val="448591112"/>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94A" w:rsidRPr="005E313B">
              <w:rPr>
                <w:rFonts w:ascii="NettoPro" w:hAnsi="NettoPro" w:cs="NettoPro"/>
                <w:b w:val="0"/>
                <w:color w:val="auto"/>
              </w:rPr>
              <w:t xml:space="preserve"> </w:t>
            </w:r>
            <w:r w:rsidR="00B8394A" w:rsidRPr="005E313B">
              <w:rPr>
                <w:rFonts w:ascii="NettoPro" w:hAnsi="NettoPro" w:cs="NettoPro"/>
                <w:b w:val="0"/>
              </w:rPr>
              <w:t xml:space="preserve">TV a rozhlas z těchto zemí: </w:t>
            </w:r>
            <w:r w:rsidR="00762C42" w:rsidRPr="005E313B">
              <w:rPr>
                <w:rFonts w:ascii="NettoPro" w:hAnsi="NettoPro" w:cs="NettoPro"/>
              </w:rPr>
              <w:t>CZ</w:t>
            </w:r>
          </w:p>
          <w:p w14:paraId="2A69AAAF" w14:textId="04CBCC55" w:rsidR="00B8394A" w:rsidRPr="005E313B" w:rsidRDefault="00EF1CAC" w:rsidP="00F62B93">
            <w:pPr>
              <w:pStyle w:val="Podnadpis1"/>
              <w:numPr>
                <w:ilvl w:val="0"/>
                <w:numId w:val="0"/>
              </w:numPr>
              <w:spacing w:line="240" w:lineRule="auto"/>
              <w:ind w:left="360"/>
              <w:rPr>
                <w:rFonts w:ascii="NettoPro" w:hAnsi="NettoPro" w:cs="NettoPro"/>
                <w:b w:val="0"/>
                <w:bCs w:val="0"/>
              </w:rPr>
            </w:pPr>
            <w:sdt>
              <w:sdtPr>
                <w:rPr>
                  <w:rFonts w:ascii="NettoPro" w:hAnsi="NettoPro" w:cs="NettoPro"/>
                  <w:color w:val="auto"/>
                </w:rPr>
                <w:id w:val="-1896343880"/>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94A" w:rsidRPr="005E313B">
              <w:rPr>
                <w:rFonts w:ascii="NettoPro" w:hAnsi="NettoPro" w:cs="NettoPro"/>
                <w:b w:val="0"/>
                <w:color w:val="auto"/>
              </w:rPr>
              <w:t xml:space="preserve"> </w:t>
            </w:r>
            <w:r w:rsidR="00B8394A" w:rsidRPr="005E313B">
              <w:rPr>
                <w:rFonts w:ascii="NettoPro" w:hAnsi="NettoPro" w:cs="NettoPro"/>
                <w:b w:val="0"/>
              </w:rPr>
              <w:t xml:space="preserve">Online weby z těchto zemí: </w:t>
            </w:r>
            <w:r w:rsidR="00762C42" w:rsidRPr="005E313B">
              <w:rPr>
                <w:rFonts w:ascii="NettoPro" w:hAnsi="NettoPro" w:cs="NettoPro"/>
              </w:rPr>
              <w:t>CZ</w:t>
            </w:r>
          </w:p>
          <w:p w14:paraId="3A962B82" w14:textId="4550A025" w:rsidR="00B83D54" w:rsidRPr="005E313B" w:rsidRDefault="00EF1CAC" w:rsidP="00B83D54">
            <w:pPr>
              <w:ind w:left="360"/>
              <w:rPr>
                <w:rFonts w:ascii="NettoPro" w:hAnsi="NettoPro" w:cs="NettoPro"/>
                <w:b w:val="0"/>
                <w:bCs w:val="0"/>
              </w:rPr>
            </w:pPr>
            <w:sdt>
              <w:sdtPr>
                <w:rPr>
                  <w:rFonts w:ascii="NettoPro" w:hAnsi="NettoPro" w:cs="NettoPro"/>
                  <w:color w:val="auto"/>
                </w:rPr>
                <w:id w:val="1229501478"/>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D54" w:rsidRPr="005E313B">
              <w:rPr>
                <w:rFonts w:ascii="NettoPro" w:hAnsi="NettoPro" w:cs="NettoPro"/>
                <w:b w:val="0"/>
                <w:color w:val="auto"/>
              </w:rPr>
              <w:t xml:space="preserve"> </w:t>
            </w:r>
            <w:r w:rsidR="00B83D54" w:rsidRPr="005E313B">
              <w:rPr>
                <w:rFonts w:ascii="NettoPro" w:hAnsi="NettoPro" w:cs="NettoPro"/>
                <w:b w:val="0"/>
              </w:rPr>
              <w:t>Sociální média</w:t>
            </w:r>
            <w:r w:rsidR="002B051D" w:rsidRPr="005E313B">
              <w:rPr>
                <w:rFonts w:ascii="NettoPro" w:hAnsi="NettoPro" w:cs="NettoPro"/>
                <w:b w:val="0"/>
              </w:rPr>
              <w:t xml:space="preserve"> z těchto zemi</w:t>
            </w:r>
            <w:r w:rsidR="00B83D54" w:rsidRPr="005E313B">
              <w:rPr>
                <w:rFonts w:ascii="NettoPro" w:hAnsi="NettoPro" w:cs="NettoPro"/>
                <w:b w:val="0"/>
              </w:rPr>
              <w:t xml:space="preserve">: </w:t>
            </w:r>
            <w:r w:rsidR="00762C42" w:rsidRPr="005E313B">
              <w:rPr>
                <w:rFonts w:ascii="NettoPro" w:hAnsi="NettoPro" w:cs="NettoPro"/>
              </w:rPr>
              <w:t>CZ</w:t>
            </w:r>
          </w:p>
          <w:p w14:paraId="32C5CF0C" w14:textId="1FCBC42F" w:rsidR="00B8394A" w:rsidRPr="005E313B" w:rsidRDefault="00B8394A">
            <w:pPr>
              <w:pStyle w:val="Podnadpis1"/>
              <w:numPr>
                <w:ilvl w:val="0"/>
                <w:numId w:val="0"/>
              </w:numPr>
              <w:spacing w:line="240" w:lineRule="auto"/>
              <w:ind w:left="360"/>
              <w:rPr>
                <w:rFonts w:ascii="NettoPro" w:hAnsi="NettoPro" w:cs="NettoPro"/>
                <w:b w:val="0"/>
                <w:bCs w:val="0"/>
              </w:rPr>
            </w:pPr>
          </w:p>
        </w:tc>
      </w:tr>
      <w:tr w:rsidR="00B8394A" w:rsidRPr="005E313B" w14:paraId="155708F7" w14:textId="77777777" w:rsidTr="00B84FB8">
        <w:trPr>
          <w:trHeight w:val="761"/>
        </w:trPr>
        <w:tc>
          <w:tcPr>
            <w:cnfStyle w:val="001000000000" w:firstRow="0" w:lastRow="0" w:firstColumn="1" w:lastColumn="0" w:oddVBand="0" w:evenVBand="0" w:oddHBand="0" w:evenHBand="0" w:firstRowFirstColumn="0" w:firstRowLastColumn="0" w:lastRowFirstColumn="0" w:lastRowLastColumn="0"/>
            <w:tcW w:w="9759" w:type="dxa"/>
          </w:tcPr>
          <w:p w14:paraId="28CC9570" w14:textId="2A3F97F3" w:rsidR="00B8394A" w:rsidRPr="005E313B" w:rsidRDefault="00961524" w:rsidP="00EC30E2">
            <w:pPr>
              <w:pStyle w:val="Podnadpis1"/>
              <w:numPr>
                <w:ilvl w:val="0"/>
                <w:numId w:val="0"/>
              </w:numPr>
              <w:ind w:left="360"/>
              <w:rPr>
                <w:rFonts w:ascii="NettoPro" w:hAnsi="NettoPro" w:cs="NettoPro"/>
                <w:b w:val="0"/>
              </w:rPr>
            </w:pPr>
            <w:r w:rsidRPr="005E313B">
              <w:rPr>
                <w:rFonts w:ascii="NettoPro" w:hAnsi="NettoPro" w:cs="NettoPro"/>
                <w:b w:val="0"/>
              </w:rPr>
              <w:t>Jazykové verze</w:t>
            </w:r>
            <w:r w:rsidR="00B8394A" w:rsidRPr="005E313B">
              <w:rPr>
                <w:rFonts w:ascii="NettoPro" w:hAnsi="NettoPro" w:cs="NettoPro"/>
                <w:b w:val="0"/>
              </w:rPr>
              <w:t>:</w:t>
            </w:r>
          </w:p>
          <w:p w14:paraId="4B8DADF2" w14:textId="2B479DF6" w:rsidR="00B8394A" w:rsidRPr="005E313B" w:rsidRDefault="00EF1CAC" w:rsidP="00F62B93">
            <w:pPr>
              <w:pStyle w:val="Podnadpis1"/>
              <w:numPr>
                <w:ilvl w:val="0"/>
                <w:numId w:val="0"/>
              </w:numPr>
              <w:spacing w:line="240" w:lineRule="auto"/>
              <w:ind w:left="360"/>
              <w:rPr>
                <w:rFonts w:ascii="NettoPro" w:hAnsi="NettoPro" w:cs="NettoPro"/>
                <w:b w:val="0"/>
              </w:rPr>
            </w:pPr>
            <w:sdt>
              <w:sdtPr>
                <w:rPr>
                  <w:rFonts w:ascii="NettoPro" w:hAnsi="NettoPro" w:cs="NettoPro"/>
                  <w:color w:val="auto"/>
                </w:rPr>
                <w:id w:val="1975093628"/>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8394A" w:rsidRPr="005E313B">
              <w:rPr>
                <w:rFonts w:ascii="NettoPro" w:hAnsi="NettoPro" w:cs="NettoPro"/>
              </w:rPr>
              <w:t xml:space="preserve"> </w:t>
            </w:r>
            <w:r w:rsidR="00762C42" w:rsidRPr="005E313B">
              <w:rPr>
                <w:rFonts w:ascii="NettoPro" w:hAnsi="NettoPro" w:cs="NettoPro"/>
              </w:rPr>
              <w:t>CZ</w:t>
            </w:r>
          </w:p>
        </w:tc>
      </w:tr>
      <w:tr w:rsidR="00B8394A" w:rsidRPr="005E313B" w14:paraId="0FFCCCCA" w14:textId="77777777" w:rsidTr="00F62B9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0235ECAE" w14:textId="77777777" w:rsidR="00B8394A" w:rsidRPr="005E313B" w:rsidRDefault="00B8394A" w:rsidP="00F62B93">
            <w:pPr>
              <w:spacing w:line="276" w:lineRule="auto"/>
              <w:ind w:left="360"/>
              <w:rPr>
                <w:rFonts w:ascii="NettoPro" w:hAnsi="NettoPro" w:cs="NettoPro"/>
                <w:b w:val="0"/>
              </w:rPr>
            </w:pPr>
            <w:r w:rsidRPr="005E313B">
              <w:rPr>
                <w:rFonts w:ascii="NettoPro" w:hAnsi="NettoPro" w:cs="NettoPro"/>
              </w:rPr>
              <w:br/>
            </w:r>
            <w:r w:rsidRPr="005E313B">
              <w:rPr>
                <w:rFonts w:ascii="NettoPro" w:hAnsi="NettoPro" w:cs="NettoPro"/>
                <w:b w:val="0"/>
              </w:rPr>
              <w:t>Výstupy dat:</w:t>
            </w:r>
          </w:p>
          <w:p w14:paraId="7F30FEEA" w14:textId="3F9E788E" w:rsidR="006D0209" w:rsidRPr="005E313B" w:rsidRDefault="00B8394A" w:rsidP="00EC30E2">
            <w:pPr>
              <w:pStyle w:val="Podnadpis1"/>
              <w:numPr>
                <w:ilvl w:val="0"/>
                <w:numId w:val="0"/>
              </w:numPr>
              <w:spacing w:line="276" w:lineRule="auto"/>
              <w:ind w:left="360"/>
              <w:rPr>
                <w:rFonts w:ascii="NettoPro" w:hAnsi="NettoPro" w:cs="NettoPro"/>
                <w:b w:val="0"/>
                <w:bCs w:val="0"/>
              </w:rPr>
            </w:pPr>
            <w:r w:rsidRPr="005E313B">
              <w:rPr>
                <w:rFonts w:ascii="NettoPro" w:hAnsi="NettoPro" w:cs="NettoPro"/>
                <w:b w:val="0"/>
              </w:rPr>
              <w:t>Dodavatel bude předávat výsledky Mediální analýzy formou dokumentu ve formátu</w:t>
            </w:r>
            <w:r w:rsidR="006D0209" w:rsidRPr="005E313B">
              <w:rPr>
                <w:rFonts w:ascii="NettoPro" w:hAnsi="NettoPro" w:cs="NettoPro"/>
                <w:b w:val="0"/>
              </w:rPr>
              <w:t>:</w:t>
            </w:r>
          </w:p>
          <w:p w14:paraId="20A0AE1E" w14:textId="2A1B52EA" w:rsidR="00E534A6" w:rsidRPr="005E313B" w:rsidRDefault="00EF1CAC" w:rsidP="00200698">
            <w:pPr>
              <w:ind w:left="360"/>
              <w:rPr>
                <w:rFonts w:ascii="NettoPro" w:hAnsi="NettoPro" w:cs="NettoPro"/>
                <w:b w:val="0"/>
                <w:bCs w:val="0"/>
              </w:rPr>
            </w:pPr>
            <w:sdt>
              <w:sdtPr>
                <w:rPr>
                  <w:rFonts w:ascii="NettoPro" w:hAnsi="NettoPro" w:cs="NettoPro"/>
                  <w:color w:val="auto"/>
                </w:rPr>
                <w:id w:val="735048964"/>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6D0209" w:rsidRPr="005E313B">
              <w:rPr>
                <w:rFonts w:ascii="NettoPro" w:hAnsi="NettoPro" w:cs="NettoPro"/>
                <w:b w:val="0"/>
                <w:color w:val="auto"/>
              </w:rPr>
              <w:t xml:space="preserve"> </w:t>
            </w:r>
            <w:r w:rsidR="006D0209" w:rsidRPr="005E313B">
              <w:rPr>
                <w:rFonts w:ascii="NettoPro" w:hAnsi="NettoPro" w:cs="NettoPro"/>
                <w:b w:val="0"/>
              </w:rPr>
              <w:t xml:space="preserve">PDF    </w:t>
            </w:r>
            <w:sdt>
              <w:sdtPr>
                <w:rPr>
                  <w:rFonts w:ascii="NettoPro" w:hAnsi="NettoPro" w:cs="NettoPro"/>
                  <w:color w:val="auto"/>
                </w:rPr>
                <w:id w:val="392173748"/>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6D0209" w:rsidRPr="005E313B">
              <w:rPr>
                <w:rFonts w:ascii="NettoPro" w:hAnsi="NettoPro" w:cs="NettoPro"/>
                <w:b w:val="0"/>
                <w:color w:val="auto"/>
              </w:rPr>
              <w:t xml:space="preserve"> </w:t>
            </w:r>
            <w:r w:rsidR="006D0209" w:rsidRPr="005E313B">
              <w:rPr>
                <w:rFonts w:ascii="NettoPro" w:hAnsi="NettoPro" w:cs="NettoPro"/>
                <w:b w:val="0"/>
              </w:rPr>
              <w:t xml:space="preserve">DOCX  </w:t>
            </w:r>
            <w:sdt>
              <w:sdtPr>
                <w:rPr>
                  <w:rFonts w:ascii="NettoPro" w:hAnsi="NettoPro" w:cs="NettoPro"/>
                  <w:color w:val="auto"/>
                </w:rPr>
                <w:id w:val="-489718964"/>
                <w14:checkbox>
                  <w14:checked w14:val="1"/>
                  <w14:checkedState w14:val="2612" w14:font="MS Gothic"/>
                  <w14:uncheckedState w14:val="2610" w14:font="MS Gothic"/>
                </w14:checkbox>
              </w:sdtPr>
              <w:sdtEndPr/>
              <w:sdtContent>
                <w:r w:rsidR="00D62EFE" w:rsidRPr="005E313B">
                  <w:rPr>
                    <w:rFonts w:ascii="Segoe UI Symbol" w:eastAsia="MS Gothic" w:hAnsi="Segoe UI Symbol" w:cs="Segoe UI Symbol"/>
                    <w:b w:val="0"/>
                    <w:color w:val="auto"/>
                  </w:rPr>
                  <w:t>☒</w:t>
                </w:r>
              </w:sdtContent>
            </w:sdt>
            <w:r w:rsidR="00347737" w:rsidRPr="005E313B">
              <w:rPr>
                <w:rFonts w:ascii="NettoPro" w:hAnsi="NettoPro" w:cs="NettoPro"/>
                <w:b w:val="0"/>
                <w:color w:val="auto"/>
              </w:rPr>
              <w:t xml:space="preserve"> </w:t>
            </w:r>
            <w:r w:rsidR="00347737" w:rsidRPr="005E313B">
              <w:rPr>
                <w:rFonts w:ascii="NettoPro" w:hAnsi="NettoPro" w:cs="NettoPro"/>
                <w:b w:val="0"/>
              </w:rPr>
              <w:t>PPTX</w:t>
            </w:r>
            <w:r w:rsidR="006D0209" w:rsidRPr="005E313B">
              <w:rPr>
                <w:rFonts w:ascii="NettoPro" w:hAnsi="NettoPro" w:cs="NettoPro"/>
                <w:b w:val="0"/>
              </w:rPr>
              <w:t xml:space="preserve">  </w:t>
            </w:r>
            <w:sdt>
              <w:sdtPr>
                <w:rPr>
                  <w:rFonts w:ascii="NettoPro" w:hAnsi="NettoPro" w:cs="NettoPro"/>
                  <w:color w:val="auto"/>
                </w:rPr>
                <w:id w:val="-70504216"/>
                <w14:checkbox>
                  <w14:checked w14:val="0"/>
                  <w14:checkedState w14:val="2612" w14:font="MS Gothic"/>
                  <w14:uncheckedState w14:val="2610" w14:font="MS Gothic"/>
                </w14:checkbox>
              </w:sdtPr>
              <w:sdtEndPr/>
              <w:sdtContent>
                <w:r w:rsidR="00AA12FC" w:rsidRPr="005E313B">
                  <w:rPr>
                    <w:rFonts w:ascii="Segoe UI Symbol" w:eastAsia="MS Gothic" w:hAnsi="Segoe UI Symbol" w:cs="Segoe UI Symbol"/>
                    <w:b w:val="0"/>
                    <w:color w:val="auto"/>
                  </w:rPr>
                  <w:t>☐</w:t>
                </w:r>
              </w:sdtContent>
            </w:sdt>
            <w:r w:rsidR="006D0209" w:rsidRPr="005E313B">
              <w:rPr>
                <w:rFonts w:ascii="NettoPro" w:hAnsi="NettoPro" w:cs="NettoPro"/>
                <w:b w:val="0"/>
                <w:color w:val="auto"/>
              </w:rPr>
              <w:t xml:space="preserve"> </w:t>
            </w:r>
            <w:r w:rsidR="006D0209" w:rsidRPr="005E313B">
              <w:rPr>
                <w:rFonts w:ascii="NettoPro" w:hAnsi="NettoPro" w:cs="NettoPro"/>
                <w:b w:val="0"/>
              </w:rPr>
              <w:t>XLSX</w:t>
            </w:r>
            <w:r w:rsidR="00347737" w:rsidRPr="005E313B">
              <w:rPr>
                <w:rFonts w:ascii="NettoPro" w:hAnsi="NettoPro" w:cs="NettoPro"/>
                <w:b w:val="0"/>
              </w:rPr>
              <w:t xml:space="preserve"> </w:t>
            </w:r>
            <w:r w:rsidR="00347737" w:rsidRPr="005E313B">
              <w:rPr>
                <w:rFonts w:ascii="NettoPro" w:hAnsi="NettoPro" w:cs="NettoPro"/>
                <w:b w:val="0"/>
                <w:color w:val="auto"/>
              </w:rPr>
              <w:t xml:space="preserve"> </w:t>
            </w:r>
          </w:p>
          <w:p w14:paraId="000D0382" w14:textId="77777777" w:rsidR="003F4D84" w:rsidRPr="005E313B" w:rsidRDefault="00EF1CAC" w:rsidP="00E534A6">
            <w:pPr>
              <w:pStyle w:val="Podnadpis1"/>
              <w:numPr>
                <w:ilvl w:val="0"/>
                <w:numId w:val="0"/>
              </w:numPr>
              <w:spacing w:line="276" w:lineRule="auto"/>
              <w:ind w:left="360"/>
              <w:rPr>
                <w:rFonts w:ascii="NettoPro" w:hAnsi="NettoPro" w:cs="NettoPro"/>
                <w:bCs w:val="0"/>
              </w:rPr>
            </w:pPr>
            <w:sdt>
              <w:sdtPr>
                <w:rPr>
                  <w:rFonts w:ascii="NettoPro" w:hAnsi="NettoPro" w:cs="NettoPro"/>
                  <w:color w:val="auto"/>
                </w:rPr>
                <w:id w:val="-1346323948"/>
                <w14:checkbox>
                  <w14:checked w14:val="1"/>
                  <w14:checkedState w14:val="2612" w14:font="MS Gothic"/>
                  <w14:uncheckedState w14:val="2610" w14:font="MS Gothic"/>
                </w14:checkbox>
              </w:sdtPr>
              <w:sdtEndPr/>
              <w:sdtContent>
                <w:r w:rsidR="009D63DA" w:rsidRPr="005E313B">
                  <w:rPr>
                    <w:rFonts w:ascii="Segoe UI Symbol" w:eastAsia="MS Gothic" w:hAnsi="Segoe UI Symbol" w:cs="Segoe UI Symbol"/>
                    <w:color w:val="auto"/>
                  </w:rPr>
                  <w:t>☒</w:t>
                </w:r>
              </w:sdtContent>
            </w:sdt>
            <w:r w:rsidR="00DD00B8" w:rsidRPr="005E313B">
              <w:rPr>
                <w:rFonts w:ascii="NettoPro" w:hAnsi="NettoPro" w:cs="NettoPro"/>
                <w:b w:val="0"/>
                <w:color w:val="auto"/>
              </w:rPr>
              <w:t xml:space="preserve"> </w:t>
            </w:r>
            <w:r w:rsidR="00E534A6" w:rsidRPr="005E313B">
              <w:rPr>
                <w:rFonts w:ascii="NettoPro" w:hAnsi="NettoPro" w:cs="NettoPro"/>
                <w:b w:val="0"/>
              </w:rPr>
              <w:t>Zaslané na emailové adresy vybraných zaměstnanců</w:t>
            </w:r>
            <w:r w:rsidR="00B83D54" w:rsidRPr="005E313B">
              <w:rPr>
                <w:rFonts w:ascii="NettoPro" w:hAnsi="NettoPro" w:cs="NettoPro"/>
                <w:b w:val="0"/>
              </w:rPr>
              <w:t>:</w:t>
            </w:r>
            <w:r w:rsidR="00E534A6" w:rsidRPr="005E313B">
              <w:rPr>
                <w:rFonts w:ascii="NettoPro" w:hAnsi="NettoPro" w:cs="NettoPro"/>
                <w:b w:val="0"/>
              </w:rPr>
              <w:t xml:space="preserve"> </w:t>
            </w:r>
          </w:p>
          <w:p w14:paraId="1E3AA627" w14:textId="4E65AC99" w:rsidR="003F4D84" w:rsidRPr="00600A83" w:rsidRDefault="003F4D84" w:rsidP="003F4D84">
            <w:pPr>
              <w:pStyle w:val="Podnadpis1"/>
              <w:numPr>
                <w:ilvl w:val="0"/>
                <w:numId w:val="0"/>
              </w:numPr>
              <w:spacing w:line="276" w:lineRule="auto"/>
              <w:ind w:left="360"/>
              <w:rPr>
                <w:rFonts w:ascii="NettoPro" w:hAnsi="NettoPro" w:cs="NettoPro"/>
              </w:rPr>
            </w:pPr>
            <w:r w:rsidRPr="00600A83">
              <w:rPr>
                <w:rFonts w:ascii="NettoPro" w:hAnsi="NettoPro" w:cs="NettoPro"/>
              </w:rPr>
              <w:t xml:space="preserve">Martina Baráková, </w:t>
            </w:r>
            <w:r w:rsidR="006E1F2F">
              <w:rPr>
                <w:rFonts w:ascii="NettoPro" w:hAnsi="NettoPro" w:cs="NettoPro"/>
              </w:rPr>
              <w:t>xxxxxxxxxxxxx</w:t>
            </w:r>
          </w:p>
          <w:p w14:paraId="2F145CE0" w14:textId="7B9C74EC" w:rsidR="00E534A6" w:rsidRPr="00600A83" w:rsidRDefault="00EF1CAC" w:rsidP="00EC30E2">
            <w:pPr>
              <w:pStyle w:val="Podnadpis1"/>
              <w:numPr>
                <w:ilvl w:val="0"/>
                <w:numId w:val="0"/>
              </w:numPr>
              <w:spacing w:line="276" w:lineRule="auto"/>
              <w:ind w:left="360"/>
              <w:rPr>
                <w:rFonts w:ascii="NettoPro" w:hAnsi="NettoPro" w:cs="NettoPro"/>
                <w:b w:val="0"/>
              </w:rPr>
            </w:pPr>
            <w:sdt>
              <w:sdtPr>
                <w:rPr>
                  <w:rFonts w:ascii="NettoPro" w:hAnsi="NettoPro" w:cs="NettoPro"/>
                </w:rPr>
                <w:id w:val="-2069100925"/>
                <w14:checkbox>
                  <w14:checked w14:val="0"/>
                  <w14:checkedState w14:val="2612" w14:font="MS Gothic"/>
                  <w14:uncheckedState w14:val="2610" w14:font="MS Gothic"/>
                </w14:checkbox>
              </w:sdtPr>
              <w:sdtEndPr/>
              <w:sdtContent>
                <w:r w:rsidR="00B540ED" w:rsidRPr="00600A83">
                  <w:rPr>
                    <w:rFonts w:ascii="Segoe UI Symbol" w:eastAsia="MS Gothic" w:hAnsi="Segoe UI Symbol" w:cs="Segoe UI Symbol"/>
                  </w:rPr>
                  <w:t>☐</w:t>
                </w:r>
              </w:sdtContent>
            </w:sdt>
            <w:r w:rsidR="00DD00B8" w:rsidRPr="00600A83">
              <w:rPr>
                <w:rFonts w:ascii="NettoPro" w:hAnsi="NettoPro" w:cs="NettoPro"/>
                <w:b w:val="0"/>
              </w:rPr>
              <w:t xml:space="preserve"> D</w:t>
            </w:r>
            <w:r w:rsidR="00E534A6" w:rsidRPr="00600A83">
              <w:rPr>
                <w:rFonts w:ascii="NettoPro" w:hAnsi="NettoPro" w:cs="NettoPro"/>
                <w:b w:val="0"/>
              </w:rPr>
              <w:t xml:space="preserve">atové úložiště umístěné na adrese: </w:t>
            </w:r>
          </w:p>
          <w:p w14:paraId="6DD0CBEE" w14:textId="77777777" w:rsidR="006D0209" w:rsidRPr="00600A83" w:rsidRDefault="006D0209" w:rsidP="00200698">
            <w:pPr>
              <w:rPr>
                <w:rFonts w:ascii="NettoPro" w:hAnsi="NettoPro" w:cs="NettoPro"/>
              </w:rPr>
            </w:pPr>
          </w:p>
          <w:p w14:paraId="1C590D64" w14:textId="2578EE2D" w:rsidR="00B8394A" w:rsidRPr="00600A83" w:rsidRDefault="00B8394A" w:rsidP="00F62B93">
            <w:pPr>
              <w:spacing w:line="276" w:lineRule="auto"/>
              <w:ind w:left="360"/>
              <w:rPr>
                <w:rFonts w:ascii="NettoPro" w:hAnsi="NettoPro" w:cs="NettoPro"/>
                <w:b w:val="0"/>
                <w:bCs w:val="0"/>
              </w:rPr>
            </w:pPr>
            <w:r w:rsidRPr="00600A83">
              <w:rPr>
                <w:rFonts w:ascii="NettoPro" w:hAnsi="NettoPro" w:cs="NettoPro"/>
                <w:b w:val="0"/>
              </w:rPr>
              <w:t>Deadline a frekvence:</w:t>
            </w:r>
          </w:p>
          <w:p w14:paraId="1F638847" w14:textId="57FDC2BD" w:rsidR="00B8394A" w:rsidRPr="00600A83" w:rsidRDefault="005F0AFF" w:rsidP="00F62B93">
            <w:pPr>
              <w:pStyle w:val="Podnadpis1"/>
              <w:numPr>
                <w:ilvl w:val="0"/>
                <w:numId w:val="0"/>
              </w:numPr>
              <w:spacing w:line="276" w:lineRule="auto"/>
              <w:ind w:left="360"/>
              <w:rPr>
                <w:rFonts w:ascii="NettoPro" w:hAnsi="NettoPro" w:cs="NettoPro"/>
                <w:b w:val="0"/>
                <w:bCs w:val="0"/>
              </w:rPr>
            </w:pPr>
            <w:r w:rsidRPr="00600A83">
              <w:rPr>
                <w:rFonts w:ascii="NettoPro" w:hAnsi="NettoPro" w:cs="NettoPro"/>
                <w:b w:val="0"/>
              </w:rPr>
              <w:t>Datum dodání</w:t>
            </w:r>
            <w:r w:rsidR="00B8394A" w:rsidRPr="00600A83">
              <w:rPr>
                <w:rFonts w:ascii="NettoPro" w:hAnsi="NettoPro" w:cs="NettoPro"/>
                <w:b w:val="0"/>
              </w:rPr>
              <w:t xml:space="preserve">: </w:t>
            </w:r>
            <w:r w:rsidR="004803F3" w:rsidRPr="00600A83">
              <w:rPr>
                <w:rFonts w:ascii="NettoPro" w:hAnsi="NettoPro" w:cs="NettoPro"/>
              </w:rPr>
              <w:t xml:space="preserve">makro analýza do konce </w:t>
            </w:r>
            <w:r w:rsidR="00B540ED" w:rsidRPr="00600A83">
              <w:rPr>
                <w:rFonts w:ascii="NettoPro" w:hAnsi="NettoPro" w:cs="NettoPro"/>
              </w:rPr>
              <w:t>31. 5</w:t>
            </w:r>
            <w:r w:rsidR="001E7552" w:rsidRPr="00600A83">
              <w:rPr>
                <w:rFonts w:ascii="NettoPro" w:hAnsi="NettoPro" w:cs="NettoPro"/>
              </w:rPr>
              <w:t>.</w:t>
            </w:r>
            <w:r w:rsidR="004803F3" w:rsidRPr="00600A83">
              <w:rPr>
                <w:rFonts w:ascii="NettoPro" w:hAnsi="NettoPro" w:cs="NettoPro"/>
              </w:rPr>
              <w:t xml:space="preserve"> 2023, detailní analýza do</w:t>
            </w:r>
            <w:r w:rsidR="00B540ED" w:rsidRPr="00600A83">
              <w:rPr>
                <w:rFonts w:ascii="NettoPro" w:hAnsi="NettoPro" w:cs="NettoPro"/>
              </w:rPr>
              <w:t xml:space="preserve"> 31.</w:t>
            </w:r>
            <w:r w:rsidR="001E7552" w:rsidRPr="00600A83">
              <w:rPr>
                <w:rFonts w:ascii="NettoPro" w:hAnsi="NettoPro" w:cs="NettoPro"/>
              </w:rPr>
              <w:t xml:space="preserve"> </w:t>
            </w:r>
            <w:r w:rsidR="00B540ED" w:rsidRPr="00600A83">
              <w:rPr>
                <w:rFonts w:ascii="NettoPro" w:hAnsi="NettoPro" w:cs="NettoPro"/>
              </w:rPr>
              <w:t>7.</w:t>
            </w:r>
            <w:r w:rsidR="004803F3" w:rsidRPr="00600A83">
              <w:rPr>
                <w:rFonts w:ascii="NettoPro" w:hAnsi="NettoPro" w:cs="NettoPro"/>
              </w:rPr>
              <w:t xml:space="preserve"> 2023</w:t>
            </w:r>
            <w:r w:rsidR="00B540ED" w:rsidRPr="00600A83">
              <w:rPr>
                <w:rFonts w:ascii="NettoPro" w:hAnsi="NettoPro" w:cs="NettoPro"/>
              </w:rPr>
              <w:t>.</w:t>
            </w:r>
          </w:p>
          <w:p w14:paraId="486FC231" w14:textId="2310EA1B" w:rsidR="00B8394A" w:rsidRPr="00600A83" w:rsidRDefault="00B8394A" w:rsidP="00F62B93">
            <w:pPr>
              <w:pStyle w:val="Podnadpis1"/>
              <w:numPr>
                <w:ilvl w:val="0"/>
                <w:numId w:val="0"/>
              </w:numPr>
              <w:spacing w:line="276" w:lineRule="auto"/>
              <w:ind w:left="360"/>
              <w:rPr>
                <w:rFonts w:ascii="NettoPro" w:hAnsi="NettoPro" w:cs="NettoPro"/>
                <w:b w:val="0"/>
              </w:rPr>
            </w:pPr>
            <w:r w:rsidRPr="00600A83">
              <w:rPr>
                <w:rFonts w:ascii="NettoPro" w:hAnsi="NettoPro" w:cs="NettoPro"/>
                <w:b w:val="0"/>
              </w:rPr>
              <w:t xml:space="preserve">Frekvence zasílání: </w:t>
            </w:r>
            <w:r w:rsidR="00762C42" w:rsidRPr="00600A83">
              <w:rPr>
                <w:rFonts w:ascii="NettoPro" w:hAnsi="NettoPro" w:cs="NettoPro"/>
              </w:rPr>
              <w:t>1X</w:t>
            </w:r>
          </w:p>
          <w:p w14:paraId="0279A6B3" w14:textId="77777777" w:rsidR="00B8394A" w:rsidRPr="005E313B" w:rsidRDefault="00B8394A" w:rsidP="00F62B93">
            <w:pPr>
              <w:rPr>
                <w:rFonts w:ascii="NettoPro" w:hAnsi="NettoPro" w:cs="NettoPro"/>
              </w:rPr>
            </w:pPr>
          </w:p>
        </w:tc>
      </w:tr>
      <w:bookmarkEnd w:id="1"/>
    </w:tbl>
    <w:p w14:paraId="2D62079C" w14:textId="77777777" w:rsidR="00174423" w:rsidRPr="005E313B" w:rsidRDefault="00174423" w:rsidP="000B6A51">
      <w:pPr>
        <w:rPr>
          <w:rFonts w:ascii="NettoPro" w:hAnsi="NettoPro" w:cs="NettoPro"/>
          <w:highlight w:val="yellow"/>
        </w:rPr>
      </w:pPr>
    </w:p>
    <w:p w14:paraId="6ACCDCF8" w14:textId="77777777" w:rsidR="007D204B" w:rsidRPr="005E313B" w:rsidRDefault="007D204B" w:rsidP="00A12C55">
      <w:pPr>
        <w:pStyle w:val="Podnadpis1"/>
        <w:tabs>
          <w:tab w:val="clear" w:pos="709"/>
        </w:tabs>
        <w:jc w:val="both"/>
        <w:rPr>
          <w:rFonts w:ascii="NettoPro" w:hAnsi="NettoPro" w:cs="NettoPro"/>
        </w:rPr>
      </w:pPr>
      <w:r w:rsidRPr="005E313B">
        <w:rPr>
          <w:rFonts w:ascii="NettoPro" w:hAnsi="NettoPro" w:cs="NettoPro"/>
        </w:rPr>
        <w:lastRenderedPageBreak/>
        <w:t>Odběratel se touto smlouvou zavazuje zaplatit dodavatel</w:t>
      </w:r>
      <w:r w:rsidR="002764D3" w:rsidRPr="005E313B">
        <w:rPr>
          <w:rFonts w:ascii="NettoPro" w:hAnsi="NettoPro" w:cs="NettoPro"/>
        </w:rPr>
        <w:t xml:space="preserve">i za jeho plnění odměnu dle </w:t>
      </w:r>
      <w:r w:rsidR="00142E2D" w:rsidRPr="005E313B">
        <w:rPr>
          <w:rFonts w:ascii="NettoPro" w:hAnsi="NettoPro" w:cs="NettoPro"/>
        </w:rPr>
        <w:t xml:space="preserve">zvoleného rozsahu služeb (dále jen </w:t>
      </w:r>
      <w:r w:rsidR="00227193" w:rsidRPr="005E313B">
        <w:rPr>
          <w:rFonts w:ascii="NettoPro" w:hAnsi="NettoPro" w:cs="NettoPro"/>
        </w:rPr>
        <w:t>„</w:t>
      </w:r>
      <w:r w:rsidR="00142E2D" w:rsidRPr="005E313B">
        <w:rPr>
          <w:rFonts w:ascii="NettoPro" w:hAnsi="NettoPro" w:cs="NettoPro"/>
        </w:rPr>
        <w:t>odměna</w:t>
      </w:r>
      <w:r w:rsidR="00227193" w:rsidRPr="005E313B">
        <w:rPr>
          <w:rFonts w:ascii="NettoPro" w:hAnsi="NettoPro" w:cs="NettoPro"/>
        </w:rPr>
        <w:t>“</w:t>
      </w:r>
      <w:r w:rsidR="00142E2D" w:rsidRPr="005E313B">
        <w:rPr>
          <w:rFonts w:ascii="NettoPro" w:hAnsi="NettoPro" w:cs="NettoPro"/>
        </w:rPr>
        <w:t xml:space="preserve">) dle </w:t>
      </w:r>
      <w:r w:rsidR="00A6279C" w:rsidRPr="005E313B">
        <w:rPr>
          <w:rFonts w:ascii="NettoPro" w:hAnsi="NettoPro" w:cs="NettoPro"/>
        </w:rPr>
        <w:t>článku 2 této smlouvy.</w:t>
      </w:r>
    </w:p>
    <w:p w14:paraId="5045FF98" w14:textId="77777777" w:rsidR="00142E2D" w:rsidRPr="005E313B" w:rsidRDefault="00142E2D" w:rsidP="005738BD">
      <w:pPr>
        <w:pStyle w:val="Podnadpis1"/>
        <w:jc w:val="both"/>
        <w:rPr>
          <w:rFonts w:ascii="NettoPro" w:hAnsi="NettoPro" w:cs="NettoPro"/>
        </w:rPr>
      </w:pPr>
      <w:r w:rsidRPr="005E313B">
        <w:rPr>
          <w:rFonts w:ascii="NettoPro" w:hAnsi="NettoPro" w:cs="NettoPro"/>
        </w:rPr>
        <w:t xml:space="preserve">Odběratel není oprávněn bez předchozího písemného souhlasu dodavatele </w:t>
      </w:r>
      <w:r w:rsidR="00E23CD3" w:rsidRPr="005E313B">
        <w:rPr>
          <w:rFonts w:ascii="NettoPro" w:hAnsi="NettoPro" w:cs="NettoPro"/>
        </w:rPr>
        <w:t xml:space="preserve">rozmnožovat, rozšiřovat, pronajímat, půjčovat, vystavovat, sdělovat veřejnosti či jinak </w:t>
      </w:r>
      <w:r w:rsidRPr="005E313B">
        <w:rPr>
          <w:rFonts w:ascii="NettoPro" w:hAnsi="NettoPro" w:cs="NettoPro"/>
        </w:rPr>
        <w:t xml:space="preserve">poskytnout nebo jakkoli zpřístupnit získaná data </w:t>
      </w:r>
      <w:r w:rsidR="009A1C98" w:rsidRPr="005E313B">
        <w:rPr>
          <w:rFonts w:ascii="NettoPro" w:hAnsi="NettoPro" w:cs="NettoPro"/>
        </w:rPr>
        <w:t>a výstupy</w:t>
      </w:r>
      <w:r w:rsidR="00E23CD3" w:rsidRPr="005E313B">
        <w:rPr>
          <w:rFonts w:ascii="NettoPro" w:hAnsi="NettoPro" w:cs="NettoPro"/>
        </w:rPr>
        <w:t>, představující plnění dodavatele dle článku 1 této smlouvy,</w:t>
      </w:r>
      <w:r w:rsidR="009A1C98" w:rsidRPr="005E313B">
        <w:rPr>
          <w:rFonts w:ascii="NettoPro" w:hAnsi="NettoPro" w:cs="NettoPro"/>
        </w:rPr>
        <w:t xml:space="preserve"> </w:t>
      </w:r>
      <w:r w:rsidR="00E23CD3" w:rsidRPr="005E313B">
        <w:rPr>
          <w:rFonts w:ascii="NettoPro" w:hAnsi="NettoPro" w:cs="NettoPro"/>
        </w:rPr>
        <w:t xml:space="preserve">jakýmkoliv </w:t>
      </w:r>
      <w:r w:rsidRPr="005E313B">
        <w:rPr>
          <w:rFonts w:ascii="NettoPro" w:hAnsi="NettoPro" w:cs="NettoPro"/>
        </w:rPr>
        <w:t>třetím osobám, za které se považují nejen fyzické a právnické osoby, ale i jejich společníci nebo členové, či organizační složky státu</w:t>
      </w:r>
      <w:r w:rsidR="00E23CD3" w:rsidRPr="005E313B">
        <w:rPr>
          <w:rFonts w:ascii="NettoPro" w:hAnsi="NettoPro" w:cs="NettoPro"/>
        </w:rPr>
        <w:t>, apod</w:t>
      </w:r>
      <w:r w:rsidR="00EE05DB" w:rsidRPr="005E313B">
        <w:rPr>
          <w:rFonts w:ascii="NettoPro" w:hAnsi="NettoPro" w:cs="NettoPro"/>
        </w:rPr>
        <w:t>.</w:t>
      </w:r>
    </w:p>
    <w:p w14:paraId="4A364456" w14:textId="370BEE4A" w:rsidR="00030AB2" w:rsidRPr="005E313B" w:rsidRDefault="00531A82" w:rsidP="005738BD">
      <w:pPr>
        <w:pStyle w:val="Podnadpis1"/>
        <w:jc w:val="both"/>
        <w:rPr>
          <w:rFonts w:ascii="NettoPro" w:hAnsi="NettoPro" w:cs="NettoPro"/>
        </w:rPr>
      </w:pPr>
      <w:r w:rsidRPr="005E313B">
        <w:rPr>
          <w:rFonts w:ascii="NettoPro" w:hAnsi="NettoPro" w:cs="NettoPro"/>
        </w:rPr>
        <w:t>Dodavatel a odběratel se odlišně od ustanovení u 1.3 této smlouvy dohodly, že dodavatel uděluje odběrateli povolení k předání dat těmto koncovým uživatelům:</w:t>
      </w:r>
    </w:p>
    <w:p w14:paraId="4CFEB86A" w14:textId="518EBFC9" w:rsidR="00531A82" w:rsidRPr="005E313B" w:rsidRDefault="00531A82" w:rsidP="00531A82">
      <w:pPr>
        <w:pStyle w:val="Podnadpis1"/>
        <w:numPr>
          <w:ilvl w:val="0"/>
          <w:numId w:val="0"/>
        </w:numPr>
        <w:ind w:left="708"/>
        <w:rPr>
          <w:rFonts w:ascii="NettoPro" w:hAnsi="NettoPro" w:cs="NettoPro"/>
        </w:rPr>
      </w:pPr>
      <w:r w:rsidRPr="005E313B">
        <w:rPr>
          <w:rFonts w:ascii="NettoPro" w:hAnsi="NettoPro" w:cs="NettoPro"/>
        </w:rPr>
        <w:t>Jméno subjektu</w:t>
      </w:r>
      <w:r w:rsidRPr="005E313B">
        <w:rPr>
          <w:rFonts w:ascii="NettoPro" w:hAnsi="NettoPro" w:cs="NettoPro"/>
        </w:rPr>
        <w:tab/>
      </w:r>
      <w:r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r w:rsidRPr="005E313B">
        <w:rPr>
          <w:rFonts w:ascii="NettoPro" w:hAnsi="NettoPro" w:cs="NettoPro"/>
        </w:rPr>
        <w:t xml:space="preserve"> </w:t>
      </w:r>
      <w:r w:rsidRPr="005E313B">
        <w:rPr>
          <w:rFonts w:ascii="NettoPro" w:hAnsi="NettoPro" w:cs="NettoPro"/>
        </w:rPr>
        <w:tab/>
      </w:r>
      <w:r w:rsidRPr="005E313B">
        <w:rPr>
          <w:rFonts w:ascii="NettoPro" w:hAnsi="NettoPro" w:cs="NettoPro"/>
        </w:rPr>
        <w:tab/>
      </w:r>
      <w:r w:rsidRPr="005E313B">
        <w:rPr>
          <w:rFonts w:ascii="NettoPro" w:hAnsi="NettoPro" w:cs="NettoPro"/>
        </w:rPr>
        <w:tab/>
      </w:r>
      <w:r w:rsidRPr="005E313B">
        <w:rPr>
          <w:rFonts w:ascii="NettoPro" w:hAnsi="NettoPro" w:cs="NettoPro"/>
        </w:rPr>
        <w:tab/>
        <w:t>Jméno subjektu</w:t>
      </w:r>
      <w:r w:rsidRPr="005E313B">
        <w:rPr>
          <w:rFonts w:ascii="NettoPro" w:hAnsi="NettoPro" w:cs="NettoPro"/>
        </w:rPr>
        <w:tab/>
      </w:r>
      <w:r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p>
    <w:p w14:paraId="37345A71" w14:textId="48BF0C70" w:rsidR="00531A82" w:rsidRPr="005E313B" w:rsidRDefault="00531A82" w:rsidP="00EC30E2">
      <w:pPr>
        <w:pStyle w:val="Podnadpis1"/>
        <w:numPr>
          <w:ilvl w:val="0"/>
          <w:numId w:val="0"/>
        </w:numPr>
        <w:ind w:left="708"/>
        <w:rPr>
          <w:rFonts w:ascii="NettoPro" w:hAnsi="NettoPro" w:cs="NettoPro"/>
        </w:rPr>
      </w:pPr>
      <w:r w:rsidRPr="005E313B">
        <w:rPr>
          <w:rFonts w:ascii="NettoPro" w:hAnsi="NettoPro" w:cs="NettoPro"/>
        </w:rPr>
        <w:t>Sídlo / Adresa</w:t>
      </w:r>
      <w:r w:rsidRPr="005E313B">
        <w:rPr>
          <w:rFonts w:ascii="NettoPro" w:hAnsi="NettoPro" w:cs="NettoPro"/>
        </w:rPr>
        <w:tab/>
      </w:r>
      <w:r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r w:rsidRPr="005E313B">
        <w:rPr>
          <w:rFonts w:ascii="NettoPro" w:hAnsi="NettoPro" w:cs="NettoPro"/>
        </w:rPr>
        <w:t xml:space="preserve"> </w:t>
      </w:r>
      <w:r w:rsidRPr="005E313B">
        <w:rPr>
          <w:rFonts w:ascii="NettoPro" w:hAnsi="NettoPro" w:cs="NettoPro"/>
        </w:rPr>
        <w:tab/>
      </w:r>
      <w:r w:rsidRPr="005E313B">
        <w:rPr>
          <w:rFonts w:ascii="NettoPro" w:hAnsi="NettoPro" w:cs="NettoPro"/>
        </w:rPr>
        <w:tab/>
      </w:r>
      <w:r w:rsidRPr="005E313B">
        <w:rPr>
          <w:rFonts w:ascii="NettoPro" w:hAnsi="NettoPro" w:cs="NettoPro"/>
        </w:rPr>
        <w:tab/>
      </w:r>
      <w:r w:rsidRPr="005E313B">
        <w:rPr>
          <w:rFonts w:ascii="NettoPro" w:hAnsi="NettoPro" w:cs="NettoPro"/>
        </w:rPr>
        <w:tab/>
        <w:t>Sídlo</w:t>
      </w:r>
      <w:r w:rsidRPr="005E313B">
        <w:rPr>
          <w:rFonts w:ascii="NettoPro" w:hAnsi="NettoPro" w:cs="NettoPro"/>
        </w:rPr>
        <w:tab/>
      </w:r>
      <w:r w:rsidRPr="005E313B">
        <w:rPr>
          <w:rFonts w:ascii="NettoPro" w:hAnsi="NettoPro" w:cs="NettoPro"/>
        </w:rPr>
        <w:tab/>
      </w:r>
      <w:r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p>
    <w:p w14:paraId="10186160" w14:textId="5883E5FE" w:rsidR="00531A82" w:rsidRPr="005E313B" w:rsidRDefault="00531A82" w:rsidP="00EC30E2">
      <w:pPr>
        <w:pStyle w:val="Podnadpis1"/>
        <w:numPr>
          <w:ilvl w:val="0"/>
          <w:numId w:val="0"/>
        </w:numPr>
        <w:ind w:left="708"/>
        <w:rPr>
          <w:rFonts w:ascii="NettoPro" w:hAnsi="NettoPro" w:cs="NettoPro"/>
        </w:rPr>
      </w:pPr>
      <w:r w:rsidRPr="005E313B">
        <w:rPr>
          <w:rFonts w:ascii="NettoPro" w:hAnsi="NettoPro" w:cs="NettoPro"/>
        </w:rPr>
        <w:t>Rozsah licence:</w:t>
      </w:r>
      <w:r w:rsidRPr="005E313B">
        <w:rPr>
          <w:rFonts w:ascii="NettoPro" w:hAnsi="NettoPro" w:cs="NettoPro"/>
        </w:rPr>
        <w:tab/>
      </w:r>
      <w:r w:rsidR="00030AB2"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r w:rsidRPr="005E313B">
        <w:rPr>
          <w:rFonts w:ascii="NettoPro" w:hAnsi="NettoPro" w:cs="NettoPro"/>
        </w:rPr>
        <w:tab/>
      </w:r>
      <w:r w:rsidRPr="005E313B">
        <w:rPr>
          <w:rFonts w:ascii="NettoPro" w:hAnsi="NettoPro" w:cs="NettoPro"/>
        </w:rPr>
        <w:tab/>
      </w:r>
      <w:r w:rsidRPr="005E313B">
        <w:rPr>
          <w:rFonts w:ascii="NettoPro" w:hAnsi="NettoPro" w:cs="NettoPro"/>
        </w:rPr>
        <w:tab/>
      </w:r>
      <w:r w:rsidRPr="005E313B">
        <w:rPr>
          <w:rFonts w:ascii="NettoPro" w:hAnsi="NettoPro" w:cs="NettoPro"/>
        </w:rPr>
        <w:tab/>
        <w:t>Rozsah licence:</w:t>
      </w:r>
      <w:r w:rsidR="00030AB2" w:rsidRPr="005E313B">
        <w:rPr>
          <w:rFonts w:ascii="NettoPro" w:hAnsi="NettoPro" w:cs="NettoPro"/>
        </w:rPr>
        <w:tab/>
      </w:r>
      <w:r w:rsidR="00030AB2" w:rsidRPr="005E313B">
        <w:rPr>
          <w:rFonts w:ascii="NettoPro" w:hAnsi="NettoPro" w:cs="NettoPro"/>
        </w:rPr>
        <w:tab/>
      </w:r>
      <w:r w:rsidR="00030AB2" w:rsidRPr="005E313B">
        <w:rPr>
          <w:rFonts w:ascii="NettoPro" w:hAnsi="NettoPro" w:cs="NettoPro"/>
        </w:rPr>
        <w:fldChar w:fldCharType="begin">
          <w:ffData>
            <w:name w:val=""/>
            <w:enabled/>
            <w:calcOnExit w:val="0"/>
            <w:textInput>
              <w:type w:val="date"/>
              <w:format w:val="dd.MM.yy"/>
            </w:textInput>
          </w:ffData>
        </w:fldChar>
      </w:r>
      <w:r w:rsidR="00030AB2" w:rsidRPr="005E313B">
        <w:rPr>
          <w:rFonts w:ascii="NettoPro" w:hAnsi="NettoPro" w:cs="NettoPro"/>
        </w:rPr>
        <w:instrText xml:space="preserve"> FORMTEXT </w:instrText>
      </w:r>
      <w:r w:rsidR="00030AB2" w:rsidRPr="005E313B">
        <w:rPr>
          <w:rFonts w:ascii="NettoPro" w:hAnsi="NettoPro" w:cs="NettoPro"/>
        </w:rPr>
      </w:r>
      <w:r w:rsidR="00030AB2" w:rsidRPr="005E313B">
        <w:rPr>
          <w:rFonts w:ascii="NettoPro" w:hAnsi="NettoPro" w:cs="NettoPro"/>
        </w:rPr>
        <w:fldChar w:fldCharType="separate"/>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t> </w:t>
      </w:r>
      <w:r w:rsidR="00030AB2" w:rsidRPr="005E313B">
        <w:rPr>
          <w:rFonts w:ascii="NettoPro" w:hAnsi="NettoPro" w:cs="NettoPro"/>
        </w:rPr>
        <w:fldChar w:fldCharType="end"/>
      </w:r>
    </w:p>
    <w:p w14:paraId="2202FC57" w14:textId="7B1D134A" w:rsidR="00531A82" w:rsidRPr="005E313B" w:rsidRDefault="00531A82" w:rsidP="005738BD">
      <w:pPr>
        <w:pStyle w:val="Podnadpis1"/>
        <w:numPr>
          <w:ilvl w:val="0"/>
          <w:numId w:val="0"/>
        </w:numPr>
        <w:ind w:left="708"/>
        <w:jc w:val="both"/>
        <w:rPr>
          <w:rFonts w:ascii="NettoPro" w:hAnsi="NettoPro" w:cs="NettoPro"/>
        </w:rPr>
      </w:pPr>
      <w:r w:rsidRPr="005E313B">
        <w:rPr>
          <w:rFonts w:ascii="NettoPro" w:hAnsi="NettoPro" w:cs="NettoPro"/>
        </w:rPr>
        <w:t>Odběratel se zavazuje, že těmto koncovým uživatelům uloží povinnost, aby dále nenakládali s daty a výstupy ve smyslu bodu 4.3 přílohy A této smlouvy. Na jakékoliv porušení této povinnosti koncovým uživatelem bude nahlíženo jako na porušení povinnosti odběratelem, který za toto porušení bude odpovídat a bude povinen uhradit smluvní pokutu dle bodu 4.3 přílohy A této smlouvy. V případě zániku oprávnění odběratele k nakládání s daty a výstupy mediální analýzy, zaniká i oprávnění koncových uživatelů nakládat s daty a výstupy ve smyslu bodu 4.3 přílohy A této smlouvy.</w:t>
      </w:r>
    </w:p>
    <w:p w14:paraId="305A43F2" w14:textId="77777777" w:rsidR="004803F3" w:rsidRPr="005E313B" w:rsidRDefault="004803F3" w:rsidP="00A12C55">
      <w:pPr>
        <w:pStyle w:val="Podnadpis1"/>
        <w:numPr>
          <w:ilvl w:val="0"/>
          <w:numId w:val="0"/>
        </w:numPr>
        <w:ind w:left="708"/>
        <w:jc w:val="both"/>
        <w:rPr>
          <w:rFonts w:ascii="NettoPro" w:hAnsi="NettoPro" w:cs="NettoPro"/>
        </w:rPr>
      </w:pPr>
      <w:r w:rsidRPr="005E313B">
        <w:rPr>
          <w:rFonts w:ascii="NettoPro" w:hAnsi="NettoPro" w:cs="NettoPro"/>
        </w:rPr>
        <w:t xml:space="preserve">Odběratel se touto smlouvou zavazuje poskytnout dodavateli nezbytnou součinnost pro řádné plnění jeho závazků vzniklých na základě této smlouvy. </w:t>
      </w:r>
    </w:p>
    <w:p w14:paraId="46F2776F" w14:textId="01894CEF" w:rsidR="004803F3" w:rsidRDefault="004803F3" w:rsidP="00A12C55">
      <w:pPr>
        <w:pStyle w:val="Podnadpis1"/>
        <w:numPr>
          <w:ilvl w:val="0"/>
          <w:numId w:val="0"/>
        </w:numPr>
        <w:ind w:left="708"/>
        <w:jc w:val="both"/>
        <w:rPr>
          <w:rFonts w:ascii="NettoPro" w:hAnsi="NettoPro" w:cs="NettoPro"/>
        </w:rPr>
      </w:pPr>
      <w:r w:rsidRPr="005E313B">
        <w:rPr>
          <w:rFonts w:ascii="NettoPro" w:hAnsi="NettoPro" w:cs="NettoPro"/>
        </w:rPr>
        <w:t xml:space="preserve">Podkladem pro uzavření smlouvy je nabídka </w:t>
      </w:r>
      <w:r w:rsidR="00BA7A88" w:rsidRPr="005E313B">
        <w:rPr>
          <w:rFonts w:ascii="NettoPro" w:hAnsi="NettoPro" w:cs="NettoPro"/>
        </w:rPr>
        <w:t>dodavatele</w:t>
      </w:r>
      <w:r w:rsidRPr="005E313B">
        <w:rPr>
          <w:rFonts w:ascii="NettoPro" w:hAnsi="NettoPro" w:cs="NettoPro"/>
        </w:rPr>
        <w:t xml:space="preserve"> ze dne 17. dubna 2023.</w:t>
      </w:r>
    </w:p>
    <w:p w14:paraId="428CEC16" w14:textId="50750FCD" w:rsidR="00A12C55" w:rsidRPr="00A12C55" w:rsidRDefault="00A12C55" w:rsidP="00A12C55">
      <w:pPr>
        <w:pStyle w:val="Podnadpis1"/>
        <w:numPr>
          <w:ilvl w:val="0"/>
          <w:numId w:val="0"/>
        </w:numPr>
        <w:ind w:left="709" w:hanging="709"/>
        <w:jc w:val="both"/>
        <w:rPr>
          <w:rFonts w:ascii="NettoPro" w:hAnsi="NettoPro" w:cs="NettoPro"/>
        </w:rPr>
      </w:pPr>
      <w:r w:rsidRPr="00A12C55">
        <w:rPr>
          <w:rFonts w:ascii="NettoPro" w:hAnsi="NettoPro" w:cs="NettoPro"/>
        </w:rPr>
        <w:t>1.5.</w:t>
      </w:r>
      <w:r w:rsidRPr="00A12C55">
        <w:rPr>
          <w:rFonts w:ascii="NettoPro" w:hAnsi="NettoPro" w:cs="NettoPro"/>
        </w:rPr>
        <w:tab/>
        <w:t>Předmět plnění je součástí realizace projektu Smart Akcelerátor 3, registrační číslo projektu CZ.02.01.02/00/22_009/0004182, Spolufinancovaného Evropskou unií.</w:t>
      </w:r>
    </w:p>
    <w:p w14:paraId="34AED5AD" w14:textId="77777777" w:rsidR="00BD4FA5" w:rsidRPr="005E313B" w:rsidRDefault="008C44A4" w:rsidP="000907D2">
      <w:pPr>
        <w:pStyle w:val="HlavniNadpis"/>
        <w:rPr>
          <w:rFonts w:ascii="NettoPro" w:hAnsi="NettoPro" w:cs="NettoPro"/>
          <w:b w:val="0"/>
        </w:rPr>
      </w:pPr>
      <w:r w:rsidRPr="005E313B">
        <w:rPr>
          <w:rFonts w:ascii="NettoPro" w:hAnsi="NettoPro" w:cs="NettoPro"/>
          <w:b w:val="0"/>
        </w:rPr>
        <w:t>Odměna</w:t>
      </w:r>
    </w:p>
    <w:p w14:paraId="32481DA6" w14:textId="04C80449" w:rsidR="00F6661E" w:rsidRPr="005E313B" w:rsidRDefault="007D204B" w:rsidP="008E5EA6">
      <w:pPr>
        <w:pStyle w:val="Podnadpis1"/>
        <w:rPr>
          <w:rFonts w:ascii="NettoPro" w:hAnsi="NettoPro" w:cs="NettoPro"/>
        </w:rPr>
      </w:pPr>
      <w:r w:rsidRPr="005E313B">
        <w:rPr>
          <w:rFonts w:ascii="NettoPro" w:hAnsi="NettoPro" w:cs="NettoPro"/>
        </w:rPr>
        <w:t xml:space="preserve">Za plnění dle této smlouvy přísluší dodavateli </w:t>
      </w:r>
      <w:r w:rsidR="0020384F" w:rsidRPr="005E313B">
        <w:rPr>
          <w:rFonts w:ascii="NettoPro" w:hAnsi="NettoPro" w:cs="NettoPro"/>
        </w:rPr>
        <w:t xml:space="preserve">následující </w:t>
      </w:r>
      <w:r w:rsidRPr="005E313B">
        <w:rPr>
          <w:rFonts w:ascii="NettoPro" w:hAnsi="NettoPro" w:cs="NettoPro"/>
        </w:rPr>
        <w:t>odměna</w:t>
      </w:r>
      <w:r w:rsidR="00F6661E" w:rsidRPr="005E313B">
        <w:rPr>
          <w:rFonts w:ascii="NettoPro" w:hAnsi="NettoPro" w:cs="NettoPro"/>
        </w:rPr>
        <w:t>:</w:t>
      </w:r>
    </w:p>
    <w:tbl>
      <w:tblPr>
        <w:tblStyle w:val="Svtlmkazvraznn2"/>
        <w:tblW w:w="0" w:type="auto"/>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5044"/>
        <w:gridCol w:w="3089"/>
        <w:gridCol w:w="1971"/>
      </w:tblGrid>
      <w:tr w:rsidR="0099122E" w:rsidRPr="005E313B" w14:paraId="1DED4E1C" w14:textId="77777777" w:rsidTr="000F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3" w:type="dxa"/>
            <w:gridSpan w:val="2"/>
            <w:tcBorders>
              <w:top w:val="nil"/>
              <w:left w:val="nil"/>
              <w:bottom w:val="single" w:sz="12" w:space="0" w:color="00A3E2"/>
              <w:right w:val="single" w:sz="12" w:space="0" w:color="00A3E2"/>
            </w:tcBorders>
            <w:shd w:val="clear" w:color="auto" w:fill="auto"/>
          </w:tcPr>
          <w:p w14:paraId="4DC44168" w14:textId="77777777" w:rsidR="0099122E" w:rsidRPr="005E313B" w:rsidRDefault="0099122E" w:rsidP="000F0EE5">
            <w:pPr>
              <w:rPr>
                <w:rFonts w:ascii="NettoPro" w:hAnsi="NettoPro" w:cs="NettoPro"/>
                <w:b w:val="0"/>
                <w:color w:val="auto"/>
                <w:szCs w:val="20"/>
                <w:shd w:val="clear" w:color="auto" w:fill="FFFFFF"/>
              </w:rPr>
            </w:pPr>
            <w:bookmarkStart w:id="2" w:name="_Hlk2600556"/>
            <w:r w:rsidRPr="005E313B">
              <w:rPr>
                <w:rFonts w:ascii="NettoPro" w:hAnsi="NettoPro" w:cs="NettoPro"/>
                <w:b w:val="0"/>
                <w:color w:val="auto"/>
                <w:szCs w:val="20"/>
                <w:shd w:val="clear" w:color="auto" w:fill="FFFFFF"/>
              </w:rPr>
              <w:t>Produkt/služba</w:t>
            </w:r>
          </w:p>
        </w:tc>
        <w:tc>
          <w:tcPr>
            <w:tcW w:w="1971" w:type="dxa"/>
            <w:tcBorders>
              <w:top w:val="single" w:sz="12" w:space="0" w:color="FFFFFF" w:themeColor="background1"/>
              <w:left w:val="single" w:sz="12" w:space="0" w:color="00A3E2"/>
              <w:bottom w:val="single" w:sz="12" w:space="0" w:color="00A3E2"/>
              <w:right w:val="single" w:sz="12" w:space="0" w:color="00A3E2"/>
            </w:tcBorders>
          </w:tcPr>
          <w:p w14:paraId="7D0E0546" w14:textId="3145B246" w:rsidR="0099122E" w:rsidRPr="005E313B" w:rsidRDefault="0099122E" w:rsidP="000F0EE5">
            <w:pPr>
              <w:cnfStyle w:val="100000000000" w:firstRow="1" w:lastRow="0" w:firstColumn="0" w:lastColumn="0" w:oddVBand="0" w:evenVBand="0" w:oddHBand="0" w:evenHBand="0" w:firstRowFirstColumn="0" w:firstRowLastColumn="0" w:lastRowFirstColumn="0" w:lastRowLastColumn="0"/>
              <w:rPr>
                <w:rFonts w:ascii="NettoPro" w:hAnsi="NettoPro" w:cs="NettoPro"/>
                <w:b w:val="0"/>
                <w:color w:val="auto"/>
                <w:szCs w:val="20"/>
                <w:shd w:val="clear" w:color="auto" w:fill="FFFFFF"/>
              </w:rPr>
            </w:pPr>
            <w:r w:rsidRPr="005E313B">
              <w:rPr>
                <w:rFonts w:ascii="NettoPro" w:hAnsi="NettoPro" w:cs="NettoPro"/>
                <w:b w:val="0"/>
                <w:color w:val="auto"/>
                <w:szCs w:val="20"/>
                <w:shd w:val="clear" w:color="auto" w:fill="FFFFFF"/>
              </w:rPr>
              <w:t>Cena bez DP</w:t>
            </w:r>
            <w:r w:rsidR="00B540ED" w:rsidRPr="005E313B">
              <w:rPr>
                <w:rFonts w:ascii="NettoPro" w:hAnsi="NettoPro" w:cs="NettoPro"/>
                <w:b w:val="0"/>
                <w:color w:val="auto"/>
                <w:szCs w:val="20"/>
                <w:shd w:val="clear" w:color="auto" w:fill="FFFFFF"/>
              </w:rPr>
              <w:t>H</w:t>
            </w:r>
          </w:p>
        </w:tc>
      </w:tr>
      <w:tr w:rsidR="00B7707A" w:rsidRPr="005E313B" w14:paraId="60B42A51" w14:textId="77777777" w:rsidTr="00444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67E54CCE" w14:textId="1CAFC68C" w:rsidR="00B7707A" w:rsidRPr="005E313B" w:rsidRDefault="00762C42" w:rsidP="00B7707A">
            <w:pPr>
              <w:rPr>
                <w:rFonts w:ascii="NettoPro" w:hAnsi="NettoPro" w:cs="NettoPro"/>
                <w:b w:val="0"/>
                <w:color w:val="auto"/>
                <w:szCs w:val="20"/>
              </w:rPr>
            </w:pPr>
            <w:r w:rsidRPr="005E313B">
              <w:rPr>
                <w:rFonts w:ascii="NettoPro" w:hAnsi="NettoPro" w:cs="NettoPro"/>
                <w:b w:val="0"/>
                <w:color w:val="auto"/>
              </w:rPr>
              <w:t>Mediální analýza – tradiční média</w:t>
            </w:r>
          </w:p>
        </w:tc>
        <w:tc>
          <w:tcPr>
            <w:tcW w:w="3089"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62C077E4" w14:textId="6EDF605C" w:rsidR="00B7707A" w:rsidRPr="005E313B" w:rsidRDefault="00EF1CAC" w:rsidP="00B7707A">
            <w:pPr>
              <w:jc w:val="left"/>
              <w:cnfStyle w:val="000000100000" w:firstRow="0" w:lastRow="0" w:firstColumn="0" w:lastColumn="0" w:oddVBand="0" w:evenVBand="0" w:oddHBand="1" w:evenHBand="0" w:firstRowFirstColumn="0" w:firstRowLastColumn="0" w:lastRowFirstColumn="0" w:lastRowLastColumn="0"/>
              <w:rPr>
                <w:rFonts w:ascii="NettoPro" w:hAnsi="NettoPro" w:cs="NettoPro"/>
                <w:color w:val="auto"/>
              </w:rPr>
            </w:pPr>
            <w:sdt>
              <w:sdtPr>
                <w:rPr>
                  <w:rFonts w:ascii="NettoPro" w:hAnsi="NettoPro" w:cs="NettoPro"/>
                  <w:color w:val="auto"/>
                </w:rPr>
                <w:id w:val="-29881867"/>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7707A" w:rsidRPr="005E313B">
              <w:rPr>
                <w:rFonts w:ascii="NettoPro" w:hAnsi="NettoPro" w:cs="NettoPro"/>
                <w:color w:val="auto"/>
              </w:rPr>
              <w:t xml:space="preserve"> </w:t>
            </w:r>
          </w:p>
        </w:tc>
        <w:tc>
          <w:tcPr>
            <w:tcW w:w="1971"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0CC445BD" w14:textId="4911EFE3" w:rsidR="00B7707A" w:rsidRPr="005E313B" w:rsidRDefault="00762C42" w:rsidP="00B7707A">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color w:val="auto"/>
              </w:rPr>
            </w:pPr>
            <w:r w:rsidRPr="005E313B">
              <w:rPr>
                <w:rFonts w:ascii="NettoPro" w:hAnsi="NettoPro" w:cs="NettoPro"/>
                <w:color w:val="auto"/>
              </w:rPr>
              <w:t>49 250</w:t>
            </w:r>
            <w:r w:rsidR="00B7707A" w:rsidRPr="005E313B">
              <w:rPr>
                <w:rFonts w:ascii="NettoPro" w:hAnsi="NettoPro" w:cs="NettoPro"/>
                <w:color w:val="auto"/>
              </w:rPr>
              <w:t xml:space="preserve"> Kč</w:t>
            </w:r>
          </w:p>
        </w:tc>
      </w:tr>
      <w:tr w:rsidR="00F62B93" w:rsidRPr="005E313B" w14:paraId="2B548577" w14:textId="77777777" w:rsidTr="00762C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07CF2CA3" w14:textId="7605A06E" w:rsidR="00B7707A" w:rsidRPr="005E313B" w:rsidRDefault="00B7707A" w:rsidP="00B7707A">
            <w:pPr>
              <w:rPr>
                <w:rFonts w:ascii="NettoPro" w:hAnsi="NettoPro" w:cs="NettoPro"/>
                <w:b w:val="0"/>
                <w:color w:val="auto"/>
              </w:rPr>
            </w:pPr>
            <w:r w:rsidRPr="005E313B">
              <w:rPr>
                <w:rFonts w:ascii="NettoPro" w:hAnsi="NettoPro" w:cs="NettoPro"/>
                <w:b w:val="0"/>
                <w:color w:val="auto"/>
              </w:rPr>
              <w:t>Mediální analýza</w:t>
            </w:r>
            <w:r w:rsidR="00762C42" w:rsidRPr="005E313B">
              <w:rPr>
                <w:rFonts w:ascii="NettoPro" w:hAnsi="NettoPro" w:cs="NettoPro"/>
                <w:b w:val="0"/>
                <w:color w:val="auto"/>
              </w:rPr>
              <w:t xml:space="preserve"> – sociální média</w:t>
            </w:r>
          </w:p>
        </w:tc>
        <w:tc>
          <w:tcPr>
            <w:tcW w:w="3089"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31F0289B" w14:textId="0A809133" w:rsidR="00B7707A" w:rsidRPr="005E313B" w:rsidRDefault="00EF1CAC" w:rsidP="00B7707A">
            <w:pPr>
              <w:cnfStyle w:val="000000010000" w:firstRow="0" w:lastRow="0" w:firstColumn="0" w:lastColumn="0" w:oddVBand="0" w:evenVBand="0" w:oddHBand="0" w:evenHBand="1" w:firstRowFirstColumn="0" w:firstRowLastColumn="0" w:lastRowFirstColumn="0" w:lastRowLastColumn="0"/>
              <w:rPr>
                <w:rFonts w:ascii="NettoPro" w:hAnsi="NettoPro" w:cs="NettoPro"/>
                <w:color w:val="auto"/>
              </w:rPr>
            </w:pPr>
            <w:sdt>
              <w:sdtPr>
                <w:rPr>
                  <w:rFonts w:ascii="NettoPro" w:hAnsi="NettoPro" w:cs="NettoPro"/>
                  <w:color w:val="auto"/>
                </w:rPr>
                <w:id w:val="-271011689"/>
                <w14:checkbox>
                  <w14:checked w14:val="1"/>
                  <w14:checkedState w14:val="2612" w14:font="MS Gothic"/>
                  <w14:uncheckedState w14:val="2610" w14:font="MS Gothic"/>
                </w14:checkbox>
              </w:sdtPr>
              <w:sdtEndPr/>
              <w:sdtContent>
                <w:r w:rsidR="00762C42" w:rsidRPr="005E313B">
                  <w:rPr>
                    <w:rFonts w:ascii="Segoe UI Symbol" w:eastAsia="MS Gothic" w:hAnsi="Segoe UI Symbol" w:cs="Segoe UI Symbol"/>
                    <w:color w:val="auto"/>
                  </w:rPr>
                  <w:t>☒</w:t>
                </w:r>
              </w:sdtContent>
            </w:sdt>
            <w:r w:rsidR="00B7707A" w:rsidRPr="005E313B">
              <w:rPr>
                <w:rFonts w:ascii="NettoPro" w:hAnsi="NettoPro" w:cs="NettoPro"/>
                <w:color w:val="auto"/>
              </w:rPr>
              <w:t xml:space="preserve"> </w:t>
            </w:r>
          </w:p>
        </w:tc>
        <w:tc>
          <w:tcPr>
            <w:tcW w:w="1971" w:type="dxa"/>
            <w:tcBorders>
              <w:top w:val="single" w:sz="12" w:space="0" w:color="00A3E2"/>
              <w:left w:val="single" w:sz="12" w:space="0" w:color="00A3E2"/>
              <w:bottom w:val="single" w:sz="4" w:space="0" w:color="00A3E2"/>
              <w:right w:val="single" w:sz="12" w:space="0" w:color="00A3E2"/>
            </w:tcBorders>
            <w:shd w:val="clear" w:color="auto" w:fill="FFFFFF" w:themeFill="background1"/>
            <w:vAlign w:val="center"/>
          </w:tcPr>
          <w:p w14:paraId="65528F68" w14:textId="34777012" w:rsidR="00B7707A" w:rsidRPr="005E313B" w:rsidRDefault="00762C42" w:rsidP="00B7707A">
            <w:pPr>
              <w:jc w:val="center"/>
              <w:cnfStyle w:val="000000010000" w:firstRow="0" w:lastRow="0" w:firstColumn="0" w:lastColumn="0" w:oddVBand="0" w:evenVBand="0" w:oddHBand="0" w:evenHBand="1" w:firstRowFirstColumn="0" w:firstRowLastColumn="0" w:lastRowFirstColumn="0" w:lastRowLastColumn="0"/>
              <w:rPr>
                <w:rFonts w:ascii="NettoPro" w:hAnsi="NettoPro" w:cs="NettoPro"/>
                <w:color w:val="auto"/>
              </w:rPr>
            </w:pPr>
            <w:r w:rsidRPr="005E313B">
              <w:rPr>
                <w:rFonts w:ascii="NettoPro" w:hAnsi="NettoPro" w:cs="NettoPro"/>
                <w:color w:val="auto"/>
              </w:rPr>
              <w:t>49 250</w:t>
            </w:r>
            <w:r w:rsidR="00B7707A" w:rsidRPr="005E313B">
              <w:rPr>
                <w:rFonts w:ascii="NettoPro" w:hAnsi="NettoPro" w:cs="NettoPro"/>
                <w:color w:val="auto"/>
              </w:rPr>
              <w:t xml:space="preserve"> Kč</w:t>
            </w:r>
          </w:p>
        </w:tc>
      </w:tr>
      <w:tr w:rsidR="00B7707A" w:rsidRPr="005E313B" w14:paraId="57FFE4A8" w14:textId="77777777" w:rsidTr="000F0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bottom w:val="nil"/>
              <w:right w:val="single" w:sz="12" w:space="0" w:color="00A3E2"/>
            </w:tcBorders>
            <w:shd w:val="clear" w:color="auto" w:fill="F2F2F2" w:themeFill="background1" w:themeFillShade="F2"/>
          </w:tcPr>
          <w:p w14:paraId="41A1FE70" w14:textId="77777777" w:rsidR="00B7707A" w:rsidRPr="005E313B" w:rsidRDefault="00B7707A" w:rsidP="00B7707A">
            <w:pPr>
              <w:rPr>
                <w:rFonts w:ascii="NettoPro" w:hAnsi="NettoPro" w:cs="NettoPro"/>
                <w:b w:val="0"/>
                <w:color w:val="auto"/>
                <w:szCs w:val="20"/>
              </w:rPr>
            </w:pPr>
            <w:r w:rsidRPr="005E313B">
              <w:rPr>
                <w:rFonts w:ascii="NettoPro" w:hAnsi="NettoPro" w:cs="NettoPro"/>
                <w:b w:val="0"/>
                <w:color w:val="auto"/>
                <w:szCs w:val="20"/>
              </w:rPr>
              <w:t>CELKEM</w:t>
            </w:r>
          </w:p>
        </w:tc>
        <w:tc>
          <w:tcPr>
            <w:tcW w:w="3089"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7EAAF87C" w14:textId="77777777" w:rsidR="00B7707A" w:rsidRPr="005E313B" w:rsidRDefault="00B7707A" w:rsidP="00B7707A">
            <w:pPr>
              <w:ind w:firstLine="567"/>
              <w:jc w:val="left"/>
              <w:cnfStyle w:val="000000100000" w:firstRow="0" w:lastRow="0" w:firstColumn="0" w:lastColumn="0" w:oddVBand="0" w:evenVBand="0" w:oddHBand="1" w:evenHBand="0" w:firstRowFirstColumn="0" w:firstRowLastColumn="0" w:lastRowFirstColumn="0" w:lastRowLastColumn="0"/>
              <w:rPr>
                <w:rFonts w:ascii="NettoPro" w:hAnsi="NettoPro" w:cs="NettoPro"/>
                <w:color w:val="auto"/>
                <w:sz w:val="18"/>
              </w:rPr>
            </w:pPr>
          </w:p>
        </w:tc>
        <w:tc>
          <w:tcPr>
            <w:tcW w:w="1971"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000B992C" w14:textId="55D531AB" w:rsidR="00B7707A" w:rsidRPr="005E313B" w:rsidRDefault="00762C42" w:rsidP="00B7707A">
            <w:pPr>
              <w:jc w:val="center"/>
              <w:cnfStyle w:val="000000100000" w:firstRow="0" w:lastRow="0" w:firstColumn="0" w:lastColumn="0" w:oddVBand="0" w:evenVBand="0" w:oddHBand="1" w:evenHBand="0" w:firstRowFirstColumn="0" w:firstRowLastColumn="0" w:lastRowFirstColumn="0" w:lastRowLastColumn="0"/>
              <w:rPr>
                <w:rFonts w:ascii="NettoPro" w:hAnsi="NettoPro" w:cs="NettoPro"/>
                <w:color w:val="auto"/>
              </w:rPr>
            </w:pPr>
            <w:r w:rsidRPr="005E313B">
              <w:rPr>
                <w:rFonts w:ascii="NettoPro" w:hAnsi="NettoPro" w:cs="NettoPro"/>
                <w:color w:val="auto"/>
              </w:rPr>
              <w:t>98 500</w:t>
            </w:r>
            <w:r w:rsidR="00B7707A" w:rsidRPr="005E313B">
              <w:rPr>
                <w:rFonts w:ascii="NettoPro" w:hAnsi="NettoPro" w:cs="NettoPro"/>
                <w:color w:val="auto"/>
              </w:rPr>
              <w:t xml:space="preserve"> Kč</w:t>
            </w:r>
          </w:p>
        </w:tc>
      </w:tr>
      <w:bookmarkEnd w:id="2"/>
    </w:tbl>
    <w:p w14:paraId="0EF3D94D" w14:textId="77777777" w:rsidR="0066481D" w:rsidRPr="005E313B" w:rsidRDefault="0066481D" w:rsidP="0066481D">
      <w:pPr>
        <w:rPr>
          <w:rFonts w:ascii="NettoPro" w:hAnsi="NettoPro" w:cs="NettoPro"/>
        </w:rPr>
      </w:pPr>
    </w:p>
    <w:p w14:paraId="1E886DCD" w14:textId="77777777" w:rsidR="00053F0E" w:rsidRPr="005E313B" w:rsidRDefault="007D204B" w:rsidP="00053F0E">
      <w:pPr>
        <w:pStyle w:val="Podnadpis1"/>
        <w:numPr>
          <w:ilvl w:val="0"/>
          <w:numId w:val="0"/>
        </w:numPr>
        <w:ind w:left="567"/>
        <w:rPr>
          <w:rFonts w:ascii="NettoPro" w:hAnsi="NettoPro" w:cs="NettoPro"/>
        </w:rPr>
      </w:pPr>
      <w:r w:rsidRPr="005E313B">
        <w:rPr>
          <w:rFonts w:ascii="NettoPro" w:hAnsi="NettoPro" w:cs="NettoPro"/>
        </w:rPr>
        <w:t>Smluvní strany se dohodly, že veškeré daňové doklady a podklady týkající se splatnosti a fakturace budou zasílány výlučně</w:t>
      </w:r>
      <w:r w:rsidR="00053F0E" w:rsidRPr="005E313B">
        <w:rPr>
          <w:rFonts w:ascii="NettoPro" w:hAnsi="NettoPro" w:cs="NettoPro"/>
        </w:rPr>
        <w:t>:</w:t>
      </w:r>
      <w:r w:rsidRPr="005E313B">
        <w:rPr>
          <w:rFonts w:ascii="NettoPro" w:hAnsi="NettoPro" w:cs="NettoPro"/>
        </w:rPr>
        <w:t xml:space="preserve"> </w:t>
      </w:r>
    </w:p>
    <w:p w14:paraId="72E911E9" w14:textId="1C34BDAE" w:rsidR="00053F0E" w:rsidRPr="005E313B" w:rsidRDefault="00EF1CAC" w:rsidP="00053F0E">
      <w:pPr>
        <w:pStyle w:val="Podnadpis1"/>
        <w:numPr>
          <w:ilvl w:val="0"/>
          <w:numId w:val="0"/>
        </w:numPr>
        <w:ind w:left="567"/>
        <w:rPr>
          <w:rFonts w:ascii="NettoPro" w:hAnsi="NettoPro" w:cs="NettoPro"/>
        </w:rPr>
      </w:pPr>
      <w:sdt>
        <w:sdtPr>
          <w:rPr>
            <w:rFonts w:ascii="NettoPro" w:hAnsi="NettoPro" w:cs="NettoPro"/>
            <w:szCs w:val="22"/>
          </w:rPr>
          <w:id w:val="442585948"/>
          <w14:checkbox>
            <w14:checked w14:val="1"/>
            <w14:checkedState w14:val="2612" w14:font="MS Gothic"/>
            <w14:uncheckedState w14:val="2610" w14:font="MS Gothic"/>
          </w14:checkbox>
        </w:sdtPr>
        <w:sdtEndPr/>
        <w:sdtContent>
          <w:r w:rsidR="001B28E7" w:rsidRPr="005E313B">
            <w:rPr>
              <w:rFonts w:ascii="Segoe UI Symbol" w:eastAsia="MS Gothic" w:hAnsi="Segoe UI Symbol" w:cs="Segoe UI Symbol"/>
              <w:szCs w:val="22"/>
            </w:rPr>
            <w:t>☒</w:t>
          </w:r>
        </w:sdtContent>
      </w:sdt>
      <w:r w:rsidR="00053F0E" w:rsidRPr="005E313B">
        <w:rPr>
          <w:rFonts w:ascii="NettoPro" w:hAnsi="NettoPro" w:cs="NettoPro"/>
          <w:szCs w:val="22"/>
        </w:rPr>
        <w:t xml:space="preserve"> </w:t>
      </w:r>
      <w:r w:rsidR="00053F0E" w:rsidRPr="005E313B">
        <w:rPr>
          <w:rFonts w:ascii="NettoPro" w:hAnsi="NettoPro" w:cs="NettoPro"/>
        </w:rPr>
        <w:t xml:space="preserve">v elektronické podobě na e-mailovou adresu odběratele </w:t>
      </w:r>
    </w:p>
    <w:p w14:paraId="7260F993" w14:textId="3BD3F3D8" w:rsidR="00053F0E" w:rsidRPr="005E313B" w:rsidRDefault="00EF1CAC" w:rsidP="00053F0E">
      <w:pPr>
        <w:pStyle w:val="Podnadpis1"/>
        <w:numPr>
          <w:ilvl w:val="0"/>
          <w:numId w:val="0"/>
        </w:numPr>
        <w:ind w:left="567"/>
        <w:rPr>
          <w:rFonts w:ascii="NettoPro" w:hAnsi="NettoPro" w:cs="NettoPro"/>
        </w:rPr>
      </w:pPr>
      <w:sdt>
        <w:sdtPr>
          <w:rPr>
            <w:rFonts w:ascii="NettoPro" w:hAnsi="NettoPro" w:cs="NettoPro"/>
            <w:szCs w:val="22"/>
          </w:rPr>
          <w:id w:val="953907918"/>
          <w14:checkbox>
            <w14:checked w14:val="0"/>
            <w14:checkedState w14:val="2612" w14:font="MS Gothic"/>
            <w14:uncheckedState w14:val="2610" w14:font="MS Gothic"/>
          </w14:checkbox>
        </w:sdtPr>
        <w:sdtEndPr/>
        <w:sdtContent>
          <w:r w:rsidR="001B28E7" w:rsidRPr="005E313B">
            <w:rPr>
              <w:rFonts w:ascii="Segoe UI Symbol" w:eastAsia="MS Gothic" w:hAnsi="Segoe UI Symbol" w:cs="Segoe UI Symbol"/>
              <w:szCs w:val="22"/>
            </w:rPr>
            <w:t>☐</w:t>
          </w:r>
        </w:sdtContent>
      </w:sdt>
      <w:r w:rsidR="00053F0E" w:rsidRPr="005E313B">
        <w:rPr>
          <w:rFonts w:ascii="NettoPro" w:hAnsi="NettoPro" w:cs="NettoPro"/>
          <w:szCs w:val="22"/>
        </w:rPr>
        <w:t xml:space="preserve"> </w:t>
      </w:r>
      <w:r w:rsidR="00053F0E" w:rsidRPr="005E313B">
        <w:rPr>
          <w:rFonts w:ascii="NettoPro" w:hAnsi="NettoPro" w:cs="NettoPro"/>
        </w:rPr>
        <w:t>na fyzickou adresu odběratele specifikovanou v záhlaví této smlouvy, nedošlo-li ke změně této adresy způsobem, který je touto smlouvou předvídán.</w:t>
      </w:r>
    </w:p>
    <w:p w14:paraId="69FF6F1F" w14:textId="168321E1" w:rsidR="004803F3" w:rsidRPr="001E7552" w:rsidRDefault="004803F3" w:rsidP="005738BD">
      <w:pPr>
        <w:pStyle w:val="Podnadpis1"/>
        <w:jc w:val="both"/>
        <w:rPr>
          <w:rFonts w:ascii="NettoPro" w:hAnsi="NettoPro" w:cs="NettoPro"/>
        </w:rPr>
      </w:pPr>
      <w:r w:rsidRPr="001E7552">
        <w:rPr>
          <w:rFonts w:ascii="NettoPro" w:hAnsi="NettoPro" w:cs="NettoPro"/>
        </w:rPr>
        <w:lastRenderedPageBreak/>
        <w:t xml:space="preserve">Cena za </w:t>
      </w:r>
      <w:r w:rsidR="005738BD" w:rsidRPr="001E7552">
        <w:rPr>
          <w:rFonts w:ascii="NettoPro" w:hAnsi="NettoPro" w:cs="NettoPro"/>
        </w:rPr>
        <w:t>poskytnutí služby</w:t>
      </w:r>
      <w:r w:rsidRPr="001E7552">
        <w:rPr>
          <w:rFonts w:ascii="NettoPro" w:hAnsi="NettoPro" w:cs="NettoPro"/>
        </w:rPr>
        <w:t xml:space="preserve"> bude </w:t>
      </w:r>
      <w:r w:rsidR="00BA7A88" w:rsidRPr="001E7552">
        <w:rPr>
          <w:rFonts w:ascii="NettoPro" w:hAnsi="NettoPro" w:cs="NettoPro"/>
        </w:rPr>
        <w:t>odběratelem</w:t>
      </w:r>
      <w:r w:rsidRPr="001E7552">
        <w:rPr>
          <w:rFonts w:ascii="NettoPro" w:hAnsi="NettoPro" w:cs="NettoPro"/>
        </w:rPr>
        <w:t xml:space="preserve"> </w:t>
      </w:r>
      <w:r w:rsidR="00BA7A88" w:rsidRPr="001E7552">
        <w:rPr>
          <w:rFonts w:ascii="NettoPro" w:hAnsi="NettoPro" w:cs="NettoPro"/>
        </w:rPr>
        <w:t>dodavateli</w:t>
      </w:r>
      <w:r w:rsidRPr="001E7552">
        <w:rPr>
          <w:rFonts w:ascii="NettoPro" w:hAnsi="NettoPro" w:cs="NettoPro"/>
        </w:rPr>
        <w:t xml:space="preserve"> uhrazena po protokolárním předání finálního výstupu na základě vystavené faktury</w:t>
      </w:r>
      <w:r w:rsidR="00BA7A88" w:rsidRPr="001E7552">
        <w:rPr>
          <w:rFonts w:ascii="NettoPro" w:hAnsi="NettoPro" w:cs="NettoPro"/>
        </w:rPr>
        <w:t xml:space="preserve"> dodavatelem</w:t>
      </w:r>
      <w:r w:rsidRPr="001E7552">
        <w:rPr>
          <w:rFonts w:ascii="NettoPro" w:hAnsi="NettoPro" w:cs="NettoPro"/>
        </w:rPr>
        <w:t xml:space="preserve"> a prokazatelně předané </w:t>
      </w:r>
      <w:r w:rsidR="00BA7A88" w:rsidRPr="001E7552">
        <w:rPr>
          <w:rFonts w:ascii="NettoPro" w:hAnsi="NettoPro" w:cs="NettoPro"/>
        </w:rPr>
        <w:t>odběratel</w:t>
      </w:r>
      <w:r w:rsidRPr="001E7552">
        <w:rPr>
          <w:rFonts w:ascii="NettoPro" w:hAnsi="NettoPro" w:cs="NettoPro"/>
        </w:rPr>
        <w:t xml:space="preserve">i.  Do 15 dnů pro řádném protokolárním předání a převzetí bude </w:t>
      </w:r>
      <w:r w:rsidR="00BA7A88" w:rsidRPr="001E7552">
        <w:rPr>
          <w:rFonts w:ascii="NettoPro" w:hAnsi="NettoPro" w:cs="NettoPro"/>
        </w:rPr>
        <w:t xml:space="preserve">dodavatelem </w:t>
      </w:r>
      <w:r w:rsidRPr="001E7552">
        <w:rPr>
          <w:rFonts w:ascii="NettoPro" w:hAnsi="NettoPro" w:cs="NettoPro"/>
        </w:rPr>
        <w:t>vystavena a o</w:t>
      </w:r>
      <w:r w:rsidR="00BA7A88" w:rsidRPr="001E7552">
        <w:rPr>
          <w:rFonts w:ascii="NettoPro" w:hAnsi="NettoPro" w:cs="NettoPro"/>
        </w:rPr>
        <w:t>dběrateli</w:t>
      </w:r>
      <w:r w:rsidRPr="001E7552">
        <w:rPr>
          <w:rFonts w:ascii="NettoPro" w:hAnsi="NettoPro" w:cs="NettoPro"/>
        </w:rPr>
        <w:t xml:space="preserve"> předána faktura. Na faktuře</w:t>
      </w:r>
      <w:r w:rsidR="00BA7A88" w:rsidRPr="001E7552">
        <w:rPr>
          <w:rFonts w:ascii="NettoPro" w:hAnsi="NettoPro" w:cs="NettoPro"/>
        </w:rPr>
        <w:t xml:space="preserve"> dodavatel</w:t>
      </w:r>
      <w:r w:rsidRPr="001E7552">
        <w:rPr>
          <w:rFonts w:ascii="NettoPro" w:hAnsi="NettoPro" w:cs="NettoPro"/>
        </w:rPr>
        <w:t xml:space="preserve"> uvede fakturovanou cenu bez DPH a s DPH stanovenou ve smyslu zákona č. 235/2004 Sb., o dani z přidané hodnoty, ve znění pozdějších předpisů. </w:t>
      </w:r>
    </w:p>
    <w:p w14:paraId="115DD925" w14:textId="6800B1C4" w:rsidR="004803F3" w:rsidRPr="001E7552" w:rsidRDefault="004803F3" w:rsidP="00760C57">
      <w:pPr>
        <w:pStyle w:val="Podnadpis1"/>
        <w:jc w:val="both"/>
        <w:rPr>
          <w:rFonts w:ascii="NettoPro" w:hAnsi="NettoPro" w:cs="NettoPro"/>
        </w:rPr>
      </w:pPr>
      <w:r w:rsidRPr="001E7552">
        <w:rPr>
          <w:rFonts w:ascii="NettoPro" w:hAnsi="NettoPro" w:cs="NettoPro"/>
        </w:rPr>
        <w:t xml:space="preserve">Faktura dle tohoto článku smlouvy bude obsahovat náležitosti daňového dokladu stanovené zákonem č. 235/2004 Sb., o dani z přidané hodnoty, ve znění pozdějších předpisů (dále jen „ZDPH“) a zákonem č. 563/1991 Sb., o účetnictví, ve znění pozdějších předpisů. Splatnost faktury bude 20 dní ode dne doručení faktury </w:t>
      </w:r>
      <w:r w:rsidR="00BA7A88" w:rsidRPr="001E7552">
        <w:rPr>
          <w:rFonts w:ascii="NettoPro" w:hAnsi="NettoPro" w:cs="NettoPro"/>
        </w:rPr>
        <w:t>odběrateli</w:t>
      </w:r>
      <w:r w:rsidR="001E7552">
        <w:rPr>
          <w:rFonts w:ascii="NettoPro" w:hAnsi="NettoPro" w:cs="NettoPro"/>
        </w:rPr>
        <w:t>.</w:t>
      </w:r>
      <w:r w:rsidRPr="001E7552">
        <w:rPr>
          <w:rFonts w:ascii="NettoPro" w:hAnsi="NettoPro" w:cs="NettoPro"/>
        </w:rPr>
        <w:t xml:space="preserve"> Faktura musí obsahovat registrační číslo projektu CZ.02.01.02/00/22_009/0004182 v textu faktury.</w:t>
      </w:r>
    </w:p>
    <w:p w14:paraId="0D5365D4" w14:textId="59CFBBA0" w:rsidR="007D204B" w:rsidRPr="001E7552" w:rsidRDefault="007D204B" w:rsidP="00760C57">
      <w:pPr>
        <w:pStyle w:val="Podnadpis1"/>
        <w:jc w:val="both"/>
        <w:rPr>
          <w:rFonts w:ascii="NettoPro" w:hAnsi="NettoPro" w:cs="NettoPro"/>
        </w:rPr>
      </w:pPr>
      <w:r w:rsidRPr="001E7552">
        <w:rPr>
          <w:rFonts w:ascii="NettoPro" w:hAnsi="NettoPro" w:cs="NettoPro"/>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1C96DAE2" w14:textId="3A3EC56E" w:rsidR="004803F3" w:rsidRPr="001E7552" w:rsidRDefault="004803F3" w:rsidP="00760C57">
      <w:pPr>
        <w:pStyle w:val="Podnadpis1"/>
        <w:jc w:val="both"/>
        <w:rPr>
          <w:rFonts w:ascii="NettoPro" w:hAnsi="NettoPro" w:cs="NettoPro"/>
        </w:rPr>
      </w:pPr>
      <w:r w:rsidRPr="001E7552">
        <w:rPr>
          <w:rFonts w:ascii="NettoPro" w:hAnsi="NettoPro" w:cs="NettoPro"/>
        </w:rPr>
        <w:t xml:space="preserve">Cena je považována za uhrazenou řádně a včas, pokud ke dni splatnosti ceny za </w:t>
      </w:r>
      <w:r w:rsidR="000D0310" w:rsidRPr="001E7552">
        <w:rPr>
          <w:rFonts w:ascii="NettoPro" w:hAnsi="NettoPro" w:cs="NettoPro"/>
        </w:rPr>
        <w:t>poskytnutí služby</w:t>
      </w:r>
      <w:r w:rsidRPr="001E7552">
        <w:rPr>
          <w:rFonts w:ascii="NettoPro" w:hAnsi="NettoPro" w:cs="NettoPro"/>
        </w:rPr>
        <w:t xml:space="preserve"> či jeho části budou peněžní prostředky odpovídající ceně za </w:t>
      </w:r>
      <w:r w:rsidR="000D0310" w:rsidRPr="001E7552">
        <w:rPr>
          <w:rFonts w:ascii="NettoPro" w:hAnsi="NettoPro" w:cs="NettoPro"/>
        </w:rPr>
        <w:t>poskytnutí služby</w:t>
      </w:r>
      <w:r w:rsidRPr="001E7552">
        <w:rPr>
          <w:rFonts w:ascii="NettoPro" w:hAnsi="NettoPro" w:cs="NettoPro"/>
        </w:rPr>
        <w:t xml:space="preserve"> odepsány z účtu </w:t>
      </w:r>
      <w:r w:rsidR="00BA7A88" w:rsidRPr="001E7552">
        <w:rPr>
          <w:rFonts w:ascii="NettoPro" w:hAnsi="NettoPro" w:cs="NettoPro"/>
        </w:rPr>
        <w:t>odběratel</w:t>
      </w:r>
      <w:r w:rsidRPr="001E7552">
        <w:rPr>
          <w:rFonts w:ascii="NettoPro" w:hAnsi="NettoPro" w:cs="NettoPro"/>
        </w:rPr>
        <w:t xml:space="preserve">e ve prospěch účtu </w:t>
      </w:r>
      <w:r w:rsidR="00065300">
        <w:rPr>
          <w:rFonts w:ascii="NettoPro" w:hAnsi="NettoPro" w:cs="NettoPro"/>
        </w:rPr>
        <w:t>dodavatel</w:t>
      </w:r>
      <w:r w:rsidRPr="001E7552">
        <w:rPr>
          <w:rFonts w:ascii="NettoPro" w:hAnsi="NettoPro" w:cs="NettoPro"/>
        </w:rPr>
        <w:t>e.</w:t>
      </w:r>
    </w:p>
    <w:p w14:paraId="0F660B8A" w14:textId="5E54824A" w:rsidR="004803F3" w:rsidRPr="001E7552" w:rsidRDefault="004803F3" w:rsidP="00760C57">
      <w:pPr>
        <w:pStyle w:val="Podnadpis1"/>
        <w:jc w:val="both"/>
        <w:rPr>
          <w:rFonts w:ascii="NettoPro" w:hAnsi="NettoPro" w:cs="NettoPro"/>
        </w:rPr>
      </w:pPr>
      <w:r w:rsidRPr="001E7552">
        <w:rPr>
          <w:rFonts w:ascii="NettoPro" w:hAnsi="NettoPro" w:cs="NettoPro"/>
        </w:rPr>
        <w:t xml:space="preserve">Smluvní strany této smlouvy se dohodly, že dodavatel, coby </w:t>
      </w:r>
      <w:r w:rsidR="00BA7A88" w:rsidRPr="001E7552">
        <w:rPr>
          <w:rFonts w:ascii="NettoPro" w:hAnsi="NettoPro" w:cs="NettoPro"/>
        </w:rPr>
        <w:t xml:space="preserve">dodavatel </w:t>
      </w:r>
      <w:r w:rsidRPr="001E7552">
        <w:rPr>
          <w:rFonts w:ascii="NettoPro" w:hAnsi="NettoPro" w:cs="NettoPro"/>
        </w:rPr>
        <w:t xml:space="preserve">zdanitelného plnění, je povinen bez zbytečného prodlení písemně informovat </w:t>
      </w:r>
      <w:r w:rsidR="00BA7A88" w:rsidRPr="001E7552">
        <w:rPr>
          <w:rFonts w:ascii="NettoPro" w:hAnsi="NettoPro" w:cs="NettoPro"/>
        </w:rPr>
        <w:t xml:space="preserve"> odběratel</w:t>
      </w:r>
      <w:r w:rsidRPr="001E7552">
        <w:rPr>
          <w:rFonts w:ascii="NettoPro" w:hAnsi="NettoPro" w:cs="NettoPro"/>
        </w:rPr>
        <w:t xml:space="preserve">e o tom, že se stal nespolehlivým plátcem ve smyslu ustanovení § 106a ZDPH.  Smluvní strany si dále společně ujednaly, že pokud </w:t>
      </w:r>
      <w:r w:rsidR="00BA7A88" w:rsidRPr="001E7552">
        <w:rPr>
          <w:rFonts w:ascii="NettoPro" w:hAnsi="NettoPro" w:cs="NettoPro"/>
        </w:rPr>
        <w:t>odběratel</w:t>
      </w:r>
      <w:r w:rsidRPr="001E7552">
        <w:rPr>
          <w:rFonts w:ascii="NettoPro" w:hAnsi="NettoPro" w:cs="NettoPro"/>
        </w:rPr>
        <w:t xml:space="preserve"> v průběhu platnosti tohoto smluvního vztahu na základě informace od dodavatele či na základě vlastního šetření zjistí, že se dodavatel stal nespolehlivým plátcem ve smyslu </w:t>
      </w:r>
      <w:r w:rsidR="000D0310" w:rsidRPr="001E7552">
        <w:rPr>
          <w:rFonts w:ascii="NettoPro" w:hAnsi="NettoPro" w:cs="NettoPro"/>
        </w:rPr>
        <w:br/>
      </w:r>
      <w:r w:rsidRPr="001E7552">
        <w:rPr>
          <w:rFonts w:ascii="NettoPro" w:hAnsi="NettoPro" w:cs="NettoPro"/>
        </w:rPr>
        <w:t xml:space="preserve">§ 106a ZDPH, souhlasí obě smluvní strany s tím, že </w:t>
      </w:r>
      <w:r w:rsidR="00BA7A88" w:rsidRPr="001E7552">
        <w:rPr>
          <w:rFonts w:ascii="NettoPro" w:hAnsi="NettoPro" w:cs="NettoPro"/>
        </w:rPr>
        <w:t>odběratel</w:t>
      </w:r>
      <w:r w:rsidRPr="001E7552">
        <w:rPr>
          <w:rFonts w:ascii="NettoPro" w:hAnsi="NettoPro" w:cs="NettoPro"/>
        </w:rPr>
        <w:t xml:space="preserve"> uhradí za dodavatele daň z přidané hodnoty z takového zdanitelného plnění dobrovolně správci daně dle § 109a ZDPH. Zaplacení částky ve výši daně </w:t>
      </w:r>
      <w:r w:rsidR="00BA7A88" w:rsidRPr="001E7552">
        <w:rPr>
          <w:rFonts w:ascii="NettoPro" w:hAnsi="NettoPro" w:cs="NettoPro"/>
        </w:rPr>
        <w:t xml:space="preserve">odběratelem </w:t>
      </w:r>
      <w:r w:rsidRPr="001E7552">
        <w:rPr>
          <w:rFonts w:ascii="NettoPro" w:hAnsi="NettoPro" w:cs="NettoPro"/>
        </w:rPr>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ZDPH. Dodavatel současně souhlasí s tím, že je povinen </w:t>
      </w:r>
      <w:r w:rsidR="00BA7A88" w:rsidRPr="001E7552">
        <w:rPr>
          <w:rFonts w:ascii="NettoPro" w:hAnsi="NettoPro" w:cs="NettoPro"/>
        </w:rPr>
        <w:t xml:space="preserve">odběrateli </w:t>
      </w:r>
      <w:r w:rsidRPr="001E7552">
        <w:rPr>
          <w:rFonts w:ascii="NettoPro" w:hAnsi="NettoPro" w:cs="NettoPro"/>
        </w:rPr>
        <w:t>nahradit veškerou škodu vzniklou</w:t>
      </w:r>
      <w:r w:rsidR="000D0310" w:rsidRPr="001E7552">
        <w:rPr>
          <w:rFonts w:ascii="NettoPro" w:hAnsi="NettoPro" w:cs="NettoPro"/>
        </w:rPr>
        <w:br/>
      </w:r>
      <w:r w:rsidRPr="001E7552">
        <w:rPr>
          <w:rFonts w:ascii="NettoPro" w:hAnsi="NettoPro" w:cs="NettoPro"/>
        </w:rPr>
        <w:t xml:space="preserve"> v důsledku aplikace institutu ručení ze strany správce daně. Smluvní strany se dohodly, že </w:t>
      </w:r>
      <w:r w:rsidR="00BA7A88" w:rsidRPr="001E7552">
        <w:rPr>
          <w:rFonts w:ascii="NettoPro" w:hAnsi="NettoPro" w:cs="NettoPro"/>
        </w:rPr>
        <w:t>odběratel</w:t>
      </w:r>
      <w:r w:rsidRPr="001E7552">
        <w:rPr>
          <w:rFonts w:ascii="NettoPro" w:hAnsi="NettoPro" w:cs="NettoPro"/>
        </w:rPr>
        <w:t xml:space="preserve"> bude hradit sjednanou cenu pouze na účet zaregistrovaný a zveřejněný ve smyslu § 96 odst. 1 ZDPH.</w:t>
      </w:r>
    </w:p>
    <w:p w14:paraId="1B8D253F" w14:textId="2782D7CD" w:rsidR="004803F3" w:rsidRPr="001E7552" w:rsidRDefault="00BA7A88" w:rsidP="00760C57">
      <w:pPr>
        <w:pStyle w:val="Podnadpis1"/>
        <w:jc w:val="both"/>
        <w:rPr>
          <w:rFonts w:ascii="NettoPro" w:hAnsi="NettoPro" w:cs="NettoPro"/>
        </w:rPr>
      </w:pPr>
      <w:r w:rsidRPr="001E7552">
        <w:rPr>
          <w:rFonts w:ascii="NettoPro" w:hAnsi="NettoPro" w:cs="NettoPro"/>
        </w:rPr>
        <w:t xml:space="preserve">Odběratel </w:t>
      </w:r>
      <w:r w:rsidR="004803F3" w:rsidRPr="001E7552">
        <w:rPr>
          <w:rFonts w:ascii="NettoPro" w:hAnsi="NettoPro" w:cs="NettoPro"/>
        </w:rPr>
        <w:t xml:space="preserve">nebude poskytovat před zahájením </w:t>
      </w:r>
      <w:r w:rsidRPr="001E7552">
        <w:rPr>
          <w:rFonts w:ascii="NettoPro" w:hAnsi="NettoPro" w:cs="NettoPro"/>
        </w:rPr>
        <w:t xml:space="preserve"> prací</w:t>
      </w:r>
      <w:r w:rsidR="004803F3" w:rsidRPr="001E7552">
        <w:rPr>
          <w:rFonts w:ascii="NettoPro" w:hAnsi="NettoPro" w:cs="NettoPro"/>
        </w:rPr>
        <w:t xml:space="preserve"> zálohu.</w:t>
      </w:r>
    </w:p>
    <w:p w14:paraId="18BAF7D0" w14:textId="2F60AE25" w:rsidR="004803F3" w:rsidRPr="001E7552" w:rsidRDefault="004803F3" w:rsidP="00760C57">
      <w:pPr>
        <w:pStyle w:val="Podnadpis1"/>
        <w:jc w:val="both"/>
        <w:rPr>
          <w:rFonts w:ascii="NettoPro" w:hAnsi="NettoPro" w:cs="NettoPro"/>
        </w:rPr>
      </w:pPr>
      <w:r w:rsidRPr="001E7552">
        <w:rPr>
          <w:rFonts w:ascii="NettoPro" w:hAnsi="NettoPro" w:cs="NettoPro"/>
        </w:rPr>
        <w:t xml:space="preserve">Cena za </w:t>
      </w:r>
      <w:r w:rsidR="005738BD" w:rsidRPr="001E7552">
        <w:rPr>
          <w:rFonts w:ascii="NettoPro" w:hAnsi="NettoPro" w:cs="NettoPro"/>
        </w:rPr>
        <w:t>poskytnutí služby</w:t>
      </w:r>
      <w:r w:rsidRPr="001E7552">
        <w:rPr>
          <w:rFonts w:ascii="NettoPro" w:hAnsi="NettoPro" w:cs="NettoPro"/>
        </w:rPr>
        <w:t xml:space="preserve"> je považována za uhrazenou řádně a včas, pokud ke dni splatnosti ceny za </w:t>
      </w:r>
      <w:r w:rsidR="000D0310" w:rsidRPr="001E7552">
        <w:rPr>
          <w:rFonts w:ascii="NettoPro" w:hAnsi="NettoPro" w:cs="NettoPro"/>
        </w:rPr>
        <w:t>poskytnutí služby</w:t>
      </w:r>
      <w:r w:rsidRPr="001E7552">
        <w:rPr>
          <w:rFonts w:ascii="NettoPro" w:hAnsi="NettoPro" w:cs="NettoPro"/>
        </w:rPr>
        <w:t xml:space="preserve"> budou peněžní prostředky odpovídající ceně za </w:t>
      </w:r>
      <w:r w:rsidR="000D0310" w:rsidRPr="001E7552">
        <w:rPr>
          <w:rFonts w:ascii="NettoPro" w:hAnsi="NettoPro" w:cs="NettoPro"/>
        </w:rPr>
        <w:t>poskytnutí služby</w:t>
      </w:r>
      <w:r w:rsidRPr="001E7552">
        <w:rPr>
          <w:rFonts w:ascii="NettoPro" w:hAnsi="NettoPro" w:cs="NettoPro"/>
        </w:rPr>
        <w:t xml:space="preserve"> odepsány z účtu </w:t>
      </w:r>
      <w:r w:rsidR="00BA7A88" w:rsidRPr="001E7552">
        <w:rPr>
          <w:rFonts w:ascii="NettoPro" w:hAnsi="NettoPro" w:cs="NettoPro"/>
        </w:rPr>
        <w:t>odběratele</w:t>
      </w:r>
      <w:r w:rsidRPr="001E7552">
        <w:rPr>
          <w:rFonts w:ascii="NettoPro" w:hAnsi="NettoPro" w:cs="NettoPro"/>
        </w:rPr>
        <w:t xml:space="preserve"> ve prospěch účtu </w:t>
      </w:r>
      <w:r w:rsidR="001E7552">
        <w:rPr>
          <w:rFonts w:ascii="NettoPro" w:hAnsi="NettoPro" w:cs="NettoPro"/>
        </w:rPr>
        <w:t>dodavatel</w:t>
      </w:r>
      <w:r w:rsidRPr="001E7552">
        <w:rPr>
          <w:rFonts w:ascii="NettoPro" w:hAnsi="NettoPro" w:cs="NettoPro"/>
        </w:rPr>
        <w:t>e</w:t>
      </w:r>
      <w:r w:rsidR="001E7552">
        <w:rPr>
          <w:rFonts w:ascii="NettoPro" w:hAnsi="NettoPro" w:cs="NettoPro"/>
        </w:rPr>
        <w:t>.</w:t>
      </w:r>
    </w:p>
    <w:p w14:paraId="07684732" w14:textId="16F2EDF4" w:rsidR="00B540ED" w:rsidRPr="001E7552" w:rsidRDefault="00232D82" w:rsidP="00B540ED">
      <w:pPr>
        <w:pStyle w:val="Podnadpis1"/>
        <w:jc w:val="both"/>
        <w:rPr>
          <w:rFonts w:ascii="NettoPro" w:hAnsi="NettoPro" w:cs="NettoPro"/>
        </w:rPr>
      </w:pPr>
      <w:r w:rsidRPr="001E7552">
        <w:rPr>
          <w:rFonts w:ascii="NettoPro" w:hAnsi="NettoPro" w:cs="NettoPro"/>
        </w:rPr>
        <w:t xml:space="preserve">Zjistí-li </w:t>
      </w:r>
      <w:r w:rsidR="001E7552">
        <w:rPr>
          <w:rFonts w:ascii="NettoPro" w:hAnsi="NettoPro" w:cs="NettoPro"/>
        </w:rPr>
        <w:t>odběratel</w:t>
      </w:r>
      <w:r w:rsidRPr="001E7552">
        <w:rPr>
          <w:rFonts w:ascii="NettoPro" w:hAnsi="NettoPro" w:cs="NettoPro"/>
        </w:rPr>
        <w:t xml:space="preserve"> po řádném protokolárním předání a převzetí etapy díla nebo celého díla, že dílo má vady a uplatní je u </w:t>
      </w:r>
      <w:r w:rsidR="001E7552">
        <w:rPr>
          <w:rFonts w:ascii="NettoPro" w:hAnsi="NettoPro" w:cs="NettoPro"/>
        </w:rPr>
        <w:t>dodavatel</w:t>
      </w:r>
      <w:r w:rsidRPr="001E7552">
        <w:rPr>
          <w:rFonts w:ascii="NettoPro" w:hAnsi="NettoPro" w:cs="NettoPro"/>
        </w:rPr>
        <w:t xml:space="preserve">e, není </w:t>
      </w:r>
      <w:r w:rsidR="001E7552">
        <w:rPr>
          <w:rFonts w:ascii="NettoPro" w:hAnsi="NettoPro" w:cs="NettoPro"/>
        </w:rPr>
        <w:t>dodavatel</w:t>
      </w:r>
      <w:r w:rsidRPr="001E7552">
        <w:rPr>
          <w:rFonts w:ascii="NettoPro" w:hAnsi="NettoPro" w:cs="NettoPro"/>
        </w:rPr>
        <w:t xml:space="preserve"> oprávněn vystavit a předat fakturu. Vystavil-li a předal-li již </w:t>
      </w:r>
      <w:r w:rsidR="001E7552">
        <w:rPr>
          <w:rFonts w:ascii="NettoPro" w:hAnsi="NettoPro" w:cs="NettoPro"/>
        </w:rPr>
        <w:t>dodavatel</w:t>
      </w:r>
      <w:r w:rsidRPr="001E7552">
        <w:rPr>
          <w:rFonts w:ascii="NettoPro" w:hAnsi="NettoPro" w:cs="NettoPro"/>
        </w:rPr>
        <w:t xml:space="preserve"> fakturu </w:t>
      </w:r>
      <w:r w:rsidR="001E7552">
        <w:rPr>
          <w:rFonts w:ascii="NettoPro" w:hAnsi="NettoPro" w:cs="NettoPro"/>
        </w:rPr>
        <w:t>odběratel</w:t>
      </w:r>
      <w:r w:rsidRPr="001E7552">
        <w:rPr>
          <w:rFonts w:ascii="NettoPro" w:hAnsi="NettoPro" w:cs="NettoPro"/>
        </w:rPr>
        <w:t xml:space="preserve">i a dosud neuplynula lhůta pro její splatnost, je </w:t>
      </w:r>
      <w:r w:rsidR="001E7552">
        <w:rPr>
          <w:rFonts w:ascii="NettoPro" w:hAnsi="NettoPro" w:cs="NettoPro"/>
        </w:rPr>
        <w:t>odběratel</w:t>
      </w:r>
      <w:r w:rsidRPr="001E7552">
        <w:rPr>
          <w:rFonts w:ascii="NettoPro" w:hAnsi="NettoPro" w:cs="NettoPro"/>
        </w:rPr>
        <w:t xml:space="preserve"> oprávněn fakturu </w:t>
      </w:r>
      <w:r w:rsidR="001E7552">
        <w:rPr>
          <w:rFonts w:ascii="NettoPro" w:hAnsi="NettoPro" w:cs="NettoPro"/>
        </w:rPr>
        <w:t>dodavatel</w:t>
      </w:r>
      <w:r w:rsidRPr="001E7552">
        <w:rPr>
          <w:rFonts w:ascii="NettoPro" w:hAnsi="NettoPro" w:cs="NettoPro"/>
        </w:rPr>
        <w:t xml:space="preserve">i vrátit. </w:t>
      </w:r>
      <w:r w:rsidR="001E7552">
        <w:rPr>
          <w:rFonts w:ascii="NettoPro" w:hAnsi="NettoPro" w:cs="NettoPro"/>
        </w:rPr>
        <w:t>Dodavatel</w:t>
      </w:r>
      <w:r w:rsidRPr="001E7552">
        <w:rPr>
          <w:rFonts w:ascii="NettoPro" w:hAnsi="NettoPro" w:cs="NettoPro"/>
        </w:rPr>
        <w:t xml:space="preserve"> je povinen vady díla odstranit. Při uplatnění vad díla dle tohoto odstavce této smlouvy bude postupováno obdobně podle čl. V. odst. 5. této smlouvy. Po odstranění vad díla bude postupováno obdobně podle čl. II. odst. 2.2. a 2.9. této smlouvy. Nová faktura bude mít novou lhůtu splatnosti. </w:t>
      </w:r>
    </w:p>
    <w:p w14:paraId="702312F9" w14:textId="6DE50E73" w:rsidR="004803F3" w:rsidRPr="005E313B" w:rsidRDefault="004803F3" w:rsidP="00A171B8">
      <w:pPr>
        <w:pStyle w:val="HlavniNadpis"/>
        <w:rPr>
          <w:rFonts w:ascii="NettoPro" w:hAnsi="NettoPro" w:cs="NettoPro"/>
          <w:b w:val="0"/>
        </w:rPr>
      </w:pPr>
      <w:r w:rsidRPr="005E313B">
        <w:rPr>
          <w:rFonts w:ascii="NettoPro" w:hAnsi="NettoPro" w:cs="NettoPro"/>
          <w:b w:val="0"/>
        </w:rPr>
        <w:lastRenderedPageBreak/>
        <w:t xml:space="preserve">Součinnost stran a vzájemná kooperace, prohlášení, povinnosti </w:t>
      </w:r>
      <w:r w:rsidR="00BA7A88" w:rsidRPr="005E313B">
        <w:rPr>
          <w:rFonts w:ascii="NettoPro" w:hAnsi="NettoPro" w:cs="NettoPro"/>
          <w:b w:val="0"/>
        </w:rPr>
        <w:t xml:space="preserve">dodavatele </w:t>
      </w:r>
    </w:p>
    <w:p w14:paraId="13F6D4FE" w14:textId="0740BED2" w:rsidR="004803F3" w:rsidRPr="001E7552" w:rsidRDefault="004803F3" w:rsidP="004803F3">
      <w:pPr>
        <w:pStyle w:val="Podnadpis1"/>
        <w:rPr>
          <w:rFonts w:ascii="NettoPro" w:hAnsi="NettoPro" w:cs="NettoPro"/>
        </w:rPr>
      </w:pPr>
      <w:r w:rsidRPr="001E7552">
        <w:rPr>
          <w:rFonts w:ascii="NettoPro" w:hAnsi="NettoPro" w:cs="NettoPro"/>
        </w:rPr>
        <w:t xml:space="preserve">Smluvní strany se dohodly, že </w:t>
      </w:r>
      <w:r w:rsidR="00760C57" w:rsidRPr="001E7552">
        <w:rPr>
          <w:rFonts w:ascii="NettoPro" w:hAnsi="NettoPro" w:cs="NettoPro"/>
        </w:rPr>
        <w:t>dodavatel</w:t>
      </w:r>
      <w:r w:rsidRPr="001E7552">
        <w:rPr>
          <w:rFonts w:ascii="NettoPro" w:hAnsi="NettoPro" w:cs="NettoPro"/>
        </w:rPr>
        <w:t xml:space="preserve"> je oprávněn požadovat od o</w:t>
      </w:r>
      <w:r w:rsidR="00760C57" w:rsidRPr="001E7552">
        <w:rPr>
          <w:rFonts w:ascii="NettoPro" w:hAnsi="NettoPro" w:cs="NettoPro"/>
        </w:rPr>
        <w:t>dběratele</w:t>
      </w:r>
      <w:r w:rsidRPr="001E7552">
        <w:rPr>
          <w:rFonts w:ascii="NettoPro" w:hAnsi="NettoPro" w:cs="NettoPro"/>
        </w:rPr>
        <w:t xml:space="preserve"> během plnění smlouvy poskytnutích dalších nezbytných informací či dokumentů, popř. upřesnění nebo vysvětlení již předaných podkladů. </w:t>
      </w:r>
    </w:p>
    <w:p w14:paraId="7F55DADA" w14:textId="4325CDBB" w:rsidR="004803F3" w:rsidRPr="001E7552" w:rsidRDefault="00760C57" w:rsidP="00760C57">
      <w:pPr>
        <w:pStyle w:val="Podnadpis1"/>
        <w:jc w:val="both"/>
        <w:rPr>
          <w:rFonts w:ascii="NettoPro" w:hAnsi="NettoPro" w:cs="NettoPro"/>
        </w:rPr>
      </w:pPr>
      <w:r w:rsidRPr="001E7552">
        <w:rPr>
          <w:rFonts w:ascii="NettoPro" w:hAnsi="NettoPro" w:cs="NettoPro"/>
        </w:rPr>
        <w:t>Dodavatel</w:t>
      </w:r>
      <w:r w:rsidR="004803F3" w:rsidRPr="001E7552">
        <w:rPr>
          <w:rFonts w:ascii="NettoPro" w:hAnsi="NettoPro" w:cs="NettoPro"/>
        </w:rPr>
        <w:t xml:space="preserve"> je povinen v průběhu zpracování díla přizvat</w:t>
      </w:r>
      <w:r w:rsidRPr="001E7552">
        <w:rPr>
          <w:rFonts w:ascii="NettoPro" w:hAnsi="NettoPro" w:cs="NettoPro"/>
        </w:rPr>
        <w:t xml:space="preserve"> odběratele</w:t>
      </w:r>
      <w:r w:rsidR="004803F3" w:rsidRPr="001E7552">
        <w:rPr>
          <w:rFonts w:ascii="NettoPro" w:hAnsi="NettoPro" w:cs="NettoPro"/>
        </w:rPr>
        <w:t xml:space="preserve"> ke konzultaci. Na termínech těchto jednání se musí </w:t>
      </w:r>
      <w:r w:rsidR="00BA7A88" w:rsidRPr="001E7552">
        <w:rPr>
          <w:rFonts w:ascii="NettoPro" w:hAnsi="NettoPro" w:cs="NettoPro"/>
        </w:rPr>
        <w:t>dodavatel</w:t>
      </w:r>
      <w:r w:rsidR="004803F3" w:rsidRPr="001E7552">
        <w:rPr>
          <w:rFonts w:ascii="NettoPro" w:hAnsi="NettoPro" w:cs="NettoPro"/>
        </w:rPr>
        <w:t xml:space="preserve"> s</w:t>
      </w:r>
      <w:r w:rsidR="00BA7A88" w:rsidRPr="001E7552">
        <w:rPr>
          <w:rFonts w:ascii="NettoPro" w:hAnsi="NettoPro" w:cs="NettoPro"/>
        </w:rPr>
        <w:t xml:space="preserve"> odběratelem </w:t>
      </w:r>
      <w:r w:rsidR="004803F3" w:rsidRPr="001E7552">
        <w:rPr>
          <w:rFonts w:ascii="NettoPro" w:hAnsi="NettoPro" w:cs="NettoPro"/>
        </w:rPr>
        <w:t xml:space="preserve">dohodnout. Konzultačním místem je sídlo </w:t>
      </w:r>
      <w:r w:rsidR="00BA7A88" w:rsidRPr="001E7552">
        <w:rPr>
          <w:rFonts w:ascii="NettoPro" w:hAnsi="NettoPro" w:cs="NettoPro"/>
        </w:rPr>
        <w:t>odběratele.</w:t>
      </w:r>
    </w:p>
    <w:p w14:paraId="1BB9E172" w14:textId="71445841" w:rsidR="004803F3" w:rsidRPr="001E7552" w:rsidRDefault="00760C57" w:rsidP="00760C57">
      <w:pPr>
        <w:pStyle w:val="Podnadpis1"/>
        <w:jc w:val="both"/>
        <w:rPr>
          <w:rFonts w:ascii="NettoPro" w:hAnsi="NettoPro" w:cs="NettoPro"/>
        </w:rPr>
      </w:pPr>
      <w:r w:rsidRPr="001E7552">
        <w:rPr>
          <w:rFonts w:ascii="NettoPro" w:hAnsi="NettoPro" w:cs="NettoPro"/>
        </w:rPr>
        <w:t xml:space="preserve">Dodavatel </w:t>
      </w:r>
      <w:r w:rsidR="004803F3" w:rsidRPr="001E7552">
        <w:rPr>
          <w:rFonts w:ascii="NettoPro" w:hAnsi="NettoPro" w:cs="NettoPro"/>
        </w:rPr>
        <w:t xml:space="preserve">se zavazuje písemně upozornit </w:t>
      </w:r>
      <w:r w:rsidRPr="001E7552">
        <w:rPr>
          <w:rFonts w:ascii="NettoPro" w:hAnsi="NettoPro" w:cs="NettoPro"/>
        </w:rPr>
        <w:t>odběratele</w:t>
      </w:r>
      <w:r w:rsidR="004803F3" w:rsidRPr="001E7552">
        <w:rPr>
          <w:rFonts w:ascii="NettoPro" w:hAnsi="NettoPro" w:cs="NettoPro"/>
        </w:rPr>
        <w:t xml:space="preserve"> na nevhodnost, případně nepřípustnost podkladových materiálů, pokynů, věcí, které mu byly předány o</w:t>
      </w:r>
      <w:r w:rsidR="00BA7A88" w:rsidRPr="001E7552">
        <w:rPr>
          <w:rFonts w:ascii="NettoPro" w:hAnsi="NettoPro" w:cs="NettoPro"/>
        </w:rPr>
        <w:t>dběratelem</w:t>
      </w:r>
      <w:r w:rsidR="004803F3" w:rsidRPr="001E7552">
        <w:rPr>
          <w:rFonts w:ascii="NettoPro" w:hAnsi="NettoPro" w:cs="NettoPro"/>
        </w:rPr>
        <w:t xml:space="preserve"> nebo o</w:t>
      </w:r>
      <w:r w:rsidR="00BA7A88" w:rsidRPr="001E7552">
        <w:rPr>
          <w:rFonts w:ascii="NettoPro" w:hAnsi="NettoPro" w:cs="NettoPro"/>
        </w:rPr>
        <w:t xml:space="preserve">dběratelem </w:t>
      </w:r>
      <w:r w:rsidR="004803F3" w:rsidRPr="001E7552">
        <w:rPr>
          <w:rFonts w:ascii="NettoPro" w:hAnsi="NettoPro" w:cs="NettoPro"/>
        </w:rPr>
        <w:t xml:space="preserve">požadovaných změn, z hlediska důsledků pro jakost a </w:t>
      </w:r>
      <w:r w:rsidR="000D0310" w:rsidRPr="001E7552">
        <w:rPr>
          <w:rFonts w:ascii="NettoPro" w:hAnsi="NettoPro" w:cs="NettoPro"/>
        </w:rPr>
        <w:t>poskytnutí služby</w:t>
      </w:r>
      <w:r w:rsidR="004803F3" w:rsidRPr="001E7552">
        <w:rPr>
          <w:rFonts w:ascii="NettoPro" w:hAnsi="NettoPro" w:cs="NettoPro"/>
        </w:rPr>
        <w:t xml:space="preserve"> či rozporu s podklady pro uzavření smlouvy, ustanoveními nebo rozhodnutími orgánů veřejné správy či obecně závaznými právními předpisy. V případě, že </w:t>
      </w:r>
      <w:r w:rsidR="00BA7A88" w:rsidRPr="001E7552">
        <w:rPr>
          <w:rFonts w:ascii="NettoPro" w:hAnsi="NettoPro" w:cs="NettoPro"/>
        </w:rPr>
        <w:t xml:space="preserve"> odběratel </w:t>
      </w:r>
      <w:r w:rsidR="004803F3" w:rsidRPr="001E7552">
        <w:rPr>
          <w:rFonts w:ascii="NettoPro" w:hAnsi="NettoPro" w:cs="NettoPro"/>
        </w:rPr>
        <w:t xml:space="preserve">bude, i přes upozornění </w:t>
      </w:r>
      <w:r w:rsidR="00BA7A88" w:rsidRPr="001E7552">
        <w:rPr>
          <w:rFonts w:ascii="NettoPro" w:hAnsi="NettoPro" w:cs="NettoPro"/>
        </w:rPr>
        <w:t>dodavatel</w:t>
      </w:r>
      <w:r w:rsidR="004803F3" w:rsidRPr="001E7552">
        <w:rPr>
          <w:rFonts w:ascii="NettoPro" w:hAnsi="NettoPro" w:cs="NettoPro"/>
        </w:rPr>
        <w:t xml:space="preserve">e, trvat na užití podkladových materiálů, pokynů a věcí, které byly </w:t>
      </w:r>
      <w:r w:rsidR="00BA7A88" w:rsidRPr="001E7552">
        <w:rPr>
          <w:rFonts w:ascii="NettoPro" w:hAnsi="NettoPro" w:cs="NettoPro"/>
        </w:rPr>
        <w:t xml:space="preserve"> odběrateli</w:t>
      </w:r>
      <w:r w:rsidR="004803F3" w:rsidRPr="001E7552">
        <w:rPr>
          <w:rFonts w:ascii="NettoPro" w:hAnsi="NettoPro" w:cs="NettoPro"/>
        </w:rPr>
        <w:t xml:space="preserve"> předány o</w:t>
      </w:r>
      <w:r w:rsidR="00BA7A88" w:rsidRPr="001E7552">
        <w:rPr>
          <w:rFonts w:ascii="NettoPro" w:hAnsi="NettoPro" w:cs="NettoPro"/>
        </w:rPr>
        <w:t>dběratelem</w:t>
      </w:r>
      <w:r w:rsidR="004803F3" w:rsidRPr="001E7552">
        <w:rPr>
          <w:rFonts w:ascii="NettoPro" w:hAnsi="NettoPro" w:cs="NettoPro"/>
        </w:rPr>
        <w:t xml:space="preserve">, je </w:t>
      </w:r>
      <w:r w:rsidR="00BA7A88" w:rsidRPr="001E7552">
        <w:rPr>
          <w:rFonts w:ascii="NettoPro" w:hAnsi="NettoPro" w:cs="NettoPro"/>
        </w:rPr>
        <w:t>dodavatel</w:t>
      </w:r>
      <w:r w:rsidR="004803F3" w:rsidRPr="001E7552">
        <w:rPr>
          <w:rFonts w:ascii="NettoPro" w:hAnsi="NettoPro" w:cs="NettoPro"/>
        </w:rPr>
        <w:t xml:space="preserve"> oprávněn odmítnout jejich plnění pouze tehdy, pokud by se jejich splněním mohl vystavit správnímu či trestnímu postihu.</w:t>
      </w:r>
    </w:p>
    <w:p w14:paraId="450A9CD1" w14:textId="4A97D826" w:rsidR="004803F3" w:rsidRPr="001E7552" w:rsidRDefault="00760C57" w:rsidP="00760C57">
      <w:pPr>
        <w:pStyle w:val="Podnadpis1"/>
        <w:jc w:val="both"/>
        <w:rPr>
          <w:rFonts w:ascii="NettoPro" w:hAnsi="NettoPro" w:cs="NettoPro"/>
        </w:rPr>
      </w:pPr>
      <w:r w:rsidRPr="001E7552">
        <w:rPr>
          <w:rFonts w:ascii="NettoPro" w:hAnsi="NettoPro" w:cs="NettoPro"/>
        </w:rPr>
        <w:t xml:space="preserve">Dodavatel </w:t>
      </w:r>
      <w:r w:rsidR="004803F3" w:rsidRPr="001E7552">
        <w:rPr>
          <w:rFonts w:ascii="NettoPro" w:hAnsi="NettoPro" w:cs="NettoPro"/>
        </w:rPr>
        <w:t xml:space="preserve">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p>
    <w:p w14:paraId="7937936E" w14:textId="1974C068" w:rsidR="004803F3" w:rsidRPr="001E7552" w:rsidRDefault="00760C57" w:rsidP="00760C57">
      <w:pPr>
        <w:pStyle w:val="Podnadpis1"/>
        <w:jc w:val="both"/>
        <w:rPr>
          <w:rFonts w:ascii="NettoPro" w:hAnsi="NettoPro" w:cs="NettoPro"/>
        </w:rPr>
      </w:pPr>
      <w:r w:rsidRPr="001E7552">
        <w:rPr>
          <w:rFonts w:ascii="NettoPro" w:hAnsi="NettoPro" w:cs="NettoPro"/>
        </w:rPr>
        <w:t>Dodavatel</w:t>
      </w:r>
      <w:r w:rsidR="004803F3" w:rsidRPr="001E7552">
        <w:rPr>
          <w:rFonts w:ascii="NettoPro" w:hAnsi="NettoPro" w:cs="NettoPro"/>
        </w:rPr>
        <w:t xml:space="preserve"> je povinen uchovávat veškerou dokumentaci související s realizací předmětu plnění a projektu včetně účetních dokladů minimálně po dobu 10 let od finančního ukončení projektu, alespoň však do konce roku 2036 </w:t>
      </w:r>
      <w:r w:rsidR="000D0310" w:rsidRPr="001E7552">
        <w:rPr>
          <w:rFonts w:ascii="NettoPro" w:hAnsi="NettoPro" w:cs="NettoPro"/>
        </w:rPr>
        <w:br/>
      </w:r>
      <w:r w:rsidR="004803F3" w:rsidRPr="001E7552">
        <w:rPr>
          <w:rFonts w:ascii="NettoPro" w:hAnsi="NettoPro" w:cs="NettoPro"/>
        </w:rPr>
        <w:t xml:space="preserve">v souladu s legislativou ČR a podmínkami Operačního programu Jan Amos Komenský (OP JAK), pokud nebude určeno jinak. </w:t>
      </w:r>
      <w:r w:rsidR="00065300">
        <w:rPr>
          <w:rFonts w:ascii="NettoPro" w:hAnsi="NettoPro" w:cs="NettoPro"/>
        </w:rPr>
        <w:t>Dodavatel</w:t>
      </w:r>
      <w:r w:rsidR="004803F3" w:rsidRPr="001E7552">
        <w:rPr>
          <w:rFonts w:ascii="NettoPro" w:hAnsi="NettoPro" w:cs="NettoPro"/>
        </w:rPr>
        <w:t xml:space="preserve">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0918B5F1" w14:textId="44E64A28" w:rsidR="003F4D84" w:rsidRPr="001E7552" w:rsidRDefault="00760C57" w:rsidP="003F4D84">
      <w:pPr>
        <w:pStyle w:val="Podnadpis1"/>
        <w:jc w:val="both"/>
        <w:rPr>
          <w:rFonts w:ascii="NettoPro" w:hAnsi="NettoPro" w:cs="NettoPro"/>
        </w:rPr>
      </w:pPr>
      <w:r w:rsidRPr="001E7552">
        <w:rPr>
          <w:rFonts w:ascii="NettoPro" w:hAnsi="NettoPro" w:cs="NettoPro"/>
        </w:rPr>
        <w:t xml:space="preserve">Dodavatel </w:t>
      </w:r>
      <w:r w:rsidR="004803F3" w:rsidRPr="001E7552">
        <w:rPr>
          <w:rFonts w:ascii="NettoPro" w:hAnsi="NettoPro" w:cs="NettoPro"/>
        </w:rPr>
        <w:t>si je vědom skutečnosti, že</w:t>
      </w:r>
      <w:r w:rsidRPr="001E7552">
        <w:rPr>
          <w:rFonts w:ascii="NettoPro" w:hAnsi="NettoPro" w:cs="NettoPro"/>
        </w:rPr>
        <w:t xml:space="preserve"> odběratel</w:t>
      </w:r>
      <w:r w:rsidR="004803F3" w:rsidRPr="001E7552">
        <w:rPr>
          <w:rFonts w:ascii="NettoPro" w:hAnsi="NettoPro" w:cs="NettoPro"/>
        </w:rPr>
        <w:t xml:space="preserve"> má zájem o plnění předmětu smlouvy dle zásad sociálně odpovědného zadávání veřejných zakázek. </w:t>
      </w:r>
      <w:r w:rsidR="00BA7A88" w:rsidRPr="001E7552">
        <w:rPr>
          <w:rFonts w:ascii="NettoPro" w:hAnsi="NettoPro" w:cs="NettoPro"/>
        </w:rPr>
        <w:t>Dodavatel</w:t>
      </w:r>
      <w:r w:rsidR="004803F3" w:rsidRPr="001E7552">
        <w:rPr>
          <w:rFonts w:ascii="NettoPro" w:hAnsi="NettoPro" w:cs="NettoPro"/>
        </w:rPr>
        <w:t xml:space="preserve">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w:t>
      </w:r>
      <w:r w:rsidR="00BA7A88" w:rsidRPr="001E7552">
        <w:rPr>
          <w:rFonts w:ascii="NettoPro" w:hAnsi="NettoPro" w:cs="NettoPro"/>
        </w:rPr>
        <w:t>Dodavatelem</w:t>
      </w:r>
      <w:r w:rsidR="005738BD" w:rsidRPr="001E7552">
        <w:rPr>
          <w:rFonts w:ascii="NettoPro" w:hAnsi="NettoPro" w:cs="NettoPro"/>
        </w:rPr>
        <w:t xml:space="preserve"> </w:t>
      </w:r>
      <w:r w:rsidR="004803F3" w:rsidRPr="001E7552">
        <w:rPr>
          <w:rFonts w:ascii="NettoPro" w:hAnsi="NettoPro" w:cs="NettoPro"/>
        </w:rPr>
        <w:t>nebo jeho poddodavatelem.</w:t>
      </w:r>
    </w:p>
    <w:p w14:paraId="1408A36A" w14:textId="77777777" w:rsidR="003F4D84" w:rsidRPr="00600A83" w:rsidRDefault="003F4D84" w:rsidP="003F4D84">
      <w:pPr>
        <w:pStyle w:val="HlavniNadpis"/>
        <w:rPr>
          <w:rFonts w:ascii="NettoPro" w:hAnsi="NettoPro" w:cs="NettoPro"/>
          <w:b w:val="0"/>
        </w:rPr>
      </w:pPr>
      <w:r w:rsidRPr="00600A83">
        <w:rPr>
          <w:rFonts w:ascii="NettoPro" w:hAnsi="NettoPro" w:cs="NettoPro"/>
          <w:b w:val="0"/>
        </w:rPr>
        <w:t>Smluvní pokuta</w:t>
      </w:r>
    </w:p>
    <w:p w14:paraId="2A71CA36" w14:textId="1A01CE49" w:rsidR="003F4D84" w:rsidRPr="001E7552" w:rsidRDefault="003F4D84" w:rsidP="003F4D84">
      <w:pPr>
        <w:pStyle w:val="Podnadpis1"/>
        <w:jc w:val="both"/>
        <w:rPr>
          <w:rFonts w:ascii="NettoPro" w:hAnsi="NettoPro" w:cs="NettoPro"/>
        </w:rPr>
      </w:pPr>
      <w:r w:rsidRPr="001E7552">
        <w:rPr>
          <w:rFonts w:ascii="NettoPro" w:hAnsi="NettoPro" w:cs="NettoPro"/>
        </w:rPr>
        <w:lastRenderedPageBreak/>
        <w:t xml:space="preserve">Smluvní strany se dohodly, že v případě prodlení </w:t>
      </w:r>
      <w:r w:rsidR="001E7552">
        <w:rPr>
          <w:rFonts w:ascii="NettoPro" w:hAnsi="NettoPro" w:cs="NettoPro"/>
        </w:rPr>
        <w:t>dodavatel</w:t>
      </w:r>
      <w:r w:rsidRPr="001E7552">
        <w:rPr>
          <w:rFonts w:ascii="NettoPro" w:hAnsi="NettoPro" w:cs="NettoPro"/>
        </w:rPr>
        <w:t xml:space="preserve">e se zhotovením díla, je </w:t>
      </w:r>
      <w:r w:rsidR="001E7552">
        <w:rPr>
          <w:rFonts w:ascii="NettoPro" w:hAnsi="NettoPro" w:cs="NettoPro"/>
        </w:rPr>
        <w:t>odběratel</w:t>
      </w:r>
      <w:r w:rsidRPr="001E7552">
        <w:rPr>
          <w:rFonts w:ascii="NettoPro" w:hAnsi="NettoPro" w:cs="NettoPro"/>
        </w:rPr>
        <w:t xml:space="preserve"> vůči němu oprávněn uplatnit smluvní pokutu ve výši 0,05 % z ceny dle čl. III. odst. 3.1 smlouvy včetně DPH, a to za každý i započatý den prodlení či přerušení. </w:t>
      </w:r>
    </w:p>
    <w:p w14:paraId="6A675600" w14:textId="6A5A5764" w:rsidR="003F4D84" w:rsidRPr="001E7552" w:rsidRDefault="003F4D84" w:rsidP="003F4D84">
      <w:pPr>
        <w:pStyle w:val="Podnadpis1"/>
        <w:jc w:val="both"/>
        <w:rPr>
          <w:rFonts w:ascii="NettoPro" w:hAnsi="NettoPro" w:cs="NettoPro"/>
        </w:rPr>
      </w:pPr>
      <w:r w:rsidRPr="001E7552">
        <w:rPr>
          <w:rFonts w:ascii="NettoPro" w:hAnsi="NettoPro" w:cs="NettoPro"/>
        </w:rPr>
        <w:t xml:space="preserve">Smluvní strany se dohodly, že v případě kdy </w:t>
      </w:r>
      <w:r w:rsidR="001E7552">
        <w:rPr>
          <w:rFonts w:ascii="NettoPro" w:hAnsi="NettoPro" w:cs="NettoPro"/>
        </w:rPr>
        <w:t>odběratel</w:t>
      </w:r>
      <w:r w:rsidRPr="001E7552">
        <w:rPr>
          <w:rFonts w:ascii="NettoPro" w:hAnsi="NettoPro" w:cs="NettoPro"/>
        </w:rPr>
        <w:t xml:space="preserve"> neuhradí bez zjevného důvodu cenu plnění do data splatnosti, je </w:t>
      </w:r>
      <w:r w:rsidR="00065300">
        <w:rPr>
          <w:rFonts w:ascii="NettoPro" w:hAnsi="NettoPro" w:cs="NettoPro"/>
        </w:rPr>
        <w:t>dodavatel</w:t>
      </w:r>
      <w:r w:rsidRPr="001E7552">
        <w:rPr>
          <w:rFonts w:ascii="NettoPro" w:hAnsi="NettoPro" w:cs="NettoPro"/>
        </w:rPr>
        <w:t xml:space="preserve"> vůči němu oprávněn uplatnit smluvní pokutu ve výši 0,05 % z dlužné částky, a to za každý i započatý den prodlení. </w:t>
      </w:r>
    </w:p>
    <w:p w14:paraId="195B3CC8" w14:textId="498A7D91" w:rsidR="003F4D84" w:rsidRPr="001E7552" w:rsidRDefault="003F4D84" w:rsidP="003F4D84">
      <w:pPr>
        <w:pStyle w:val="Podnadpis1"/>
        <w:jc w:val="both"/>
        <w:rPr>
          <w:rFonts w:ascii="NettoPro" w:hAnsi="NettoPro" w:cs="NettoPro"/>
        </w:rPr>
      </w:pPr>
      <w:r w:rsidRPr="001E7552">
        <w:rPr>
          <w:rFonts w:ascii="NettoPro" w:hAnsi="NettoPro" w:cs="NettoPro"/>
        </w:rPr>
        <w:t xml:space="preserve">Smluvní strany se dohodly, že v případě nepřizvání </w:t>
      </w:r>
      <w:r w:rsidR="001E7552">
        <w:rPr>
          <w:rFonts w:ascii="NettoPro" w:hAnsi="NettoPro" w:cs="NettoPro"/>
        </w:rPr>
        <w:t>odběratel</w:t>
      </w:r>
      <w:r w:rsidRPr="001E7552">
        <w:rPr>
          <w:rFonts w:ascii="NettoPro" w:hAnsi="NettoPro" w:cs="NettoPro"/>
        </w:rPr>
        <w:t xml:space="preserve">e ke konzultaci, je </w:t>
      </w:r>
      <w:r w:rsidR="001E7552">
        <w:rPr>
          <w:rFonts w:ascii="NettoPro" w:hAnsi="NettoPro" w:cs="NettoPro"/>
        </w:rPr>
        <w:t>odběratel</w:t>
      </w:r>
      <w:r w:rsidRPr="001E7552">
        <w:rPr>
          <w:rFonts w:ascii="NettoPro" w:hAnsi="NettoPro" w:cs="NettoPro"/>
        </w:rPr>
        <w:t xml:space="preserve"> oprávněn vůči </w:t>
      </w:r>
      <w:r w:rsidR="001E7552">
        <w:rPr>
          <w:rFonts w:ascii="NettoPro" w:hAnsi="NettoPro" w:cs="NettoPro"/>
        </w:rPr>
        <w:t>dodavatel</w:t>
      </w:r>
      <w:r w:rsidRPr="001E7552">
        <w:rPr>
          <w:rFonts w:ascii="NettoPro" w:hAnsi="NettoPro" w:cs="NettoPro"/>
        </w:rPr>
        <w:t>i uplatnit smluvní pokutu ve výši 0,05 % z ceny dle čl. III. odst. 3.1 smlouvy včetně DPH, a to za každý i započatý den prodlení či přerušení.</w:t>
      </w:r>
    </w:p>
    <w:p w14:paraId="5C378505" w14:textId="0FC1720A" w:rsidR="003F4D84" w:rsidRPr="001E7552" w:rsidRDefault="003F4D84" w:rsidP="003F4D84">
      <w:pPr>
        <w:pStyle w:val="Podnadpis1"/>
        <w:jc w:val="both"/>
        <w:rPr>
          <w:rFonts w:ascii="NettoPro" w:hAnsi="NettoPro" w:cs="NettoPro"/>
        </w:rPr>
      </w:pPr>
      <w:r w:rsidRPr="001E7552">
        <w:rPr>
          <w:rFonts w:ascii="NettoPro" w:hAnsi="NettoPro" w:cs="NettoPro"/>
        </w:rPr>
        <w:tab/>
        <w:t xml:space="preserve">Smluvní strany se dohodly, že v případě neumožnění nahlédnutí </w:t>
      </w:r>
      <w:r w:rsidR="001E7552">
        <w:rPr>
          <w:rFonts w:ascii="NettoPro" w:hAnsi="NettoPro" w:cs="NettoPro"/>
        </w:rPr>
        <w:t>odběratel</w:t>
      </w:r>
      <w:r w:rsidRPr="001E7552">
        <w:rPr>
          <w:rFonts w:ascii="NettoPro" w:hAnsi="NettoPro" w:cs="NettoPro"/>
        </w:rPr>
        <w:t xml:space="preserve">i do rozpracované etapy díla, je </w:t>
      </w:r>
      <w:r w:rsidR="001E7552">
        <w:rPr>
          <w:rFonts w:ascii="NettoPro" w:hAnsi="NettoPro" w:cs="NettoPro"/>
        </w:rPr>
        <w:t>odběratel</w:t>
      </w:r>
      <w:r w:rsidRPr="001E7552">
        <w:rPr>
          <w:rFonts w:ascii="NettoPro" w:hAnsi="NettoPro" w:cs="NettoPro"/>
        </w:rPr>
        <w:t xml:space="preserve"> oprávněn vůči </w:t>
      </w:r>
      <w:r w:rsidR="001E7552">
        <w:rPr>
          <w:rFonts w:ascii="NettoPro" w:hAnsi="NettoPro" w:cs="NettoPro"/>
        </w:rPr>
        <w:t>dodavatel</w:t>
      </w:r>
      <w:r w:rsidRPr="001E7552">
        <w:rPr>
          <w:rFonts w:ascii="NettoPro" w:hAnsi="NettoPro" w:cs="NettoPro"/>
        </w:rPr>
        <w:t>i uplatnit smluvní pokutu ve výši 0,05 % z ceny dle čl. III. odst. 3.1 smlouvy včetně DPH, a to za každý i započatý den prodlení či přerušení.</w:t>
      </w:r>
    </w:p>
    <w:p w14:paraId="58F6EBC7" w14:textId="0AC9DB1E" w:rsidR="003F4D84" w:rsidRPr="001E7552" w:rsidRDefault="003F4D84" w:rsidP="003F4D84">
      <w:pPr>
        <w:pStyle w:val="Podnadpis1"/>
        <w:jc w:val="both"/>
        <w:rPr>
          <w:rFonts w:ascii="NettoPro" w:hAnsi="NettoPro" w:cs="NettoPro"/>
        </w:rPr>
      </w:pPr>
      <w:r w:rsidRPr="001E7552">
        <w:rPr>
          <w:rFonts w:ascii="NettoPro" w:hAnsi="NettoPro" w:cs="NettoPro"/>
        </w:rPr>
        <w:tab/>
        <w:t xml:space="preserve">Smluvní pokuta je splatná do třiceti dní od data, kdy byla povinné straně doručena písemná výzva k jejímu zaplacení oprávněnou stranou, a to na účet oprávněné strany uvedený v písemné výzvě. </w:t>
      </w:r>
    </w:p>
    <w:p w14:paraId="13C01EC4" w14:textId="65480B23" w:rsidR="003F4D84" w:rsidRPr="001E7552" w:rsidRDefault="003F4D84" w:rsidP="003F4D84">
      <w:pPr>
        <w:pStyle w:val="Podnadpis1"/>
        <w:jc w:val="both"/>
        <w:rPr>
          <w:rFonts w:ascii="NettoPro" w:hAnsi="NettoPro" w:cs="NettoPro"/>
        </w:rPr>
      </w:pPr>
      <w:r w:rsidRPr="001E7552">
        <w:rPr>
          <w:rFonts w:ascii="NettoPro" w:hAnsi="NettoPro" w:cs="NettoPro"/>
        </w:rPr>
        <w:tab/>
        <w:t>Ustanovením o smluvní pokutě není dotčeno právo oprávněné strany na náhradu škody v plné výši.</w:t>
      </w:r>
    </w:p>
    <w:p w14:paraId="66C01863" w14:textId="77777777" w:rsidR="003F4D84" w:rsidRPr="00600A83" w:rsidRDefault="003F4D84" w:rsidP="003F4D84">
      <w:pPr>
        <w:pStyle w:val="HlavniNadpis"/>
        <w:rPr>
          <w:rFonts w:ascii="NettoPro" w:hAnsi="NettoPro" w:cs="NettoPro"/>
          <w:b w:val="0"/>
        </w:rPr>
      </w:pPr>
      <w:r w:rsidRPr="00600A83">
        <w:rPr>
          <w:rFonts w:ascii="NettoPro" w:hAnsi="NettoPro" w:cs="NettoPro"/>
          <w:b w:val="0"/>
        </w:rPr>
        <w:t>Záruka za jakost,  odpovědnost za vady díla a právní vady předmětu díla</w:t>
      </w:r>
    </w:p>
    <w:p w14:paraId="72747E48" w14:textId="20427851" w:rsidR="003F4D84" w:rsidRPr="001E7552" w:rsidRDefault="003F4D84" w:rsidP="003F4D84">
      <w:pPr>
        <w:pStyle w:val="Podnadpis1"/>
        <w:jc w:val="both"/>
        <w:rPr>
          <w:rFonts w:ascii="NettoPro" w:hAnsi="NettoPro" w:cs="NettoPro"/>
        </w:rPr>
      </w:pPr>
      <w:r w:rsidRPr="001E7552">
        <w:rPr>
          <w:rFonts w:ascii="NettoPro" w:hAnsi="NettoPro" w:cs="NettoPro"/>
        </w:rPr>
        <w:t>Dílo má vady, jestliže provedení díla neodpovídá výsledku určenému v této smlouvě.</w:t>
      </w:r>
    </w:p>
    <w:p w14:paraId="7A1D74B5" w14:textId="5AEA594B" w:rsidR="003F4D84" w:rsidRPr="001E7552" w:rsidRDefault="003F4D84" w:rsidP="003F4D84">
      <w:pPr>
        <w:pStyle w:val="Podnadpis1"/>
        <w:jc w:val="both"/>
        <w:rPr>
          <w:rFonts w:ascii="NettoPro" w:hAnsi="NettoPro" w:cs="NettoPro"/>
        </w:rPr>
      </w:pPr>
      <w:r w:rsidRPr="001E7552">
        <w:rPr>
          <w:rFonts w:ascii="NettoPro" w:hAnsi="NettoPro" w:cs="NettoPro"/>
        </w:rPr>
        <w:tab/>
      </w:r>
      <w:r w:rsidR="001E7552">
        <w:rPr>
          <w:rFonts w:ascii="NettoPro" w:hAnsi="NettoPro" w:cs="NettoPro"/>
        </w:rPr>
        <w:t>Dodavatel</w:t>
      </w:r>
      <w:r w:rsidRPr="001E7552">
        <w:rPr>
          <w:rFonts w:ascii="NettoPro" w:hAnsi="NettoPro" w:cs="NettoPro"/>
        </w:rPr>
        <w:t xml:space="preserve"> odpovídá za vady, které má dílo v době jeho předání </w:t>
      </w:r>
      <w:r w:rsidR="001E7552">
        <w:rPr>
          <w:rFonts w:ascii="NettoPro" w:hAnsi="NettoPro" w:cs="NettoPro"/>
        </w:rPr>
        <w:t>odběratel</w:t>
      </w:r>
      <w:r w:rsidRPr="001E7552">
        <w:rPr>
          <w:rFonts w:ascii="NettoPro" w:hAnsi="NettoPro" w:cs="NettoPro"/>
        </w:rPr>
        <w:t xml:space="preserve">i. </w:t>
      </w:r>
      <w:r w:rsidR="001E7552">
        <w:rPr>
          <w:rFonts w:ascii="NettoPro" w:hAnsi="NettoPro" w:cs="NettoPro"/>
        </w:rPr>
        <w:t>Dodavatel</w:t>
      </w:r>
      <w:r w:rsidRPr="001E7552">
        <w:rPr>
          <w:rFonts w:ascii="NettoPro" w:hAnsi="NettoPro" w:cs="NettoPro"/>
        </w:rPr>
        <w:t xml:space="preserve"> odpovídá za vady vzniklé po předání předmětu </w:t>
      </w:r>
      <w:r w:rsidR="001E7552">
        <w:rPr>
          <w:rFonts w:ascii="NettoPro" w:hAnsi="NettoPro" w:cs="NettoPro"/>
        </w:rPr>
        <w:t>odběratel</w:t>
      </w:r>
      <w:r w:rsidRPr="001E7552">
        <w:rPr>
          <w:rFonts w:ascii="NettoPro" w:hAnsi="NettoPro" w:cs="NettoPro"/>
        </w:rPr>
        <w:t>i, jestliže byly způsobeny porušením jeho povinností.</w:t>
      </w:r>
    </w:p>
    <w:p w14:paraId="17C9EF46" w14:textId="323503CB" w:rsidR="003F4D84" w:rsidRPr="001E7552" w:rsidRDefault="003F4D84" w:rsidP="003F4D84">
      <w:pPr>
        <w:pStyle w:val="Podnadpis1"/>
        <w:jc w:val="both"/>
        <w:rPr>
          <w:rFonts w:ascii="NettoPro" w:hAnsi="NettoPro" w:cs="NettoPro"/>
        </w:rPr>
      </w:pPr>
      <w:r w:rsidRPr="001E7552">
        <w:rPr>
          <w:rFonts w:ascii="NettoPro" w:hAnsi="NettoPro" w:cs="NettoPro"/>
        </w:rPr>
        <w:tab/>
      </w:r>
      <w:r w:rsidR="001E7552">
        <w:rPr>
          <w:rFonts w:ascii="NettoPro" w:hAnsi="NettoPro" w:cs="NettoPro"/>
        </w:rPr>
        <w:t>Dodavatel</w:t>
      </w:r>
      <w:r w:rsidRPr="001E7552">
        <w:rPr>
          <w:rFonts w:ascii="NettoPro" w:hAnsi="NettoPro" w:cs="NettoPro"/>
        </w:rPr>
        <w:t xml:space="preserve"> odpovídá za jednoznačnost, efektivnost, funkčnost a reálnost navrženého řešení a jeho soulad s podmínkami smlouvy, pokyny a podklady předanými </w:t>
      </w:r>
      <w:r w:rsidR="001E7552">
        <w:rPr>
          <w:rFonts w:ascii="NettoPro" w:hAnsi="NettoPro" w:cs="NettoPro"/>
        </w:rPr>
        <w:t>dodavatel</w:t>
      </w:r>
      <w:r w:rsidRPr="001E7552">
        <w:rPr>
          <w:rFonts w:ascii="NettoPro" w:hAnsi="NettoPro" w:cs="NettoPro"/>
        </w:rPr>
        <w:t xml:space="preserve">i </w:t>
      </w:r>
      <w:r w:rsidR="001E7552">
        <w:rPr>
          <w:rFonts w:ascii="NettoPro" w:hAnsi="NettoPro" w:cs="NettoPro"/>
        </w:rPr>
        <w:t>odběratel</w:t>
      </w:r>
      <w:r w:rsidRPr="001E7552">
        <w:rPr>
          <w:rFonts w:ascii="NettoPro" w:hAnsi="NettoPro" w:cs="NettoPro"/>
        </w:rPr>
        <w:t xml:space="preserve">em, obecně závaznými právními předpisy a poskytuje záruku za kvalitu díla ode dne předání jednotlivých částí </w:t>
      </w:r>
      <w:r w:rsidR="001E7552">
        <w:rPr>
          <w:rFonts w:ascii="NettoPro" w:hAnsi="NettoPro" w:cs="NettoPro"/>
        </w:rPr>
        <w:t>odběratel</w:t>
      </w:r>
      <w:r w:rsidRPr="001E7552">
        <w:rPr>
          <w:rFonts w:ascii="NettoPro" w:hAnsi="NettoPro" w:cs="NettoPro"/>
        </w:rPr>
        <w:t>i, a to po dobu 24 měsíců, která běží ode dne předání poslední části díla.</w:t>
      </w:r>
    </w:p>
    <w:p w14:paraId="7814C8F1" w14:textId="2D9A2A16" w:rsidR="003F4D84" w:rsidRPr="001E7552" w:rsidRDefault="001E7552" w:rsidP="003F4D84">
      <w:pPr>
        <w:pStyle w:val="Podnadpis1"/>
        <w:jc w:val="both"/>
        <w:rPr>
          <w:rFonts w:ascii="NettoPro" w:hAnsi="NettoPro" w:cs="NettoPro"/>
        </w:rPr>
      </w:pPr>
      <w:r>
        <w:rPr>
          <w:rFonts w:ascii="NettoPro" w:hAnsi="NettoPro" w:cs="NettoPro"/>
        </w:rPr>
        <w:t>Odběratel</w:t>
      </w:r>
      <w:r w:rsidR="003F4D84" w:rsidRPr="001E7552">
        <w:rPr>
          <w:rFonts w:ascii="NettoPro" w:hAnsi="NettoPro" w:cs="NettoPro"/>
        </w:rPr>
        <w:t xml:space="preserve"> je povinen vady předmětu díla písemně reklamovat u </w:t>
      </w:r>
      <w:r>
        <w:rPr>
          <w:rFonts w:ascii="NettoPro" w:hAnsi="NettoPro" w:cs="NettoPro"/>
        </w:rPr>
        <w:t>dodavatel</w:t>
      </w:r>
      <w:r w:rsidR="003F4D84" w:rsidRPr="001E7552">
        <w:rPr>
          <w:rFonts w:ascii="NettoPro" w:hAnsi="NettoPro" w:cs="NettoPro"/>
        </w:rPr>
        <w:t>e, a to bez zbytečného odkladu poté, co se o nich dozvěděl.</w:t>
      </w:r>
    </w:p>
    <w:p w14:paraId="506DB8A4" w14:textId="18564475" w:rsidR="003F4D84" w:rsidRPr="001E7552" w:rsidRDefault="003F4D84" w:rsidP="003F4D84">
      <w:pPr>
        <w:pStyle w:val="Podnadpis1"/>
        <w:jc w:val="both"/>
        <w:rPr>
          <w:rFonts w:ascii="NettoPro" w:hAnsi="NettoPro" w:cs="NettoPro"/>
        </w:rPr>
      </w:pPr>
      <w:r w:rsidRPr="001E7552">
        <w:rPr>
          <w:rFonts w:ascii="NettoPro" w:hAnsi="NettoPro" w:cs="NettoPro"/>
        </w:rPr>
        <w:tab/>
        <w:t xml:space="preserve">Právo na odstranění vady díla, zjištěné po předání díla, </w:t>
      </w:r>
      <w:r w:rsidR="001E7552">
        <w:rPr>
          <w:rFonts w:ascii="NettoPro" w:hAnsi="NettoPro" w:cs="NettoPro"/>
        </w:rPr>
        <w:t>odběratel</w:t>
      </w:r>
      <w:r w:rsidRPr="001E7552">
        <w:rPr>
          <w:rFonts w:ascii="NettoPro" w:hAnsi="NettoPro" w:cs="NettoPro"/>
        </w:rPr>
        <w:t xml:space="preserve"> u </w:t>
      </w:r>
      <w:r w:rsidR="001E7552">
        <w:rPr>
          <w:rFonts w:ascii="NettoPro" w:hAnsi="NettoPro" w:cs="NettoPro"/>
        </w:rPr>
        <w:t>dodavatel</w:t>
      </w:r>
      <w:r w:rsidRPr="001E7552">
        <w:rPr>
          <w:rFonts w:ascii="NettoPro" w:hAnsi="NettoPro" w:cs="NettoPro"/>
        </w:rPr>
        <w:t xml:space="preserve">e uplatní v záruční lhůtě písemnou formou. </w:t>
      </w:r>
      <w:r w:rsidR="001E7552">
        <w:rPr>
          <w:rFonts w:ascii="NettoPro" w:hAnsi="NettoPro" w:cs="NettoPro"/>
        </w:rPr>
        <w:t>Dodavatel</w:t>
      </w:r>
      <w:r w:rsidRPr="001E7552">
        <w:rPr>
          <w:rFonts w:ascii="NettoPro" w:hAnsi="NettoPro" w:cs="NettoPro"/>
        </w:rPr>
        <w:t xml:space="preserve"> bez zbytečného odkladu, nejpozději ve lhůtě do pěti pracovních dní od doručení reklamace, projedná s </w:t>
      </w:r>
      <w:r w:rsidR="001E7552">
        <w:rPr>
          <w:rFonts w:ascii="NettoPro" w:hAnsi="NettoPro" w:cs="NettoPro"/>
        </w:rPr>
        <w:t>odběratel</w:t>
      </w:r>
      <w:r w:rsidRPr="001E7552">
        <w:rPr>
          <w:rFonts w:ascii="NettoPro" w:hAnsi="NettoPro" w:cs="NettoPro"/>
        </w:rPr>
        <w:t xml:space="preserve">em reklamovanou vadu a způsob jejího odstranění. Dohoda o odstranění vady bude uzavřena písemným zápisem. Neodstraní-li </w:t>
      </w:r>
      <w:r w:rsidR="001E7552">
        <w:rPr>
          <w:rFonts w:ascii="NettoPro" w:hAnsi="NettoPro" w:cs="NettoPro"/>
        </w:rPr>
        <w:t>dodavatel</w:t>
      </w:r>
      <w:r w:rsidRPr="001E7552">
        <w:rPr>
          <w:rFonts w:ascii="NettoPro" w:hAnsi="NettoPro" w:cs="NettoPro"/>
        </w:rPr>
        <w:t xml:space="preserve"> vady díla jím zaviněné v přiměřené lhůtě, tj. nejpozději do třiceti kalendářních dní od jejich reklamace </w:t>
      </w:r>
      <w:r w:rsidR="001E7552">
        <w:rPr>
          <w:rFonts w:ascii="NettoPro" w:hAnsi="NettoPro" w:cs="NettoPro"/>
        </w:rPr>
        <w:t>odběratel</w:t>
      </w:r>
      <w:r w:rsidRPr="001E7552">
        <w:rPr>
          <w:rFonts w:ascii="NettoPro" w:hAnsi="NettoPro" w:cs="NettoPro"/>
        </w:rPr>
        <w:t xml:space="preserve">em, může </w:t>
      </w:r>
      <w:r w:rsidR="001E7552">
        <w:rPr>
          <w:rFonts w:ascii="NettoPro" w:hAnsi="NettoPro" w:cs="NettoPro"/>
        </w:rPr>
        <w:t>odběratel</w:t>
      </w:r>
      <w:r w:rsidRPr="001E7552">
        <w:rPr>
          <w:rFonts w:ascii="NettoPro" w:hAnsi="NettoPro" w:cs="NettoPro"/>
        </w:rPr>
        <w:t xml:space="preserve"> požadovat přiměřenou slevu z ceny díla. Nárok </w:t>
      </w:r>
      <w:r w:rsidR="001E7552">
        <w:rPr>
          <w:rFonts w:ascii="NettoPro" w:hAnsi="NettoPro" w:cs="NettoPro"/>
        </w:rPr>
        <w:t>odběratel</w:t>
      </w:r>
      <w:r w:rsidRPr="001E7552">
        <w:rPr>
          <w:rFonts w:ascii="NettoPro" w:hAnsi="NettoPro" w:cs="NettoPro"/>
        </w:rPr>
        <w:t xml:space="preserve">e uplatnit vůči </w:t>
      </w:r>
      <w:r w:rsidR="001E7552">
        <w:rPr>
          <w:rFonts w:ascii="NettoPro" w:hAnsi="NettoPro" w:cs="NettoPro"/>
        </w:rPr>
        <w:t>dodavatel</w:t>
      </w:r>
      <w:r w:rsidRPr="001E7552">
        <w:rPr>
          <w:rFonts w:ascii="NettoPro" w:hAnsi="NettoPro" w:cs="NettoPro"/>
        </w:rPr>
        <w:t>i smluvní pokutu tím nezaniká.</w:t>
      </w:r>
    </w:p>
    <w:p w14:paraId="1C51456B" w14:textId="43C76A78" w:rsidR="003F4D84" w:rsidRPr="001E7552" w:rsidRDefault="003F4D84" w:rsidP="003F4D84">
      <w:pPr>
        <w:pStyle w:val="Podnadpis1"/>
        <w:jc w:val="both"/>
        <w:rPr>
          <w:rFonts w:ascii="NettoPro" w:hAnsi="NettoPro" w:cs="NettoPro"/>
        </w:rPr>
      </w:pPr>
      <w:r w:rsidRPr="001E7552">
        <w:rPr>
          <w:rFonts w:ascii="NettoPro" w:hAnsi="NettoPro" w:cs="NettoPro"/>
        </w:rPr>
        <w:t xml:space="preserve">Práva a povinnosti </w:t>
      </w:r>
      <w:r w:rsidR="001E7552">
        <w:rPr>
          <w:rFonts w:ascii="NettoPro" w:hAnsi="NettoPro" w:cs="NettoPro"/>
        </w:rPr>
        <w:t>dodavatel</w:t>
      </w:r>
      <w:r w:rsidRPr="001E7552">
        <w:rPr>
          <w:rFonts w:ascii="NettoPro" w:hAnsi="NettoPro" w:cs="NettoPro"/>
        </w:rPr>
        <w:t>em poskytnuté záruky na předané části díla nezanikají ani odstoupením kterékoli ze smluvních stran od smlouvy.</w:t>
      </w:r>
    </w:p>
    <w:p w14:paraId="74E0EB8A" w14:textId="0F72929F" w:rsidR="003F4D84" w:rsidRPr="001E7552" w:rsidRDefault="003F4D84" w:rsidP="003F4D84">
      <w:pPr>
        <w:pStyle w:val="Podnadpis1"/>
        <w:jc w:val="both"/>
        <w:rPr>
          <w:rFonts w:ascii="NettoPro" w:hAnsi="NettoPro" w:cs="NettoPro"/>
        </w:rPr>
      </w:pPr>
      <w:r w:rsidRPr="001E7552">
        <w:rPr>
          <w:rFonts w:ascii="NettoPro" w:hAnsi="NettoPro" w:cs="NettoPro"/>
        </w:rPr>
        <w:tab/>
        <w:t xml:space="preserve">Reklamační řízení vede </w:t>
      </w:r>
      <w:r w:rsidR="001E7552">
        <w:rPr>
          <w:rFonts w:ascii="NettoPro" w:hAnsi="NettoPro" w:cs="NettoPro"/>
        </w:rPr>
        <w:t>dodavatel</w:t>
      </w:r>
      <w:r w:rsidRPr="001E7552">
        <w:rPr>
          <w:rFonts w:ascii="NettoPro" w:hAnsi="NettoPro" w:cs="NettoPro"/>
        </w:rPr>
        <w:t>, který pořídí písemné zápisy ve dvojím vyhotovení, z nichž jeden stejnopis obdrží každá ze smluvních stran.</w:t>
      </w:r>
    </w:p>
    <w:p w14:paraId="1D302EC4" w14:textId="2EEA4138" w:rsidR="003F4D84" w:rsidRPr="001E7552" w:rsidRDefault="003F4D84" w:rsidP="003F4D84">
      <w:pPr>
        <w:pStyle w:val="Podnadpis1"/>
        <w:jc w:val="both"/>
        <w:rPr>
          <w:rFonts w:ascii="NettoPro" w:hAnsi="NettoPro" w:cs="NettoPro"/>
        </w:rPr>
      </w:pPr>
      <w:r w:rsidRPr="001E7552">
        <w:rPr>
          <w:rFonts w:ascii="NettoPro" w:hAnsi="NettoPro" w:cs="NettoPro"/>
        </w:rPr>
        <w:lastRenderedPageBreak/>
        <w:tab/>
      </w:r>
      <w:r w:rsidR="001E7552">
        <w:rPr>
          <w:rFonts w:ascii="NettoPro" w:hAnsi="NettoPro" w:cs="NettoPro"/>
        </w:rPr>
        <w:t>Dodavatel</w:t>
      </w:r>
      <w:r w:rsidRPr="001E7552">
        <w:rPr>
          <w:rFonts w:ascii="NettoPro" w:hAnsi="NettoPro" w:cs="NettoPro"/>
        </w:rPr>
        <w:t xml:space="preserve"> neodpovídá za vady díla, jestliže tyto vady byly způsobeny předáním nevhodných nebo neúplných podkladů a pokynů v případě, že </w:t>
      </w:r>
      <w:r w:rsidR="001E7552">
        <w:rPr>
          <w:rFonts w:ascii="NettoPro" w:hAnsi="NettoPro" w:cs="NettoPro"/>
        </w:rPr>
        <w:t>dodavatel</w:t>
      </w:r>
      <w:r w:rsidRPr="001E7552">
        <w:rPr>
          <w:rFonts w:ascii="NettoPro" w:hAnsi="NettoPro" w:cs="NettoPro"/>
        </w:rPr>
        <w:t xml:space="preserve"> na ně </w:t>
      </w:r>
      <w:r w:rsidR="001E7552">
        <w:rPr>
          <w:rFonts w:ascii="NettoPro" w:hAnsi="NettoPro" w:cs="NettoPro"/>
        </w:rPr>
        <w:t>odběratel</w:t>
      </w:r>
      <w:r w:rsidRPr="001E7552">
        <w:rPr>
          <w:rFonts w:ascii="NettoPro" w:hAnsi="NettoPro" w:cs="NettoPro"/>
        </w:rPr>
        <w:t xml:space="preserve">e upozornil a </w:t>
      </w:r>
      <w:r w:rsidR="001E7552">
        <w:rPr>
          <w:rFonts w:ascii="NettoPro" w:hAnsi="NettoPro" w:cs="NettoPro"/>
        </w:rPr>
        <w:t>odběratel</w:t>
      </w:r>
      <w:r w:rsidRPr="001E7552">
        <w:rPr>
          <w:rFonts w:ascii="NettoPro" w:hAnsi="NettoPro" w:cs="NettoPro"/>
        </w:rPr>
        <w:t xml:space="preserve"> na jejich použití nebo provedení trval.</w:t>
      </w:r>
    </w:p>
    <w:p w14:paraId="0B9716D4" w14:textId="5F6531B2" w:rsidR="003F4D84" w:rsidRPr="001E7552" w:rsidRDefault="003F4D84" w:rsidP="00846279">
      <w:pPr>
        <w:pStyle w:val="Podnadpis1"/>
        <w:jc w:val="both"/>
        <w:rPr>
          <w:rFonts w:ascii="NettoPro" w:hAnsi="NettoPro" w:cs="NettoPro"/>
        </w:rPr>
      </w:pPr>
      <w:r w:rsidRPr="001E7552">
        <w:rPr>
          <w:rFonts w:ascii="NettoPro" w:hAnsi="NettoPro" w:cs="NettoPro"/>
        </w:rPr>
        <w:tab/>
      </w:r>
      <w:r w:rsidR="001E7552">
        <w:rPr>
          <w:rFonts w:ascii="NettoPro" w:hAnsi="NettoPro" w:cs="NettoPro"/>
        </w:rPr>
        <w:t>Dodavatel</w:t>
      </w:r>
      <w:r w:rsidRPr="001E7552">
        <w:rPr>
          <w:rFonts w:ascii="NettoPro" w:hAnsi="NettoPro" w:cs="NettoPro"/>
        </w:rPr>
        <w:t xml:space="preserve"> prohlašuje, že předmět plnění není ve prospěch třetí osoby chráněn právem z průmyslového nebo jiného duševního vlastnictví a že je </w:t>
      </w:r>
      <w:r w:rsidR="001E7552">
        <w:rPr>
          <w:rFonts w:ascii="NettoPro" w:hAnsi="NettoPro" w:cs="NettoPro"/>
        </w:rPr>
        <w:t>odběratel</w:t>
      </w:r>
      <w:r w:rsidRPr="001E7552">
        <w:rPr>
          <w:rFonts w:ascii="NettoPro" w:hAnsi="NettoPro" w:cs="NettoPro"/>
        </w:rPr>
        <w:t xml:space="preserve"> oprávněn po jeho převzetí a zaplacení užívat jej pro účely vyplývající z této smlouvy a nakládat s ním jako s vlastním.</w:t>
      </w:r>
    </w:p>
    <w:p w14:paraId="4D722CDA" w14:textId="7E7014F5" w:rsidR="003F4D84" w:rsidRPr="001E7552" w:rsidRDefault="003F4D84" w:rsidP="003F4D84">
      <w:pPr>
        <w:pStyle w:val="Podnadpis1"/>
        <w:jc w:val="both"/>
        <w:rPr>
          <w:rFonts w:ascii="NettoPro" w:hAnsi="NettoPro" w:cs="NettoPro"/>
        </w:rPr>
      </w:pPr>
      <w:r w:rsidRPr="001E7552">
        <w:rPr>
          <w:rFonts w:ascii="NettoPro" w:hAnsi="NettoPro" w:cs="NettoPro"/>
        </w:rPr>
        <w:tab/>
      </w:r>
      <w:r w:rsidR="001E7552">
        <w:rPr>
          <w:rFonts w:ascii="NettoPro" w:hAnsi="NettoPro" w:cs="NettoPro"/>
        </w:rPr>
        <w:t>Dodavatel</w:t>
      </w:r>
      <w:r w:rsidRPr="001E7552">
        <w:rPr>
          <w:rFonts w:ascii="NettoPro" w:hAnsi="NettoPro" w:cs="NettoPro"/>
        </w:rPr>
        <w:t xml:space="preserve"> prohlašuje, že uhradí </w:t>
      </w:r>
      <w:r w:rsidR="001E7552">
        <w:rPr>
          <w:rFonts w:ascii="NettoPro" w:hAnsi="NettoPro" w:cs="NettoPro"/>
        </w:rPr>
        <w:t>odběratel</w:t>
      </w:r>
      <w:r w:rsidRPr="001E7552">
        <w:rPr>
          <w:rFonts w:ascii="NettoPro" w:hAnsi="NettoPro" w:cs="NettoPro"/>
        </w:rPr>
        <w:t xml:space="preserve">i veškeré náklady a škody, které mu vzniknou v případě, že třetí osoba uplatní vůči </w:t>
      </w:r>
      <w:r w:rsidR="001E7552">
        <w:rPr>
          <w:rFonts w:ascii="NettoPro" w:hAnsi="NettoPro" w:cs="NettoPro"/>
        </w:rPr>
        <w:t>odběratel</w:t>
      </w:r>
      <w:r w:rsidRPr="001E7552">
        <w:rPr>
          <w:rFonts w:ascii="NettoPro" w:hAnsi="NettoPro" w:cs="NettoPro"/>
        </w:rPr>
        <w:t xml:space="preserve">i prostřednictvím soudu nárok z právních vad, pokud tuto skutečnost oznámí </w:t>
      </w:r>
      <w:r w:rsidR="001E7552">
        <w:rPr>
          <w:rFonts w:ascii="NettoPro" w:hAnsi="NettoPro" w:cs="NettoPro"/>
        </w:rPr>
        <w:t>odběratel</w:t>
      </w:r>
      <w:r w:rsidRPr="001E7552">
        <w:rPr>
          <w:rFonts w:ascii="NettoPro" w:hAnsi="NettoPro" w:cs="NettoPro"/>
        </w:rPr>
        <w:t xml:space="preserve"> </w:t>
      </w:r>
      <w:r w:rsidR="001E7552">
        <w:rPr>
          <w:rFonts w:ascii="NettoPro" w:hAnsi="NettoPro" w:cs="NettoPro"/>
        </w:rPr>
        <w:t>dodavatel</w:t>
      </w:r>
      <w:r w:rsidRPr="001E7552">
        <w:rPr>
          <w:rFonts w:ascii="NettoPro" w:hAnsi="NettoPro" w:cs="NettoPro"/>
        </w:rPr>
        <w:t xml:space="preserve">i bez zbytečného odkladu poté, kdy se o ní dozví. </w:t>
      </w:r>
      <w:r w:rsidR="001E7552">
        <w:rPr>
          <w:rFonts w:ascii="NettoPro" w:hAnsi="NettoPro" w:cs="NettoPro"/>
        </w:rPr>
        <w:t>Odběratel</w:t>
      </w:r>
      <w:r w:rsidRPr="001E7552">
        <w:rPr>
          <w:rFonts w:ascii="NettoPro" w:hAnsi="NettoPro" w:cs="NettoPro"/>
        </w:rPr>
        <w:t xml:space="preserve"> není povinen splnit tuto oznamovací povinnost, jestliže </w:t>
      </w:r>
      <w:r w:rsidR="001E7552">
        <w:rPr>
          <w:rFonts w:ascii="NettoPro" w:hAnsi="NettoPro" w:cs="NettoPro"/>
        </w:rPr>
        <w:t>dodavatel</w:t>
      </w:r>
      <w:r w:rsidRPr="001E7552">
        <w:rPr>
          <w:rFonts w:ascii="NettoPro" w:hAnsi="NettoPro" w:cs="NettoPro"/>
        </w:rPr>
        <w:t xml:space="preserve"> o uplatnění práva třetí osobou věděl v době, kdy se o něm </w:t>
      </w:r>
      <w:r w:rsidR="001E7552">
        <w:rPr>
          <w:rFonts w:ascii="NettoPro" w:hAnsi="NettoPro" w:cs="NettoPro"/>
        </w:rPr>
        <w:t>odběratel</w:t>
      </w:r>
      <w:r w:rsidRPr="001E7552">
        <w:rPr>
          <w:rFonts w:ascii="NettoPro" w:hAnsi="NettoPro" w:cs="NettoPro"/>
        </w:rPr>
        <w:t xml:space="preserve"> dozvěděl.</w:t>
      </w:r>
    </w:p>
    <w:p w14:paraId="0A369788" w14:textId="493422AD" w:rsidR="00A171B8" w:rsidRPr="00600A83" w:rsidRDefault="00A171B8" w:rsidP="00A171B8">
      <w:pPr>
        <w:pStyle w:val="HlavniNadpis"/>
        <w:rPr>
          <w:rFonts w:ascii="NettoPro" w:hAnsi="NettoPro" w:cs="NettoPro"/>
          <w:b w:val="0"/>
        </w:rPr>
      </w:pPr>
      <w:r w:rsidRPr="00600A83">
        <w:rPr>
          <w:rFonts w:ascii="NettoPro" w:hAnsi="NettoPro" w:cs="NettoPro"/>
          <w:b w:val="0"/>
        </w:rPr>
        <w:t>Kontaktní osoby</w:t>
      </w:r>
    </w:p>
    <w:p w14:paraId="38B39034" w14:textId="7F8B753D" w:rsidR="00A171B8" w:rsidRPr="00600A83" w:rsidRDefault="00A171B8" w:rsidP="00CB561A">
      <w:pPr>
        <w:pStyle w:val="Podnadpis1"/>
        <w:rPr>
          <w:rFonts w:ascii="NettoPro" w:hAnsi="NettoPro" w:cs="NettoPro"/>
        </w:rPr>
      </w:pPr>
      <w:r w:rsidRPr="00600A83">
        <w:rPr>
          <w:rFonts w:ascii="NettoPro" w:hAnsi="NettoPro" w:cs="NettoPro"/>
        </w:rPr>
        <w:t>Kontaktn</w:t>
      </w:r>
      <w:r w:rsidR="00C1751D" w:rsidRPr="00600A83">
        <w:rPr>
          <w:rFonts w:ascii="NettoPro" w:hAnsi="NettoPro" w:cs="NettoPro"/>
        </w:rPr>
        <w:t>í</w:t>
      </w:r>
      <w:r w:rsidRPr="00600A83">
        <w:rPr>
          <w:rFonts w:ascii="NettoPro" w:hAnsi="NettoPro" w:cs="NettoPro"/>
        </w:rPr>
        <w:t xml:space="preserve"> osobou </w:t>
      </w:r>
      <w:r w:rsidR="00A368FD" w:rsidRPr="00600A83">
        <w:rPr>
          <w:rFonts w:ascii="NettoPro" w:hAnsi="NettoPro" w:cs="NettoPro"/>
        </w:rPr>
        <w:t xml:space="preserve">za </w:t>
      </w:r>
      <w:r w:rsidRPr="00600A83">
        <w:rPr>
          <w:rFonts w:ascii="NettoPro" w:hAnsi="NettoPro" w:cs="NettoPro"/>
        </w:rPr>
        <w:t xml:space="preserve">odběratele: </w:t>
      </w:r>
    </w:p>
    <w:p w14:paraId="05398D08" w14:textId="09DEC9C0" w:rsidR="00A171B8" w:rsidRPr="001E7552" w:rsidRDefault="00A171B8" w:rsidP="00EC30E2">
      <w:pPr>
        <w:pStyle w:val="Podnadpis1"/>
        <w:numPr>
          <w:ilvl w:val="0"/>
          <w:numId w:val="0"/>
        </w:numPr>
        <w:ind w:left="567" w:firstLine="141"/>
        <w:rPr>
          <w:rFonts w:ascii="NettoPro" w:hAnsi="NettoPro" w:cs="NettoPro"/>
        </w:rPr>
      </w:pPr>
      <w:r w:rsidRPr="001E7552">
        <w:rPr>
          <w:rFonts w:ascii="NettoPro" w:hAnsi="NettoPro" w:cs="NettoPro"/>
        </w:rPr>
        <w:t xml:space="preserve">Jméno, příjmení: </w:t>
      </w:r>
      <w:r w:rsidR="005738BD" w:rsidRPr="001E7552">
        <w:rPr>
          <w:rFonts w:ascii="NettoPro" w:hAnsi="NettoPro" w:cs="NettoPro"/>
        </w:rPr>
        <w:t xml:space="preserve">Ing. </w:t>
      </w:r>
      <w:r w:rsidR="00832E9E" w:rsidRPr="001E7552">
        <w:rPr>
          <w:rFonts w:ascii="NettoPro" w:hAnsi="NettoPro" w:cs="NettoPro"/>
        </w:rPr>
        <w:t>Martina Baráková</w:t>
      </w:r>
    </w:p>
    <w:p w14:paraId="0BE41C50" w14:textId="3C11365A" w:rsidR="00A171B8" w:rsidRPr="001E7552" w:rsidRDefault="00A171B8" w:rsidP="00EC30E2">
      <w:pPr>
        <w:pStyle w:val="Podnadpis1"/>
        <w:numPr>
          <w:ilvl w:val="0"/>
          <w:numId w:val="0"/>
        </w:numPr>
        <w:ind w:left="567" w:firstLine="141"/>
        <w:rPr>
          <w:rFonts w:ascii="NettoPro" w:hAnsi="NettoPro" w:cs="NettoPro"/>
        </w:rPr>
      </w:pPr>
      <w:r w:rsidRPr="001E7552">
        <w:rPr>
          <w:rFonts w:ascii="NettoPro" w:hAnsi="NettoPro" w:cs="NettoPro"/>
        </w:rPr>
        <w:t xml:space="preserve">Email: </w:t>
      </w:r>
      <w:r w:rsidR="006E1F2F">
        <w:rPr>
          <w:rFonts w:ascii="NettoPro" w:hAnsi="NettoPro" w:cs="NettoPro"/>
        </w:rPr>
        <w:t>xxxxxxxxxxxx</w:t>
      </w:r>
    </w:p>
    <w:p w14:paraId="1CDC6C05" w14:textId="1878CEAD" w:rsidR="00CB561A" w:rsidRPr="001E7552" w:rsidRDefault="00CB561A" w:rsidP="00C81585">
      <w:pPr>
        <w:pStyle w:val="Podnadpis1"/>
        <w:numPr>
          <w:ilvl w:val="0"/>
          <w:numId w:val="0"/>
        </w:numPr>
        <w:ind w:left="567" w:firstLine="141"/>
        <w:rPr>
          <w:rFonts w:ascii="NettoPro" w:hAnsi="NettoPro" w:cs="NettoPro"/>
        </w:rPr>
      </w:pPr>
      <w:r w:rsidRPr="001E7552">
        <w:rPr>
          <w:rFonts w:ascii="NettoPro" w:hAnsi="NettoPro" w:cs="NettoPro"/>
        </w:rPr>
        <w:t>Telefon</w:t>
      </w:r>
      <w:r w:rsidR="00A171B8" w:rsidRPr="001E7552">
        <w:rPr>
          <w:rFonts w:ascii="NettoPro" w:hAnsi="NettoPro" w:cs="NettoPro"/>
        </w:rPr>
        <w:t xml:space="preserve">: </w:t>
      </w:r>
      <w:r w:rsidR="006E1F2F">
        <w:rPr>
          <w:rFonts w:ascii="NettoPro" w:hAnsi="NettoPro" w:cs="NettoPro"/>
        </w:rPr>
        <w:t>xxxxxxxxx</w:t>
      </w:r>
    </w:p>
    <w:p w14:paraId="4194E7E6" w14:textId="363DCE47" w:rsidR="00A171B8" w:rsidRPr="005E313B" w:rsidRDefault="00A171B8" w:rsidP="00CB561A">
      <w:pPr>
        <w:pStyle w:val="Podnadpis1"/>
        <w:rPr>
          <w:rFonts w:ascii="NettoPro" w:hAnsi="NettoPro" w:cs="NettoPro"/>
        </w:rPr>
      </w:pPr>
      <w:r w:rsidRPr="005E313B">
        <w:rPr>
          <w:rFonts w:ascii="NettoPro" w:hAnsi="NettoPro" w:cs="NettoPro"/>
        </w:rPr>
        <w:t xml:space="preserve">Kontaktní osobou </w:t>
      </w:r>
      <w:r w:rsidR="00A368FD" w:rsidRPr="005E313B">
        <w:rPr>
          <w:rFonts w:ascii="NettoPro" w:hAnsi="NettoPro" w:cs="NettoPro"/>
        </w:rPr>
        <w:t xml:space="preserve">za </w:t>
      </w:r>
      <w:r w:rsidRPr="005E313B">
        <w:rPr>
          <w:rFonts w:ascii="NettoPro" w:hAnsi="NettoPro" w:cs="NettoPro"/>
        </w:rPr>
        <w:t>dodavatele:</w:t>
      </w:r>
    </w:p>
    <w:p w14:paraId="557A347F" w14:textId="28A8D829" w:rsidR="00CB561A" w:rsidRPr="005E313B" w:rsidRDefault="00CB561A" w:rsidP="00EC30E2">
      <w:pPr>
        <w:pStyle w:val="Podnadpis1"/>
        <w:numPr>
          <w:ilvl w:val="0"/>
          <w:numId w:val="0"/>
        </w:numPr>
        <w:ind w:left="567" w:firstLine="141"/>
        <w:rPr>
          <w:rFonts w:ascii="NettoPro" w:hAnsi="NettoPro" w:cs="NettoPro"/>
        </w:rPr>
      </w:pPr>
      <w:r w:rsidRPr="005E313B">
        <w:rPr>
          <w:rFonts w:ascii="NettoPro" w:hAnsi="NettoPro" w:cs="NettoPro"/>
        </w:rPr>
        <w:t xml:space="preserve">Jméno, příjmení: </w:t>
      </w:r>
      <w:r w:rsidR="00A368FD" w:rsidRPr="005E313B">
        <w:rPr>
          <w:rFonts w:ascii="NettoPro" w:hAnsi="NettoPro" w:cs="NettoPro"/>
        </w:rPr>
        <w:t>Přemysl Tomášek</w:t>
      </w:r>
    </w:p>
    <w:p w14:paraId="4C3CBC9C" w14:textId="6D86F69B" w:rsidR="00CB561A" w:rsidRPr="005E313B" w:rsidRDefault="00CB561A" w:rsidP="00EC30E2">
      <w:pPr>
        <w:pStyle w:val="Podnadpis1"/>
        <w:numPr>
          <w:ilvl w:val="0"/>
          <w:numId w:val="0"/>
        </w:numPr>
        <w:ind w:left="567" w:firstLine="141"/>
        <w:rPr>
          <w:rFonts w:ascii="NettoPro" w:hAnsi="NettoPro" w:cs="NettoPro"/>
        </w:rPr>
      </w:pPr>
      <w:r w:rsidRPr="005E313B">
        <w:rPr>
          <w:rFonts w:ascii="NettoPro" w:hAnsi="NettoPro" w:cs="NettoPro"/>
        </w:rPr>
        <w:t xml:space="preserve">Email: </w:t>
      </w:r>
      <w:r w:rsidR="006E1F2F">
        <w:rPr>
          <w:rFonts w:ascii="NettoPro" w:hAnsi="NettoPro" w:cs="NettoPro"/>
        </w:rPr>
        <w:t>xxxxxxxxxxx</w:t>
      </w:r>
    </w:p>
    <w:p w14:paraId="5DAFFE2C" w14:textId="761CC995" w:rsidR="00A171B8" w:rsidRPr="005E313B" w:rsidRDefault="00CB561A" w:rsidP="00C1751D">
      <w:pPr>
        <w:pStyle w:val="Podnadpis1"/>
        <w:numPr>
          <w:ilvl w:val="0"/>
          <w:numId w:val="0"/>
        </w:numPr>
        <w:ind w:left="567" w:firstLine="141"/>
        <w:rPr>
          <w:rFonts w:ascii="NettoPro" w:hAnsi="NettoPro" w:cs="NettoPro"/>
        </w:rPr>
      </w:pPr>
      <w:r w:rsidRPr="005E313B">
        <w:rPr>
          <w:rFonts w:ascii="NettoPro" w:hAnsi="NettoPro" w:cs="NettoPro"/>
        </w:rPr>
        <w:t xml:space="preserve">Telefon: </w:t>
      </w:r>
      <w:r w:rsidR="006E1F2F">
        <w:rPr>
          <w:rFonts w:ascii="NettoPro" w:hAnsi="NettoPro" w:cs="NettoPro"/>
        </w:rPr>
        <w:t>xxxxxxxxxx</w:t>
      </w:r>
    </w:p>
    <w:p w14:paraId="4D8FEEE0" w14:textId="6BFC802F" w:rsidR="007D204B" w:rsidRPr="005E313B" w:rsidRDefault="00BD4FA5" w:rsidP="000907D2">
      <w:pPr>
        <w:pStyle w:val="HlavniNadpis"/>
        <w:rPr>
          <w:rFonts w:ascii="NettoPro" w:hAnsi="NettoPro" w:cs="NettoPro"/>
          <w:b w:val="0"/>
        </w:rPr>
      </w:pPr>
      <w:r w:rsidRPr="005E313B">
        <w:rPr>
          <w:rFonts w:ascii="NettoPro" w:hAnsi="NettoPro" w:cs="NettoPro"/>
          <w:b w:val="0"/>
        </w:rPr>
        <w:t>Závěrečná ustanovení</w:t>
      </w:r>
    </w:p>
    <w:p w14:paraId="34FFF797" w14:textId="6E8EBED1" w:rsidR="00E4783C" w:rsidRPr="005E313B" w:rsidRDefault="00E4783C" w:rsidP="00E4783C">
      <w:pPr>
        <w:pStyle w:val="Podnadpis1"/>
        <w:rPr>
          <w:rFonts w:ascii="NettoPro" w:hAnsi="NettoPro" w:cs="NettoPro"/>
          <w:color w:val="auto"/>
        </w:rPr>
      </w:pPr>
      <w:r w:rsidRPr="005E313B">
        <w:rPr>
          <w:rFonts w:ascii="NettoPro" w:hAnsi="NettoPro" w:cs="NettoPro"/>
        </w:rPr>
        <w:t xml:space="preserve">Tato </w:t>
      </w:r>
      <w:r w:rsidRPr="005E313B">
        <w:rPr>
          <w:rFonts w:ascii="NettoPro" w:hAnsi="NettoPro" w:cs="NettoPro"/>
          <w:color w:val="auto"/>
        </w:rPr>
        <w:t xml:space="preserve">smlouva je uzavřena na dobu: </w:t>
      </w:r>
    </w:p>
    <w:p w14:paraId="20668858" w14:textId="77777777" w:rsidR="00B540ED" w:rsidRPr="005E313B" w:rsidRDefault="00EF1CAC" w:rsidP="00E4783C">
      <w:pPr>
        <w:pStyle w:val="Podnadpis1"/>
        <w:numPr>
          <w:ilvl w:val="0"/>
          <w:numId w:val="0"/>
        </w:numPr>
        <w:ind w:left="708"/>
        <w:rPr>
          <w:rFonts w:ascii="NettoPro" w:hAnsi="NettoPro" w:cs="NettoPro"/>
          <w:color w:val="auto"/>
        </w:rPr>
      </w:pPr>
      <w:sdt>
        <w:sdtPr>
          <w:rPr>
            <w:rFonts w:ascii="NettoPro" w:hAnsi="NettoPro" w:cs="NettoPro"/>
            <w:color w:val="auto"/>
          </w:rPr>
          <w:id w:val="-738404116"/>
          <w14:checkbox>
            <w14:checked w14:val="0"/>
            <w14:checkedState w14:val="2612" w14:font="MS Gothic"/>
            <w14:uncheckedState w14:val="2610" w14:font="MS Gothic"/>
          </w14:checkbox>
        </w:sdtPr>
        <w:sdtEndPr/>
        <w:sdtContent>
          <w:r w:rsidR="00B540ED" w:rsidRPr="005E313B">
            <w:rPr>
              <w:rFonts w:ascii="Segoe UI Symbol" w:eastAsia="MS Gothic" w:hAnsi="Segoe UI Symbol" w:cs="Segoe UI Symbol"/>
              <w:color w:val="auto"/>
            </w:rPr>
            <w:t>☐</w:t>
          </w:r>
        </w:sdtContent>
      </w:sdt>
      <w:r w:rsidR="00E4783C" w:rsidRPr="005E313B">
        <w:rPr>
          <w:rFonts w:ascii="NettoPro" w:hAnsi="NettoPro" w:cs="NettoPro"/>
          <w:color w:val="auto"/>
        </w:rPr>
        <w:t xml:space="preserve"> neurčitou</w:t>
      </w:r>
    </w:p>
    <w:p w14:paraId="7476C944" w14:textId="6993D85D" w:rsidR="00E4783C" w:rsidRPr="00600A83" w:rsidRDefault="00E4783C" w:rsidP="00E4783C">
      <w:pPr>
        <w:pStyle w:val="Podnadpis1"/>
        <w:numPr>
          <w:ilvl w:val="0"/>
          <w:numId w:val="0"/>
        </w:numPr>
        <w:ind w:left="708"/>
        <w:rPr>
          <w:rFonts w:ascii="NettoPro" w:hAnsi="NettoPro" w:cs="NettoPro"/>
        </w:rPr>
      </w:pPr>
      <w:r w:rsidRPr="00600A83">
        <w:rPr>
          <w:rFonts w:ascii="Segoe UI Symbol" w:hAnsi="Segoe UI Symbol" w:cs="Segoe UI Symbol"/>
        </w:rPr>
        <w:t>☒</w:t>
      </w:r>
      <w:r w:rsidRPr="00600A83">
        <w:rPr>
          <w:rFonts w:ascii="NettoPro" w:hAnsi="NettoPro" w:cs="NettoPro"/>
        </w:rPr>
        <w:t xml:space="preserve"> určitou, a to do zpracování a zaslání mediální analýzy do </w:t>
      </w:r>
      <w:r w:rsidR="00B540ED" w:rsidRPr="00600A83">
        <w:rPr>
          <w:rFonts w:ascii="NettoPro" w:hAnsi="NettoPro" w:cs="NettoPro"/>
        </w:rPr>
        <w:t xml:space="preserve">31. </w:t>
      </w:r>
      <w:r w:rsidRPr="00600A83">
        <w:rPr>
          <w:rFonts w:ascii="NettoPro" w:hAnsi="NettoPro" w:cs="NettoPro"/>
        </w:rPr>
        <w:t>července 2023.</w:t>
      </w:r>
    </w:p>
    <w:p w14:paraId="566F1107" w14:textId="2051A6B4" w:rsidR="00E4783C" w:rsidRPr="001E7552" w:rsidRDefault="00E4783C" w:rsidP="00E4783C">
      <w:pPr>
        <w:pStyle w:val="Podnadpis1"/>
        <w:rPr>
          <w:rFonts w:ascii="NettoPro" w:hAnsi="NettoPro" w:cs="NettoPro"/>
        </w:rPr>
      </w:pPr>
      <w:r w:rsidRPr="001E7552">
        <w:rPr>
          <w:rFonts w:ascii="NettoPro" w:hAnsi="NettoPro" w:cs="NettoPro"/>
        </w:rPr>
        <w:t>Tato smlouva nabývá platnosti dnem jejího podpisu oprávněnými zástupci obou smluvních stan a účinnosti dnem uveřejnění v registru smluv.</w:t>
      </w:r>
    </w:p>
    <w:p w14:paraId="1E62CD04" w14:textId="54122054" w:rsidR="00760C57" w:rsidRPr="001E7552" w:rsidRDefault="00760C57" w:rsidP="00760C57">
      <w:pPr>
        <w:pStyle w:val="Podnadpis1"/>
        <w:jc w:val="both"/>
        <w:rPr>
          <w:rFonts w:ascii="NettoPro" w:hAnsi="NettoPro" w:cs="NettoPro"/>
        </w:rPr>
      </w:pPr>
      <w:r w:rsidRPr="001E7552">
        <w:rPr>
          <w:rFonts w:ascii="NettoPro" w:hAnsi="NettoPro" w:cs="NettoPro"/>
        </w:rPr>
        <w:t>Dodavatel bere na vědomí, že odběratel je povinen uveřejnit tuto smlouvu ve smyslu zákona č. 340/2015 Sb., o zvláštních podmínkách účinnosti některých smluv, uveřejňování těchto smluv a o registru smluv (zákon o registru smluv), ve znění pozdějších předpisů.</w:t>
      </w:r>
    </w:p>
    <w:p w14:paraId="4052C9DA" w14:textId="69139268" w:rsidR="00760C57" w:rsidRPr="001E7552" w:rsidRDefault="00760C57" w:rsidP="00760C57">
      <w:pPr>
        <w:pStyle w:val="Podnadpis1"/>
        <w:jc w:val="both"/>
        <w:rPr>
          <w:rFonts w:ascii="NettoPro" w:hAnsi="NettoPro" w:cs="NettoPro"/>
        </w:rPr>
      </w:pPr>
      <w:r w:rsidRPr="001E7552">
        <w:rPr>
          <w:rFonts w:ascii="NettoPro" w:hAnsi="NettoPro" w:cs="NettoPro"/>
        </w:rPr>
        <w:t xml:space="preserve">Zaslání smlouvy do registru smluv zajistí odběratel neprodleně po podpisu smlouvy. Odběratel se současně zavazuje informovat dodavatele o provedení registrace tak, že zašle dodavateli kopii potvrzení správce registru smluv </w:t>
      </w:r>
      <w:r w:rsidRPr="001E7552">
        <w:rPr>
          <w:rFonts w:ascii="NettoPro" w:hAnsi="NettoPro" w:cs="NettoPro"/>
        </w:rPr>
        <w:br/>
        <w:t>o uveřejnění smlouvy bez zbytečného odkladu poté, kdy sám potvrzení obdrží, popř. již v průvodním formuláři vyplní příslušnou kolonku s ID datové schránky dodavatele (v takovém případě potvrzení od správce registru smluv o provedení registrace smlouvy obdrží obě smluvní strany zároveň).</w:t>
      </w:r>
    </w:p>
    <w:p w14:paraId="3180F2DB" w14:textId="1C77F084" w:rsidR="007D204B" w:rsidRPr="005E313B" w:rsidRDefault="007D204B" w:rsidP="00760C57">
      <w:pPr>
        <w:pStyle w:val="Podnadpis1"/>
        <w:jc w:val="both"/>
        <w:rPr>
          <w:rFonts w:ascii="NettoPro" w:hAnsi="NettoPro" w:cs="NettoPro"/>
        </w:rPr>
      </w:pPr>
      <w:r w:rsidRPr="005E313B">
        <w:rPr>
          <w:rFonts w:ascii="NettoPro" w:hAnsi="NettoPro" w:cs="NettoPro"/>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w:t>
      </w:r>
      <w:r w:rsidRPr="005E313B">
        <w:rPr>
          <w:rFonts w:ascii="NettoPro" w:hAnsi="NettoPro" w:cs="NettoPro"/>
        </w:rPr>
        <w:lastRenderedPageBreak/>
        <w:t xml:space="preserve">smlouvě ani projev učiněný po uzavření této smlouvy nesmí být vykládán v rozporu s výslovnými ustanoveními této smlouvy a nezakládá žádný závazek žádné ze stran. </w:t>
      </w:r>
    </w:p>
    <w:p w14:paraId="3AF18BA8" w14:textId="77777777" w:rsidR="007D204B" w:rsidRPr="005E313B" w:rsidRDefault="007D204B" w:rsidP="00760C57">
      <w:pPr>
        <w:pStyle w:val="Podnadpis1"/>
        <w:jc w:val="both"/>
        <w:rPr>
          <w:rFonts w:ascii="NettoPro" w:hAnsi="NettoPro" w:cs="NettoPro"/>
        </w:rPr>
      </w:pPr>
      <w:r w:rsidRPr="005E313B">
        <w:rPr>
          <w:rFonts w:ascii="NettoPro" w:hAnsi="NettoPro" w:cs="NettoPro"/>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14:paraId="5F878C8A" w14:textId="77777777" w:rsidR="007D204B" w:rsidRPr="005E313B" w:rsidRDefault="007D204B" w:rsidP="00760C57">
      <w:pPr>
        <w:pStyle w:val="Podnadpis1"/>
        <w:jc w:val="both"/>
        <w:rPr>
          <w:rFonts w:ascii="NettoPro" w:hAnsi="NettoPro" w:cs="NettoPro"/>
        </w:rPr>
      </w:pPr>
      <w:bookmarkStart w:id="3" w:name="_Ref252253984"/>
      <w:r w:rsidRPr="005E313B">
        <w:rPr>
          <w:rFonts w:ascii="NettoPro" w:hAnsi="NettoPro" w:cs="NettoPro"/>
        </w:rPr>
        <w:t>V případě rozporu mezi obsahem této smlouvy a obsahem jejích příloh mají přednost ustanovení samotné smlouvy, není-li dále výslovně stanoveno jinak.</w:t>
      </w:r>
    </w:p>
    <w:p w14:paraId="6E27622C" w14:textId="593C52DF" w:rsidR="007D204B" w:rsidRPr="005E313B" w:rsidRDefault="007D204B" w:rsidP="00760C57">
      <w:pPr>
        <w:pStyle w:val="Podnadpis1"/>
        <w:jc w:val="both"/>
        <w:rPr>
          <w:rFonts w:ascii="NettoPro" w:hAnsi="NettoPro" w:cs="NettoPro"/>
        </w:rPr>
      </w:pPr>
      <w:r w:rsidRPr="005E313B">
        <w:rPr>
          <w:rFonts w:ascii="NettoPro" w:hAnsi="NettoPro" w:cs="NettoPro"/>
        </w:rPr>
        <w:t>Všechny spory vznikající z této smlouvy a v souvislosti s ní budou rozhodovány s konečnou platností u Rozhodčího soudu při Hospodářské komoře České republiky a Agrární komoře České republiky podle jeho Řádu a Pravidel třemi rozhodci. Nález rozhodčího soudu je konečný.</w:t>
      </w:r>
      <w:bookmarkEnd w:id="3"/>
    </w:p>
    <w:p w14:paraId="7A44190A" w14:textId="30D9B7B4" w:rsidR="00A5323A" w:rsidRPr="005E313B" w:rsidRDefault="009B4BA0" w:rsidP="00760C57">
      <w:pPr>
        <w:pStyle w:val="Podnadpis1"/>
        <w:jc w:val="both"/>
        <w:rPr>
          <w:rFonts w:ascii="NettoPro" w:hAnsi="NettoPro" w:cs="NettoPro"/>
        </w:rPr>
      </w:pPr>
      <w:r w:rsidRPr="005E313B">
        <w:rPr>
          <w:rFonts w:ascii="NettoPro" w:hAnsi="NettoPro" w:cs="NettoPro"/>
        </w:rPr>
        <w:t>Odběratel tímto uděluje dodavateli výslovný souhlas</w:t>
      </w:r>
      <w:r w:rsidR="00A5323A" w:rsidRPr="005E313B">
        <w:rPr>
          <w:rFonts w:ascii="NettoPro" w:hAnsi="NettoPro" w:cs="NettoPro"/>
        </w:rPr>
        <w:t xml:space="preserve"> uvádět název a/nebo logo </w:t>
      </w:r>
      <w:r w:rsidR="00DF0012" w:rsidRPr="005E313B">
        <w:rPr>
          <w:rFonts w:ascii="NettoPro" w:hAnsi="NettoPro" w:cs="NettoPro"/>
        </w:rPr>
        <w:t>odběratele</w:t>
      </w:r>
      <w:r w:rsidR="00A5323A" w:rsidRPr="005E313B">
        <w:rPr>
          <w:rFonts w:ascii="NettoPro" w:hAnsi="NettoPro" w:cs="NettoPro"/>
        </w:rPr>
        <w:t xml:space="preserve"> ve svém seznamu referenčních klientů na svých internetových prezentacích, sociálních sítích a </w:t>
      </w:r>
      <w:r w:rsidR="00DF0012" w:rsidRPr="005E313B">
        <w:rPr>
          <w:rFonts w:ascii="NettoPro" w:hAnsi="NettoPro" w:cs="NettoPro"/>
        </w:rPr>
        <w:t xml:space="preserve">jiných </w:t>
      </w:r>
      <w:r w:rsidR="00A5323A" w:rsidRPr="005E313B">
        <w:rPr>
          <w:rFonts w:ascii="NettoPro" w:hAnsi="NettoPro" w:cs="NettoPro"/>
        </w:rPr>
        <w:t>propagačních materiálech.</w:t>
      </w:r>
    </w:p>
    <w:p w14:paraId="77EE1C3B" w14:textId="77777777" w:rsidR="007D204B" w:rsidRPr="005E313B" w:rsidRDefault="007D204B" w:rsidP="00285D14">
      <w:pPr>
        <w:pStyle w:val="Podnadpis1"/>
        <w:jc w:val="both"/>
        <w:rPr>
          <w:rFonts w:ascii="NettoPro" w:hAnsi="NettoPro" w:cs="NettoPro"/>
        </w:rPr>
      </w:pPr>
      <w:r w:rsidRPr="005E313B">
        <w:rPr>
          <w:rFonts w:ascii="NettoPro" w:hAnsi="NettoPro" w:cs="NettoPro"/>
        </w:rPr>
        <w:t xml:space="preserve">Smluvní strany se dohodly, že část obsahu této smlouvy tvoří Všeobecné obchodní podmínky pro poskytování a využívání informací uvedené v Příloze </w:t>
      </w:r>
      <w:r w:rsidR="00142E2D" w:rsidRPr="005E313B">
        <w:rPr>
          <w:rFonts w:ascii="NettoPro" w:hAnsi="NettoPro" w:cs="NettoPro"/>
        </w:rPr>
        <w:t>A</w:t>
      </w:r>
      <w:r w:rsidRPr="005E313B">
        <w:rPr>
          <w:rFonts w:ascii="NettoPro" w:hAnsi="NettoPro" w:cs="NettoPro"/>
        </w:rPr>
        <w:t xml:space="preserve"> této smlouvy. Odběratel prohlašuje, že se s obsahem Všeobecných obchodních podmínek pro poskytování a využívání informací náležitě seznámil a je jimi vázán. </w:t>
      </w:r>
    </w:p>
    <w:p w14:paraId="04BDF328" w14:textId="77777777" w:rsidR="007D204B" w:rsidRPr="005E313B" w:rsidRDefault="007D204B" w:rsidP="00285D14">
      <w:pPr>
        <w:pStyle w:val="Podnadpis1"/>
        <w:jc w:val="both"/>
        <w:rPr>
          <w:rFonts w:ascii="NettoPro" w:hAnsi="NettoPro" w:cs="NettoPro"/>
        </w:rPr>
      </w:pPr>
      <w:r w:rsidRPr="005E313B">
        <w:rPr>
          <w:rFonts w:ascii="NettoPro" w:hAnsi="NettoPro" w:cs="NettoPro"/>
        </w:rPr>
        <w:t>Nedílnou součást této smlouvy tvoří její přílohy:</w:t>
      </w:r>
    </w:p>
    <w:p w14:paraId="0625F26B" w14:textId="77777777" w:rsidR="007D204B" w:rsidRPr="005E313B" w:rsidRDefault="007D204B" w:rsidP="00285D14">
      <w:pPr>
        <w:pStyle w:val="PodPodNadpis"/>
        <w:jc w:val="both"/>
        <w:rPr>
          <w:rFonts w:ascii="NettoPro" w:hAnsi="NettoPro" w:cs="NettoPro"/>
        </w:rPr>
      </w:pPr>
      <w:r w:rsidRPr="005E313B">
        <w:rPr>
          <w:rFonts w:ascii="NettoPro" w:hAnsi="NettoPro" w:cs="NettoPro"/>
        </w:rPr>
        <w:t xml:space="preserve">Příloha A – </w:t>
      </w:r>
      <w:r w:rsidR="00142E2D" w:rsidRPr="005E313B">
        <w:rPr>
          <w:rFonts w:ascii="NettoPro" w:hAnsi="NettoPro" w:cs="NettoPro"/>
        </w:rPr>
        <w:t>Všeobecné obchodní podmínky pro poskytování a využívání informací.</w:t>
      </w:r>
    </w:p>
    <w:p w14:paraId="7C75BD44" w14:textId="77777777" w:rsidR="007D204B" w:rsidRPr="005E313B" w:rsidRDefault="007D204B" w:rsidP="00285D14">
      <w:pPr>
        <w:pStyle w:val="Podnadpis1"/>
        <w:jc w:val="both"/>
        <w:rPr>
          <w:rFonts w:ascii="NettoPro" w:hAnsi="NettoPro" w:cs="NettoPro"/>
        </w:rPr>
      </w:pPr>
      <w:r w:rsidRPr="005E313B">
        <w:rPr>
          <w:rFonts w:ascii="NettoPro" w:hAnsi="NettoPro" w:cs="NettoPro"/>
        </w:rPr>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14:paraId="4BEAE12C" w14:textId="77777777" w:rsidR="007D204B" w:rsidRPr="005E313B" w:rsidRDefault="007D204B" w:rsidP="00285D14">
      <w:pPr>
        <w:pStyle w:val="Podnadpis1"/>
        <w:jc w:val="both"/>
        <w:rPr>
          <w:rFonts w:ascii="NettoPro" w:hAnsi="NettoPro" w:cs="NettoPro"/>
        </w:rPr>
      </w:pPr>
      <w:r w:rsidRPr="005E313B">
        <w:rPr>
          <w:rFonts w:ascii="NettoPro" w:hAnsi="NettoPro" w:cs="NettoPro"/>
        </w:rPr>
        <w:t xml:space="preserve">Obsah této smlouvy, jakož i jejích příloh, lze měnit nebo doplňovat pouze písemnou dohodou smluvních stran ve formě číslovaných dodatků této Smlouvy, podepsaných oprávněnými zástupci obou smluvních stran. </w:t>
      </w:r>
    </w:p>
    <w:p w14:paraId="330CD561" w14:textId="77777777" w:rsidR="00285D14" w:rsidRDefault="007D204B" w:rsidP="00285D14">
      <w:pPr>
        <w:pStyle w:val="Podnadpis1"/>
        <w:jc w:val="both"/>
        <w:rPr>
          <w:rFonts w:ascii="NettoPro" w:hAnsi="NettoPro" w:cs="NettoPro"/>
        </w:rPr>
      </w:pPr>
      <w:r w:rsidRPr="005E313B">
        <w:rPr>
          <w:rFonts w:ascii="NettoPro" w:hAnsi="NettoPro" w:cs="NettoPro"/>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14:paraId="03E21CA0" w14:textId="6AD9728F" w:rsidR="00285D14" w:rsidRPr="00285D14" w:rsidRDefault="00285D14" w:rsidP="00285D14">
      <w:pPr>
        <w:pStyle w:val="Podnadpis1"/>
        <w:jc w:val="both"/>
        <w:rPr>
          <w:rFonts w:ascii="NettoPro" w:hAnsi="NettoPro" w:cs="NettoPro"/>
        </w:rPr>
      </w:pPr>
      <w:r w:rsidRPr="00285D14">
        <w:rPr>
          <w:rFonts w:ascii="NettoPro" w:hAnsi="NettoPro" w:cs="NettoPro"/>
        </w:rPr>
        <w:t xml:space="preserve">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 </w:t>
      </w:r>
    </w:p>
    <w:p w14:paraId="062320CE" w14:textId="77777777" w:rsidR="007D204B" w:rsidRPr="005E313B" w:rsidRDefault="007D204B" w:rsidP="007D204B">
      <w:pPr>
        <w:rPr>
          <w:rStyle w:val="Siln"/>
          <w:rFonts w:ascii="NettoPro" w:hAnsi="NettoPro" w:cs="NettoPro"/>
          <w:b w:val="0"/>
        </w:rPr>
      </w:pPr>
      <w:r w:rsidRPr="005E313B">
        <w:rPr>
          <w:rStyle w:val="Siln"/>
          <w:rFonts w:ascii="NettoPro" w:hAnsi="NettoPro" w:cs="NettoPro"/>
          <w:b w:val="0"/>
        </w:rPr>
        <w:t>Smluvní strany prohlašují, že si tuto smlouvu přečetly, že s jejím obsahem jakož i právními důsledky souhlasí a na důkaz toho k ní připojují svoje podpisy:</w:t>
      </w:r>
    </w:p>
    <w:p w14:paraId="0CAE27E6" w14:textId="77777777" w:rsidR="00F542C5" w:rsidRPr="005E313B" w:rsidRDefault="00F542C5" w:rsidP="007D204B">
      <w:pPr>
        <w:rPr>
          <w:rFonts w:ascii="NettoPro" w:hAnsi="NettoPro" w:cs="NettoPro"/>
          <w:b/>
          <w:bCs/>
        </w:rPr>
      </w:pPr>
    </w:p>
    <w:p w14:paraId="103D6AB7" w14:textId="77777777" w:rsidR="00142E2D" w:rsidRPr="005E313B" w:rsidRDefault="00142E2D" w:rsidP="00142E2D">
      <w:pPr>
        <w:spacing w:line="240" w:lineRule="auto"/>
        <w:ind w:left="708"/>
        <w:rPr>
          <w:rFonts w:ascii="NettoPro" w:hAnsi="NettoPro" w:cs="NettoPro"/>
        </w:rPr>
        <w:sectPr w:rsidR="00142E2D" w:rsidRPr="005E313B" w:rsidSect="00AE4ED2">
          <w:headerReference w:type="even" r:id="rId11"/>
          <w:headerReference w:type="default" r:id="rId12"/>
          <w:footerReference w:type="even" r:id="rId13"/>
          <w:footerReference w:type="default" r:id="rId14"/>
          <w:headerReference w:type="first" r:id="rId15"/>
          <w:footerReference w:type="first" r:id="rId16"/>
          <w:pgSz w:w="11906" w:h="16838"/>
          <w:pgMar w:top="2088" w:right="851" w:bottom="1418" w:left="851" w:header="709" w:footer="709" w:gutter="0"/>
          <w:cols w:space="708"/>
          <w:docGrid w:linePitch="360"/>
        </w:sectPr>
      </w:pPr>
    </w:p>
    <w:p w14:paraId="1F339EE3"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Dodavatel</w:t>
      </w:r>
    </w:p>
    <w:p w14:paraId="1A632AFB" w14:textId="77777777" w:rsidR="00142E2D" w:rsidRPr="005E313B" w:rsidRDefault="00142E2D" w:rsidP="00142E2D">
      <w:pPr>
        <w:spacing w:line="240" w:lineRule="auto"/>
        <w:ind w:left="708"/>
        <w:rPr>
          <w:rFonts w:ascii="NettoPro" w:hAnsi="NettoPro" w:cs="NettoPro"/>
        </w:rPr>
      </w:pPr>
    </w:p>
    <w:p w14:paraId="0EE90B2F" w14:textId="77777777" w:rsidR="00211B7D" w:rsidRPr="005E313B" w:rsidRDefault="00142E2D" w:rsidP="00142E2D">
      <w:pPr>
        <w:spacing w:line="240" w:lineRule="auto"/>
        <w:ind w:left="708"/>
        <w:rPr>
          <w:rFonts w:ascii="NettoPro" w:hAnsi="NettoPro" w:cs="NettoPro"/>
        </w:rPr>
      </w:pPr>
      <w:r w:rsidRPr="005E313B">
        <w:rPr>
          <w:rFonts w:ascii="NettoPro" w:hAnsi="NettoPro" w:cs="NettoPro"/>
        </w:rPr>
        <w:t xml:space="preserve">V </w:t>
      </w:r>
      <w:r w:rsidR="000C3CE4" w:rsidRPr="005E313B">
        <w:rPr>
          <w:rFonts w:ascii="NettoPro" w:hAnsi="NettoPro" w:cs="NettoPro"/>
        </w:rPr>
        <w:t>Praze</w:t>
      </w:r>
      <w:r w:rsidRPr="005E313B">
        <w:rPr>
          <w:rFonts w:ascii="NettoPro" w:hAnsi="NettoPro" w:cs="NettoPro"/>
        </w:rPr>
        <w:t xml:space="preserve"> dne </w:t>
      </w:r>
    </w:p>
    <w:p w14:paraId="6974A1B8" w14:textId="3EAD06C2" w:rsidR="00142E2D" w:rsidRPr="005E313B" w:rsidRDefault="000C3CE4" w:rsidP="00142E2D">
      <w:pPr>
        <w:spacing w:line="240" w:lineRule="auto"/>
        <w:ind w:left="708"/>
        <w:rPr>
          <w:rFonts w:ascii="NettoPro" w:hAnsi="NettoPro" w:cs="NettoPro"/>
        </w:rPr>
      </w:pPr>
      <w:r w:rsidRPr="005E313B">
        <w:rPr>
          <w:rFonts w:ascii="NettoPro" w:hAnsi="NettoPro" w:cs="NettoPro"/>
        </w:rPr>
        <w:fldChar w:fldCharType="begin">
          <w:ffData>
            <w:name w:val=""/>
            <w:enabled/>
            <w:calcOnExit w:val="0"/>
            <w:textInput>
              <w:type w:val="date"/>
              <w:format w:val="dd.MM.yy"/>
            </w:textInput>
          </w:ffData>
        </w:fldChar>
      </w:r>
      <w:r w:rsidRPr="005E313B">
        <w:rPr>
          <w:rFonts w:ascii="NettoPro" w:hAnsi="NettoPro" w:cs="NettoPro"/>
        </w:rPr>
        <w:instrText xml:space="preserve"> FORMTEXT </w:instrText>
      </w:r>
      <w:r w:rsidRPr="005E313B">
        <w:rPr>
          <w:rFonts w:ascii="NettoPro" w:hAnsi="NettoPro" w:cs="NettoPro"/>
        </w:rPr>
      </w:r>
      <w:r w:rsidRPr="005E313B">
        <w:rPr>
          <w:rFonts w:ascii="NettoPro" w:hAnsi="NettoPro" w:cs="NettoPro"/>
        </w:rPr>
        <w:fldChar w:fldCharType="separate"/>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fldChar w:fldCharType="end"/>
      </w:r>
      <w:r w:rsidR="00142E2D" w:rsidRPr="005E313B">
        <w:rPr>
          <w:rFonts w:ascii="NettoPro" w:hAnsi="NettoPro" w:cs="NettoPro"/>
        </w:rPr>
        <w:t>.</w:t>
      </w:r>
      <w:r w:rsidRPr="005E313B">
        <w:rPr>
          <w:rFonts w:ascii="NettoPro" w:hAnsi="NettoPro" w:cs="NettoPro"/>
        </w:rPr>
        <w:fldChar w:fldCharType="begin">
          <w:ffData>
            <w:name w:val=""/>
            <w:enabled/>
            <w:calcOnExit w:val="0"/>
            <w:textInput>
              <w:type w:val="date"/>
              <w:format w:val="dd.MM.yy"/>
            </w:textInput>
          </w:ffData>
        </w:fldChar>
      </w:r>
      <w:r w:rsidRPr="005E313B">
        <w:rPr>
          <w:rFonts w:ascii="NettoPro" w:hAnsi="NettoPro" w:cs="NettoPro"/>
        </w:rPr>
        <w:instrText xml:space="preserve"> FORMTEXT </w:instrText>
      </w:r>
      <w:r w:rsidRPr="005E313B">
        <w:rPr>
          <w:rFonts w:ascii="NettoPro" w:hAnsi="NettoPro" w:cs="NettoPro"/>
        </w:rPr>
      </w:r>
      <w:r w:rsidRPr="005E313B">
        <w:rPr>
          <w:rFonts w:ascii="NettoPro" w:hAnsi="NettoPro" w:cs="NettoPro"/>
        </w:rPr>
        <w:fldChar w:fldCharType="separate"/>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fldChar w:fldCharType="end"/>
      </w:r>
      <w:r w:rsidR="00142E2D" w:rsidRPr="005E313B">
        <w:rPr>
          <w:rFonts w:ascii="NettoPro" w:hAnsi="NettoPro" w:cs="NettoPro"/>
        </w:rPr>
        <w:t>.</w:t>
      </w:r>
      <w:r w:rsidRPr="005E313B">
        <w:rPr>
          <w:rFonts w:ascii="NettoPro" w:hAnsi="NettoPro" w:cs="NettoPro"/>
        </w:rPr>
        <w:fldChar w:fldCharType="begin">
          <w:ffData>
            <w:name w:val=""/>
            <w:enabled/>
            <w:calcOnExit w:val="0"/>
            <w:textInput>
              <w:type w:val="date"/>
              <w:format w:val="dd.MM.yy"/>
            </w:textInput>
          </w:ffData>
        </w:fldChar>
      </w:r>
      <w:r w:rsidRPr="005E313B">
        <w:rPr>
          <w:rFonts w:ascii="NettoPro" w:hAnsi="NettoPro" w:cs="NettoPro"/>
        </w:rPr>
        <w:instrText xml:space="preserve"> FORMTEXT </w:instrText>
      </w:r>
      <w:r w:rsidRPr="005E313B">
        <w:rPr>
          <w:rFonts w:ascii="NettoPro" w:hAnsi="NettoPro" w:cs="NettoPro"/>
        </w:rPr>
      </w:r>
      <w:r w:rsidRPr="005E313B">
        <w:rPr>
          <w:rFonts w:ascii="NettoPro" w:hAnsi="NettoPro" w:cs="NettoPro"/>
        </w:rPr>
        <w:fldChar w:fldCharType="separate"/>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t> </w:t>
      </w:r>
      <w:r w:rsidRPr="005E313B">
        <w:rPr>
          <w:rFonts w:ascii="NettoPro" w:hAnsi="NettoPro" w:cs="NettoPro"/>
        </w:rPr>
        <w:fldChar w:fldCharType="end"/>
      </w:r>
    </w:p>
    <w:p w14:paraId="3A6CF513" w14:textId="77777777" w:rsidR="00142E2D" w:rsidRPr="005E313B" w:rsidRDefault="00142E2D" w:rsidP="00142E2D">
      <w:pPr>
        <w:spacing w:line="240" w:lineRule="auto"/>
        <w:ind w:left="708"/>
        <w:rPr>
          <w:rFonts w:ascii="NettoPro" w:hAnsi="NettoPro" w:cs="NettoPro"/>
        </w:rPr>
      </w:pPr>
    </w:p>
    <w:p w14:paraId="01029C98" w14:textId="77777777" w:rsidR="00142E2D" w:rsidRPr="005E313B" w:rsidRDefault="00142E2D" w:rsidP="00142E2D">
      <w:pPr>
        <w:spacing w:line="240" w:lineRule="auto"/>
        <w:ind w:left="708"/>
        <w:rPr>
          <w:rFonts w:ascii="NettoPro" w:hAnsi="NettoPro" w:cs="NettoPro"/>
        </w:rPr>
      </w:pPr>
    </w:p>
    <w:p w14:paraId="5C3E19A8" w14:textId="77777777" w:rsidR="00142E2D" w:rsidRPr="005E313B" w:rsidRDefault="00142E2D" w:rsidP="00142E2D">
      <w:pPr>
        <w:spacing w:line="240" w:lineRule="auto"/>
        <w:ind w:left="708"/>
        <w:rPr>
          <w:rFonts w:ascii="NettoPro" w:hAnsi="NettoPro" w:cs="NettoPro"/>
        </w:rPr>
      </w:pPr>
    </w:p>
    <w:p w14:paraId="556B22D7"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w:t>
      </w:r>
    </w:p>
    <w:p w14:paraId="0A246B20"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NEWTON Media, a. s.</w:t>
      </w:r>
    </w:p>
    <w:p w14:paraId="322E5602"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Ing. Petr Herian</w:t>
      </w:r>
    </w:p>
    <w:p w14:paraId="36A66B16" w14:textId="77777777" w:rsidR="00142E2D" w:rsidRPr="005E313B" w:rsidRDefault="00142E2D" w:rsidP="00142E2D">
      <w:pPr>
        <w:spacing w:line="240" w:lineRule="auto"/>
        <w:ind w:left="708"/>
        <w:rPr>
          <w:rFonts w:ascii="NettoPro" w:hAnsi="NettoPro" w:cs="NettoPro"/>
          <w:i/>
        </w:rPr>
      </w:pPr>
      <w:r w:rsidRPr="005E313B">
        <w:rPr>
          <w:rFonts w:ascii="NettoPro" w:hAnsi="NettoPro" w:cs="NettoPro"/>
          <w:i/>
        </w:rPr>
        <w:t>předseda představenstva</w:t>
      </w:r>
    </w:p>
    <w:p w14:paraId="2966F519"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Odběratel</w:t>
      </w:r>
    </w:p>
    <w:p w14:paraId="6DD58C35" w14:textId="77777777" w:rsidR="00142E2D" w:rsidRPr="005E313B" w:rsidRDefault="00142E2D" w:rsidP="00142E2D">
      <w:pPr>
        <w:spacing w:line="240" w:lineRule="auto"/>
        <w:ind w:left="708"/>
        <w:rPr>
          <w:rFonts w:ascii="NettoPro" w:hAnsi="NettoPro" w:cs="NettoPro"/>
        </w:rPr>
      </w:pPr>
    </w:p>
    <w:p w14:paraId="3470BC13" w14:textId="44605516" w:rsidR="00142E2D" w:rsidRPr="005E313B" w:rsidRDefault="00142E2D" w:rsidP="00142E2D">
      <w:pPr>
        <w:spacing w:line="240" w:lineRule="auto"/>
        <w:ind w:left="708"/>
        <w:rPr>
          <w:rFonts w:ascii="NettoPro" w:hAnsi="NettoPro" w:cs="NettoPro"/>
        </w:rPr>
      </w:pPr>
      <w:r w:rsidRPr="005E313B">
        <w:rPr>
          <w:rFonts w:ascii="NettoPro" w:hAnsi="NettoPro" w:cs="NettoPro"/>
        </w:rPr>
        <w:t>V</w:t>
      </w:r>
      <w:r w:rsidR="00211B7D" w:rsidRPr="005E313B">
        <w:rPr>
          <w:rFonts w:ascii="NettoPro" w:hAnsi="NettoPro" w:cs="NettoPro"/>
        </w:rPr>
        <w:t> Karlových Varech</w:t>
      </w:r>
      <w:r w:rsidRPr="005E313B">
        <w:rPr>
          <w:rFonts w:ascii="NettoPro" w:hAnsi="NettoPro" w:cs="NettoPro"/>
        </w:rPr>
        <w:t xml:space="preserve"> dne </w:t>
      </w:r>
      <w:r w:rsidR="000C3CE4" w:rsidRPr="005E313B">
        <w:rPr>
          <w:rFonts w:ascii="NettoPro" w:hAnsi="NettoPro" w:cs="NettoPro"/>
        </w:rPr>
        <w:fldChar w:fldCharType="begin">
          <w:ffData>
            <w:name w:val=""/>
            <w:enabled/>
            <w:calcOnExit w:val="0"/>
            <w:textInput>
              <w:type w:val="date"/>
              <w:format w:val="dd.MM.yy"/>
            </w:textInput>
          </w:ffData>
        </w:fldChar>
      </w:r>
      <w:r w:rsidR="000C3CE4" w:rsidRPr="005E313B">
        <w:rPr>
          <w:rFonts w:ascii="NettoPro" w:hAnsi="NettoPro" w:cs="NettoPro"/>
        </w:rPr>
        <w:instrText xml:space="preserve"> FORMTEXT </w:instrText>
      </w:r>
      <w:r w:rsidR="000C3CE4" w:rsidRPr="005E313B">
        <w:rPr>
          <w:rFonts w:ascii="NettoPro" w:hAnsi="NettoPro" w:cs="NettoPro"/>
        </w:rPr>
      </w:r>
      <w:r w:rsidR="000C3CE4" w:rsidRPr="005E313B">
        <w:rPr>
          <w:rFonts w:ascii="NettoPro" w:hAnsi="NettoPro" w:cs="NettoPro"/>
        </w:rPr>
        <w:fldChar w:fldCharType="separate"/>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fldChar w:fldCharType="end"/>
      </w:r>
      <w:r w:rsidRPr="005E313B">
        <w:rPr>
          <w:rFonts w:ascii="NettoPro" w:hAnsi="NettoPro" w:cs="NettoPro"/>
        </w:rPr>
        <w:t>.</w:t>
      </w:r>
      <w:r w:rsidR="000C3CE4" w:rsidRPr="005E313B">
        <w:rPr>
          <w:rFonts w:ascii="NettoPro" w:hAnsi="NettoPro" w:cs="NettoPro"/>
        </w:rPr>
        <w:fldChar w:fldCharType="begin">
          <w:ffData>
            <w:name w:val=""/>
            <w:enabled/>
            <w:calcOnExit w:val="0"/>
            <w:textInput>
              <w:type w:val="date"/>
              <w:format w:val="dd.MM.yy"/>
            </w:textInput>
          </w:ffData>
        </w:fldChar>
      </w:r>
      <w:r w:rsidR="000C3CE4" w:rsidRPr="005E313B">
        <w:rPr>
          <w:rFonts w:ascii="NettoPro" w:hAnsi="NettoPro" w:cs="NettoPro"/>
        </w:rPr>
        <w:instrText xml:space="preserve"> FORMTEXT </w:instrText>
      </w:r>
      <w:r w:rsidR="000C3CE4" w:rsidRPr="005E313B">
        <w:rPr>
          <w:rFonts w:ascii="NettoPro" w:hAnsi="NettoPro" w:cs="NettoPro"/>
        </w:rPr>
      </w:r>
      <w:r w:rsidR="000C3CE4" w:rsidRPr="005E313B">
        <w:rPr>
          <w:rFonts w:ascii="NettoPro" w:hAnsi="NettoPro" w:cs="NettoPro"/>
        </w:rPr>
        <w:fldChar w:fldCharType="separate"/>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fldChar w:fldCharType="end"/>
      </w:r>
      <w:r w:rsidRPr="005E313B">
        <w:rPr>
          <w:rFonts w:ascii="NettoPro" w:hAnsi="NettoPro" w:cs="NettoPro"/>
        </w:rPr>
        <w:t>.</w:t>
      </w:r>
      <w:r w:rsidR="000C3CE4" w:rsidRPr="005E313B">
        <w:rPr>
          <w:rFonts w:ascii="NettoPro" w:hAnsi="NettoPro" w:cs="NettoPro"/>
        </w:rPr>
        <w:fldChar w:fldCharType="begin">
          <w:ffData>
            <w:name w:val=""/>
            <w:enabled/>
            <w:calcOnExit w:val="0"/>
            <w:textInput>
              <w:type w:val="date"/>
              <w:format w:val="dd.MM.yy"/>
            </w:textInput>
          </w:ffData>
        </w:fldChar>
      </w:r>
      <w:r w:rsidR="000C3CE4" w:rsidRPr="005E313B">
        <w:rPr>
          <w:rFonts w:ascii="NettoPro" w:hAnsi="NettoPro" w:cs="NettoPro"/>
        </w:rPr>
        <w:instrText xml:space="preserve"> FORMTEXT </w:instrText>
      </w:r>
      <w:r w:rsidR="000C3CE4" w:rsidRPr="005E313B">
        <w:rPr>
          <w:rFonts w:ascii="NettoPro" w:hAnsi="NettoPro" w:cs="NettoPro"/>
        </w:rPr>
      </w:r>
      <w:r w:rsidR="000C3CE4" w:rsidRPr="005E313B">
        <w:rPr>
          <w:rFonts w:ascii="NettoPro" w:hAnsi="NettoPro" w:cs="NettoPro"/>
        </w:rPr>
        <w:fldChar w:fldCharType="separate"/>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t> </w:t>
      </w:r>
      <w:r w:rsidR="000C3CE4" w:rsidRPr="005E313B">
        <w:rPr>
          <w:rFonts w:ascii="NettoPro" w:hAnsi="NettoPro" w:cs="NettoPro"/>
        </w:rPr>
        <w:fldChar w:fldCharType="end"/>
      </w:r>
    </w:p>
    <w:p w14:paraId="63EBF141" w14:textId="77777777" w:rsidR="00142E2D" w:rsidRPr="005E313B" w:rsidRDefault="00142E2D" w:rsidP="00142E2D">
      <w:pPr>
        <w:spacing w:line="240" w:lineRule="auto"/>
        <w:ind w:left="708"/>
        <w:rPr>
          <w:rFonts w:ascii="NettoPro" w:hAnsi="NettoPro" w:cs="NettoPro"/>
        </w:rPr>
      </w:pPr>
    </w:p>
    <w:p w14:paraId="6D9327F9" w14:textId="77777777" w:rsidR="00142E2D" w:rsidRPr="005E313B" w:rsidRDefault="00142E2D" w:rsidP="00142E2D">
      <w:pPr>
        <w:spacing w:line="240" w:lineRule="auto"/>
        <w:ind w:left="708"/>
        <w:rPr>
          <w:rFonts w:ascii="NettoPro" w:hAnsi="NettoPro" w:cs="NettoPro"/>
        </w:rPr>
      </w:pPr>
    </w:p>
    <w:p w14:paraId="417161BC" w14:textId="77777777" w:rsidR="00142E2D" w:rsidRPr="005E313B" w:rsidRDefault="00142E2D" w:rsidP="00142E2D">
      <w:pPr>
        <w:spacing w:line="240" w:lineRule="auto"/>
        <w:ind w:left="708"/>
        <w:rPr>
          <w:rFonts w:ascii="NettoPro" w:hAnsi="NettoPro" w:cs="NettoPro"/>
        </w:rPr>
      </w:pPr>
    </w:p>
    <w:p w14:paraId="35BF40E4" w14:textId="77777777" w:rsidR="00142E2D" w:rsidRPr="005E313B" w:rsidRDefault="00142E2D" w:rsidP="00142E2D">
      <w:pPr>
        <w:spacing w:line="240" w:lineRule="auto"/>
        <w:ind w:left="708"/>
        <w:rPr>
          <w:rFonts w:ascii="NettoPro" w:hAnsi="NettoPro" w:cs="NettoPro"/>
        </w:rPr>
      </w:pPr>
      <w:r w:rsidRPr="005E313B">
        <w:rPr>
          <w:rFonts w:ascii="NettoPro" w:hAnsi="NettoPro" w:cs="NettoPro"/>
        </w:rPr>
        <w:t>…………………………………..</w:t>
      </w:r>
    </w:p>
    <w:p w14:paraId="05292B45" w14:textId="1ADA9026" w:rsidR="000C3CE4" w:rsidRPr="005E313B" w:rsidRDefault="00211B7D" w:rsidP="00142E2D">
      <w:pPr>
        <w:spacing w:line="240" w:lineRule="auto"/>
        <w:ind w:left="708"/>
        <w:rPr>
          <w:rFonts w:ascii="NettoPro" w:hAnsi="NettoPro" w:cs="NettoPro"/>
        </w:rPr>
      </w:pPr>
      <w:r w:rsidRPr="005E313B">
        <w:rPr>
          <w:rFonts w:ascii="NettoPro" w:hAnsi="NettoPro" w:cs="NettoPro"/>
        </w:rPr>
        <w:t>Karlovarská agentura rozvoje podnikání, p. o.</w:t>
      </w:r>
    </w:p>
    <w:p w14:paraId="176DB1A3" w14:textId="7EAEA37A" w:rsidR="00142E2D" w:rsidRPr="005E313B" w:rsidRDefault="00211B7D" w:rsidP="00142E2D">
      <w:pPr>
        <w:spacing w:line="240" w:lineRule="auto"/>
        <w:ind w:left="708"/>
        <w:rPr>
          <w:rFonts w:ascii="NettoPro" w:hAnsi="NettoPro" w:cs="NettoPro"/>
          <w:i/>
        </w:rPr>
      </w:pPr>
      <w:r w:rsidRPr="005E313B">
        <w:rPr>
          <w:rFonts w:ascii="NettoPro" w:hAnsi="NettoPro" w:cs="NettoPro"/>
        </w:rPr>
        <w:t>Vlastimil Veselý</w:t>
      </w:r>
    </w:p>
    <w:p w14:paraId="66447D33" w14:textId="3B105B8F" w:rsidR="000C3CE4" w:rsidRPr="005E313B" w:rsidRDefault="00211B7D" w:rsidP="00142E2D">
      <w:pPr>
        <w:spacing w:line="240" w:lineRule="auto"/>
        <w:ind w:left="708"/>
        <w:rPr>
          <w:rFonts w:ascii="NettoPro" w:hAnsi="NettoPro" w:cs="NettoPro"/>
          <w:i/>
        </w:rPr>
      </w:pPr>
      <w:r w:rsidRPr="005E313B">
        <w:rPr>
          <w:rFonts w:ascii="NettoPro" w:hAnsi="NettoPro" w:cs="NettoPro"/>
        </w:rPr>
        <w:t>ředitel</w:t>
      </w:r>
    </w:p>
    <w:p w14:paraId="6C83F633" w14:textId="77777777" w:rsidR="00142E2D" w:rsidRPr="005E313B" w:rsidRDefault="00142E2D" w:rsidP="007D204B">
      <w:pPr>
        <w:rPr>
          <w:rFonts w:ascii="NettoPro" w:hAnsi="NettoPro" w:cs="NettoPro"/>
          <w:b/>
        </w:rPr>
        <w:sectPr w:rsidR="00142E2D" w:rsidRPr="005E313B" w:rsidSect="00142E2D">
          <w:type w:val="continuous"/>
          <w:pgSz w:w="11906" w:h="16838"/>
          <w:pgMar w:top="2088" w:right="851" w:bottom="1418" w:left="851" w:header="709" w:footer="709" w:gutter="0"/>
          <w:cols w:num="2" w:space="708"/>
          <w:docGrid w:linePitch="360"/>
        </w:sectPr>
      </w:pPr>
    </w:p>
    <w:p w14:paraId="2ACD8208" w14:textId="0162DA00" w:rsidR="002D3448" w:rsidRPr="005E313B" w:rsidRDefault="008D0628" w:rsidP="002D3448">
      <w:pPr>
        <w:pStyle w:val="Titul-ploha"/>
        <w:rPr>
          <w:rFonts w:ascii="NettoPro" w:hAnsi="NettoPro" w:cs="NettoPro"/>
          <w:b w:val="0"/>
        </w:rPr>
      </w:pPr>
      <w:r w:rsidRPr="005E313B">
        <w:rPr>
          <w:rFonts w:ascii="NettoPro" w:hAnsi="NettoPro" w:cs="NettoPro"/>
        </w:rPr>
        <w:br w:type="page"/>
      </w:r>
      <w:r w:rsidR="002D3448" w:rsidRPr="005E313B">
        <w:rPr>
          <w:rFonts w:ascii="NettoPro" w:hAnsi="NettoPro" w:cs="NettoPro"/>
          <w:b w:val="0"/>
        </w:rPr>
        <w:lastRenderedPageBreak/>
        <w:t>Příloha A/1</w:t>
      </w:r>
    </w:p>
    <w:p w14:paraId="29023896" w14:textId="77777777" w:rsidR="008D0628" w:rsidRPr="005E313B" w:rsidRDefault="008D0628" w:rsidP="008D0628">
      <w:pPr>
        <w:jc w:val="center"/>
        <w:rPr>
          <w:rFonts w:ascii="NettoPro" w:hAnsi="NettoPro" w:cs="NettoPro"/>
          <w:bCs/>
          <w:szCs w:val="18"/>
        </w:rPr>
      </w:pPr>
      <w:r w:rsidRPr="005E313B">
        <w:rPr>
          <w:rFonts w:ascii="NettoPro" w:hAnsi="NettoPro" w:cs="NettoPro"/>
          <w:b/>
          <w:bCs/>
          <w:szCs w:val="18"/>
        </w:rPr>
        <w:t>NEWTON Media, a.s.</w:t>
      </w:r>
      <w:r w:rsidRPr="005E313B">
        <w:rPr>
          <w:rFonts w:ascii="NettoPro" w:hAnsi="NettoPro" w:cs="NettoPro"/>
          <w:bCs/>
          <w:szCs w:val="18"/>
        </w:rPr>
        <w:t xml:space="preserve">, </w:t>
      </w:r>
    </w:p>
    <w:p w14:paraId="55419780" w14:textId="77777777" w:rsidR="008D0628" w:rsidRPr="005E313B" w:rsidRDefault="008D0628" w:rsidP="008D0628">
      <w:pPr>
        <w:jc w:val="center"/>
        <w:rPr>
          <w:rFonts w:ascii="NettoPro" w:hAnsi="NettoPro" w:cs="NettoPro"/>
          <w:sz w:val="18"/>
          <w:szCs w:val="18"/>
        </w:rPr>
      </w:pPr>
      <w:r w:rsidRPr="005E313B">
        <w:rPr>
          <w:rFonts w:ascii="NettoPro" w:hAnsi="NettoPro" w:cs="NettoPro"/>
          <w:sz w:val="18"/>
          <w:szCs w:val="18"/>
        </w:rPr>
        <w:t>společnost zapsaná v obchodním rejstříku vedeném Městským soudem v Praze, oddíl B, vložka 12446, se sídlem Praha 4, Na Pankráci 1683/127, PSČ 140 00</w:t>
      </w:r>
      <w:r w:rsidRPr="005E313B">
        <w:rPr>
          <w:rFonts w:ascii="NettoPro" w:hAnsi="NettoPro" w:cs="NettoPro"/>
          <w:bCs/>
          <w:sz w:val="18"/>
          <w:szCs w:val="18"/>
        </w:rPr>
        <w:t xml:space="preserve">, </w:t>
      </w:r>
      <w:r w:rsidRPr="005E313B">
        <w:rPr>
          <w:rFonts w:ascii="NettoPro" w:hAnsi="NettoPro" w:cs="NettoPro"/>
          <w:sz w:val="18"/>
          <w:szCs w:val="18"/>
        </w:rPr>
        <w:t>IČ: 28168356, DIČ: CZ28168356</w:t>
      </w:r>
      <w:r w:rsidRPr="005E313B">
        <w:rPr>
          <w:rFonts w:ascii="NettoPro" w:hAnsi="NettoPro" w:cs="NettoPro"/>
          <w:bCs/>
          <w:sz w:val="18"/>
          <w:szCs w:val="18"/>
        </w:rPr>
        <w:t xml:space="preserve"> </w:t>
      </w:r>
      <w:r w:rsidRPr="005E313B">
        <w:rPr>
          <w:rFonts w:ascii="NettoPro" w:hAnsi="NettoPro" w:cs="NettoPro"/>
          <w:sz w:val="18"/>
          <w:szCs w:val="18"/>
        </w:rPr>
        <w:t>(dále jen „</w:t>
      </w:r>
      <w:r w:rsidRPr="005E313B">
        <w:rPr>
          <w:rFonts w:ascii="NettoPro" w:hAnsi="NettoPro" w:cs="NettoPro"/>
          <w:b/>
          <w:sz w:val="18"/>
          <w:szCs w:val="18"/>
        </w:rPr>
        <w:t>dodavatel</w:t>
      </w:r>
      <w:r w:rsidRPr="005E313B">
        <w:rPr>
          <w:rFonts w:ascii="NettoPro" w:hAnsi="NettoPro" w:cs="NettoPro"/>
          <w:sz w:val="18"/>
          <w:szCs w:val="18"/>
        </w:rPr>
        <w:t>“)</w:t>
      </w:r>
    </w:p>
    <w:p w14:paraId="505DEE81" w14:textId="77777777" w:rsidR="008D0628" w:rsidRPr="005E313B" w:rsidRDefault="008D0628" w:rsidP="008D0628">
      <w:pPr>
        <w:autoSpaceDE/>
        <w:autoSpaceDN/>
        <w:adjustRightInd/>
        <w:spacing w:after="480" w:line="240" w:lineRule="auto"/>
        <w:jc w:val="center"/>
        <w:rPr>
          <w:rFonts w:ascii="NettoPro" w:eastAsia="Times New Roman" w:hAnsi="NettoPro" w:cs="NettoPro"/>
          <w:b/>
          <w:szCs w:val="18"/>
          <w:lang w:eastAsia="cs-CZ"/>
        </w:rPr>
      </w:pPr>
      <w:r w:rsidRPr="005E313B">
        <w:rPr>
          <w:rFonts w:ascii="NettoPro" w:eastAsia="Times New Roman" w:hAnsi="NettoPro" w:cs="NettoPro"/>
          <w:b/>
          <w:szCs w:val="18"/>
          <w:lang w:eastAsia="cs-CZ"/>
        </w:rPr>
        <w:t>Všeobecné obchodní podmínky</w:t>
      </w:r>
      <w:r w:rsidRPr="005E313B">
        <w:rPr>
          <w:rFonts w:ascii="NettoPro" w:eastAsia="Times New Roman" w:hAnsi="NettoPro" w:cs="NettoPro"/>
          <w:b/>
          <w:szCs w:val="18"/>
          <w:lang w:eastAsia="cs-CZ"/>
        </w:rPr>
        <w:br/>
        <w:t>pro poskytování a využívání informací</w:t>
      </w:r>
    </w:p>
    <w:p w14:paraId="3E939F02" w14:textId="77777777" w:rsidR="008D0628" w:rsidRPr="005E313B" w:rsidRDefault="008D0628" w:rsidP="008D0628">
      <w:pPr>
        <w:jc w:val="center"/>
        <w:rPr>
          <w:rFonts w:ascii="NettoPro" w:hAnsi="NettoPro" w:cs="NettoPro"/>
          <w:sz w:val="18"/>
          <w:szCs w:val="18"/>
        </w:rPr>
      </w:pPr>
      <w:r w:rsidRPr="005E313B">
        <w:rPr>
          <w:rFonts w:ascii="NettoPro" w:hAnsi="NettoPro" w:cs="NettoPro"/>
          <w:sz w:val="18"/>
          <w:szCs w:val="18"/>
        </w:rPr>
        <w:t>(dále jen „</w:t>
      </w:r>
      <w:r w:rsidRPr="005E313B">
        <w:rPr>
          <w:rFonts w:ascii="NettoPro" w:hAnsi="NettoPro" w:cs="NettoPro"/>
          <w:b/>
          <w:sz w:val="18"/>
          <w:szCs w:val="18"/>
        </w:rPr>
        <w:t>Podmínky</w:t>
      </w:r>
      <w:r w:rsidRPr="005E313B">
        <w:rPr>
          <w:rFonts w:ascii="NettoPro" w:hAnsi="NettoPro" w:cs="NettoPro"/>
          <w:sz w:val="18"/>
          <w:szCs w:val="18"/>
        </w:rPr>
        <w:t>“)</w:t>
      </w:r>
    </w:p>
    <w:p w14:paraId="4047E8E4" w14:textId="77777777" w:rsidR="008D0628" w:rsidRPr="005E313B" w:rsidRDefault="008D0628" w:rsidP="008D0628">
      <w:pPr>
        <w:jc w:val="center"/>
        <w:rPr>
          <w:rFonts w:ascii="NettoPro" w:hAnsi="NettoPro" w:cs="NettoPro"/>
          <w:sz w:val="18"/>
          <w:szCs w:val="18"/>
        </w:rPr>
      </w:pPr>
    </w:p>
    <w:p w14:paraId="21BE5284"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rPr>
          <w:rFonts w:ascii="NettoPro" w:eastAsia="Times New Roman" w:hAnsi="NettoPro" w:cs="NettoPro"/>
          <w:b/>
          <w:bCs/>
          <w:color w:val="auto"/>
          <w:sz w:val="18"/>
          <w:szCs w:val="18"/>
          <w:lang w:eastAsia="cs-CZ"/>
        </w:rPr>
        <w:sectPr w:rsidR="008D0628" w:rsidRPr="005E313B" w:rsidSect="008D0628">
          <w:headerReference w:type="default" r:id="rId17"/>
          <w:footerReference w:type="default" r:id="rId18"/>
          <w:headerReference w:type="first" r:id="rId19"/>
          <w:footerReference w:type="first" r:id="rId20"/>
          <w:type w:val="continuous"/>
          <w:pgSz w:w="11906" w:h="16838"/>
          <w:pgMar w:top="2127" w:right="851" w:bottom="1418" w:left="851" w:header="709" w:footer="1016" w:gutter="0"/>
          <w:cols w:space="708"/>
          <w:titlePg/>
          <w:docGrid w:linePitch="360"/>
        </w:sectPr>
      </w:pPr>
    </w:p>
    <w:p w14:paraId="1D7043B5"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ÚVODNÍ USTANOVENÍ</w:t>
      </w:r>
    </w:p>
    <w:p w14:paraId="76E2419B"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Účelem těchto Podmínek je stanovit podrobné podmínky, za kterých dodavatel poskytuje svým zákazníkům (dále jen „</w:t>
      </w:r>
      <w:r w:rsidRPr="005E313B">
        <w:rPr>
          <w:rFonts w:ascii="NettoPro" w:eastAsia="Times New Roman" w:hAnsi="NettoPro" w:cs="NettoPro"/>
          <w:b/>
          <w:color w:val="auto"/>
          <w:sz w:val="18"/>
          <w:szCs w:val="18"/>
          <w:lang w:eastAsia="cs-CZ"/>
        </w:rPr>
        <w:t>odběratelé</w:t>
      </w:r>
      <w:r w:rsidRPr="005E313B">
        <w:rPr>
          <w:rFonts w:ascii="NettoPro" w:eastAsia="Times New Roman" w:hAnsi="NettoPro" w:cs="NettoPro"/>
          <w:color w:val="auto"/>
          <w:sz w:val="18"/>
          <w:szCs w:val="18"/>
          <w:lang w:eastAsia="cs-CZ"/>
        </w:rPr>
        <w:t>“) služby spočívající v poskytování a využívání informací, jak jsou vymezeny dále.</w:t>
      </w:r>
    </w:p>
    <w:p w14:paraId="60FBC2C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Za odběratele se považují osoby, s nimiž dodavatel uzavřel smlouvu o poskytování a využívání informací nebo jinou smlouvu, která na tyto Podmínky odkazuje (dále jen „</w:t>
      </w:r>
      <w:r w:rsidRPr="005E313B">
        <w:rPr>
          <w:rFonts w:ascii="NettoPro" w:eastAsia="Times New Roman" w:hAnsi="NettoPro" w:cs="NettoPro"/>
          <w:b/>
          <w:color w:val="auto"/>
          <w:sz w:val="18"/>
          <w:szCs w:val="18"/>
          <w:lang w:eastAsia="cs-CZ"/>
        </w:rPr>
        <w:t>smlouva</w:t>
      </w:r>
      <w:r w:rsidRPr="005E313B">
        <w:rPr>
          <w:rFonts w:ascii="NettoPro" w:eastAsia="Times New Roman" w:hAnsi="NettoPro" w:cs="NettoPro"/>
          <w:color w:val="auto"/>
          <w:sz w:val="18"/>
          <w:szCs w:val="18"/>
          <w:lang w:eastAsia="cs-CZ"/>
        </w:rPr>
        <w:t>“). Za smlouvu se považuje i Rámcová smlouva o poskytování a využívání informací uzavřená mezi dodavatelem a odběratelem.</w:t>
      </w:r>
    </w:p>
    <w:p w14:paraId="356B523C"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4" w:name="_Ref254948681"/>
      <w:r w:rsidRPr="005E313B">
        <w:rPr>
          <w:rFonts w:ascii="NettoPro" w:eastAsia="Times New Roman" w:hAnsi="NettoPro" w:cs="NettoPro"/>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4"/>
    </w:p>
    <w:p w14:paraId="713EA5C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5E313B">
        <w:rPr>
          <w:rFonts w:ascii="NettoPro" w:eastAsia="Times New Roman" w:hAnsi="NettoPro" w:cs="NettoPro"/>
          <w:b/>
          <w:color w:val="auto"/>
          <w:sz w:val="18"/>
          <w:szCs w:val="18"/>
          <w:lang w:eastAsia="cs-CZ"/>
        </w:rPr>
        <w:t>občanský zákoník</w:t>
      </w:r>
      <w:r w:rsidRPr="005E313B">
        <w:rPr>
          <w:rFonts w:ascii="NettoPro" w:eastAsia="Times New Roman" w:hAnsi="NettoPro" w:cs="NettoPro"/>
          <w:color w:val="auto"/>
          <w:sz w:val="18"/>
          <w:szCs w:val="18"/>
          <w:lang w:eastAsia="cs-CZ"/>
        </w:rPr>
        <w:t>“).</w:t>
      </w:r>
    </w:p>
    <w:p w14:paraId="0B69D4C7"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ZÁKLADNÍ POJMY</w:t>
      </w:r>
    </w:p>
    <w:p w14:paraId="76148CEA"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Jsou-li ve smlouvě použité některé z následujících pojmů, mají tento význam:</w:t>
      </w:r>
    </w:p>
    <w:p w14:paraId="0D6ED6CF"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smluvní strany</w:t>
      </w:r>
      <w:r w:rsidRPr="005E313B">
        <w:rPr>
          <w:rFonts w:ascii="NettoPro" w:eastAsia="Times New Roman" w:hAnsi="NettoPro" w:cs="NettoPro"/>
          <w:color w:val="auto"/>
          <w:sz w:val="18"/>
          <w:szCs w:val="18"/>
          <w:lang w:eastAsia="cs-CZ"/>
        </w:rPr>
        <w:t>“ jsou dodavatel a odběratel, se kterým dodavatel uzavřel smlouvu, přičemž „</w:t>
      </w:r>
      <w:r w:rsidRPr="005E313B">
        <w:rPr>
          <w:rFonts w:ascii="NettoPro" w:eastAsia="Times New Roman" w:hAnsi="NettoPro" w:cs="NettoPro"/>
          <w:b/>
          <w:color w:val="auto"/>
          <w:sz w:val="18"/>
          <w:szCs w:val="18"/>
          <w:lang w:eastAsia="cs-CZ"/>
        </w:rPr>
        <w:t>smluvní stranou</w:t>
      </w:r>
      <w:r w:rsidRPr="005E313B">
        <w:rPr>
          <w:rFonts w:ascii="NettoPro" w:eastAsia="Times New Roman" w:hAnsi="NettoPro" w:cs="NettoPro"/>
          <w:color w:val="auto"/>
          <w:sz w:val="18"/>
          <w:szCs w:val="18"/>
          <w:lang w:eastAsia="cs-CZ"/>
        </w:rPr>
        <w:t>“ se rozumí kterákoliv ze smluvních stran;</w:t>
      </w:r>
    </w:p>
    <w:p w14:paraId="703388F4"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mediální tituly</w:t>
      </w:r>
      <w:r w:rsidRPr="005E313B">
        <w:rPr>
          <w:rFonts w:ascii="NettoPro" w:eastAsia="Times New Roman" w:hAnsi="NettoPro" w:cs="NettoPro"/>
          <w:color w:val="auto"/>
          <w:sz w:val="18"/>
          <w:szCs w:val="18"/>
          <w:lang w:eastAsia="cs-CZ"/>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14:paraId="0419FCF8" w14:textId="74534305"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produkt dodavatele</w:t>
      </w:r>
      <w:r w:rsidRPr="005E313B">
        <w:rPr>
          <w:rFonts w:ascii="NettoPro" w:eastAsia="Times New Roman" w:hAnsi="NettoPro" w:cs="NettoPro"/>
          <w:color w:val="auto"/>
          <w:sz w:val="18"/>
          <w:szCs w:val="18"/>
          <w:lang w:eastAsia="cs-CZ"/>
        </w:rPr>
        <w:t xml:space="preserve">“ – produktem dodavatele se rozumí pro účely této smlouvy zejména MONITORING ZPRÁV, MONITORING SOCIÁLNÍCH </w:t>
      </w:r>
      <w:r w:rsidR="00313D5C" w:rsidRPr="005E313B">
        <w:rPr>
          <w:rFonts w:ascii="NettoPro" w:eastAsia="Times New Roman" w:hAnsi="NettoPro" w:cs="NettoPro"/>
          <w:color w:val="auto"/>
          <w:sz w:val="18"/>
          <w:szCs w:val="18"/>
          <w:lang w:eastAsia="cs-CZ"/>
        </w:rPr>
        <w:t>MÉDIÍ</w:t>
      </w:r>
      <w:r w:rsidRPr="005E313B">
        <w:rPr>
          <w:rFonts w:ascii="NettoPro" w:eastAsia="Times New Roman" w:hAnsi="NettoPro" w:cs="NettoPro"/>
          <w:color w:val="auto"/>
          <w:sz w:val="18"/>
          <w:szCs w:val="18"/>
          <w:lang w:eastAsia="cs-CZ"/>
        </w:rPr>
        <w:t xml:space="preserve">, MONITORING INZERCE A REKLAMY, ANALÝZA MÉDIÍ, </w:t>
      </w:r>
      <w:r w:rsidR="0059417C" w:rsidRPr="005E313B">
        <w:rPr>
          <w:rFonts w:ascii="NettoPro" w:eastAsia="Times New Roman" w:hAnsi="NettoPro" w:cs="NettoPro"/>
          <w:color w:val="auto"/>
          <w:sz w:val="18"/>
          <w:szCs w:val="18"/>
          <w:lang w:eastAsia="cs-CZ"/>
        </w:rPr>
        <w:t xml:space="preserve">TVR ALERTS, </w:t>
      </w:r>
      <w:r w:rsidRPr="005E313B">
        <w:rPr>
          <w:rFonts w:ascii="NettoPro" w:eastAsia="Times New Roman" w:hAnsi="NettoPro" w:cs="NettoPro"/>
          <w:color w:val="auto"/>
          <w:sz w:val="18"/>
          <w:szCs w:val="18"/>
          <w:lang w:eastAsia="cs-CZ"/>
        </w:rPr>
        <w:t>databáze, Výstup, nebo Výsledek.</w:t>
      </w:r>
    </w:p>
    <w:p w14:paraId="740A612D"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b/>
          <w:color w:val="auto"/>
          <w:sz w:val="18"/>
          <w:szCs w:val="18"/>
          <w:lang w:eastAsia="cs-CZ"/>
        </w:rPr>
        <w:t>„data“</w:t>
      </w:r>
      <w:r w:rsidRPr="005E313B">
        <w:rPr>
          <w:rFonts w:ascii="NettoPro" w:eastAsia="Times New Roman" w:hAnsi="NettoPro" w:cs="NettoPro"/>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14:paraId="4D3EE632"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informace</w:t>
      </w:r>
      <w:r w:rsidRPr="005E313B">
        <w:rPr>
          <w:rFonts w:ascii="NettoPro" w:eastAsia="Times New Roman" w:hAnsi="NettoPro" w:cs="NettoPro"/>
          <w:color w:val="auto"/>
          <w:sz w:val="18"/>
          <w:szCs w:val="18"/>
          <w:lang w:eastAsia="cs-CZ"/>
        </w:rPr>
        <w:t>“ jsou veškerá data obsažená v kterémkoliv produktu dodavatele.</w:t>
      </w:r>
    </w:p>
    <w:p w14:paraId="0111E6E8"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MONITORING ZPRÁV</w:t>
      </w:r>
      <w:r w:rsidRPr="005E313B">
        <w:rPr>
          <w:rFonts w:ascii="NettoPro" w:eastAsia="Times New Roman" w:hAnsi="NettoPro" w:cs="NettoPro"/>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14:paraId="26D4047C" w14:textId="06213545"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 xml:space="preserve">MONITORING SOCIÁLNÍCH </w:t>
      </w:r>
      <w:r w:rsidR="00313D5C" w:rsidRPr="005E313B">
        <w:rPr>
          <w:rFonts w:ascii="NettoPro" w:eastAsia="Times New Roman" w:hAnsi="NettoPro" w:cs="NettoPro"/>
          <w:b/>
          <w:color w:val="auto"/>
          <w:sz w:val="18"/>
          <w:szCs w:val="18"/>
          <w:lang w:eastAsia="cs-CZ"/>
        </w:rPr>
        <w:t>MÉDIÍ</w:t>
      </w:r>
      <w:r w:rsidRPr="005E313B">
        <w:rPr>
          <w:rFonts w:ascii="NettoPro" w:eastAsia="Times New Roman" w:hAnsi="NettoPro" w:cs="NettoPro"/>
          <w:color w:val="auto"/>
          <w:sz w:val="18"/>
          <w:szCs w:val="18"/>
          <w:lang w:eastAsia="cs-CZ"/>
        </w:rPr>
        <w:t xml:space="preserve">“ je soubor elektronických informací vytvářený dodavatelem na základě monitorování ve smlouvě stanovených sociálních </w:t>
      </w:r>
      <w:r w:rsidR="00313D5C" w:rsidRPr="005E313B">
        <w:rPr>
          <w:rFonts w:ascii="NettoPro" w:eastAsia="Times New Roman" w:hAnsi="NettoPro" w:cs="NettoPro"/>
          <w:color w:val="auto"/>
          <w:sz w:val="18"/>
          <w:szCs w:val="18"/>
          <w:lang w:eastAsia="cs-CZ"/>
        </w:rPr>
        <w:t xml:space="preserve">médií </w:t>
      </w:r>
      <w:r w:rsidRPr="005E313B">
        <w:rPr>
          <w:rFonts w:ascii="NettoPro" w:eastAsia="Times New Roman" w:hAnsi="NettoPro" w:cs="NettoPro"/>
          <w:color w:val="auto"/>
          <w:sz w:val="18"/>
          <w:szCs w:val="18"/>
          <w:lang w:eastAsia="cs-CZ"/>
        </w:rPr>
        <w:t>a dodávaný odběrateli v souladu s požadavky odběratele na obsah a strukturu definovanými ve smlouvě;</w:t>
      </w:r>
    </w:p>
    <w:p w14:paraId="2EBCD759"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MONITORING INZERCE A REKLAMY</w:t>
      </w:r>
      <w:r w:rsidRPr="005E313B">
        <w:rPr>
          <w:rFonts w:ascii="NettoPro" w:eastAsia="Times New Roman" w:hAnsi="NettoPro" w:cs="NettoPro"/>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1D9E4F8F"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ANALÝZA MÉDIÍ</w:t>
      </w:r>
      <w:r w:rsidRPr="005E313B">
        <w:rPr>
          <w:rFonts w:ascii="NettoPro" w:eastAsia="Times New Roman" w:hAnsi="NettoPro" w:cs="NettoPro"/>
          <w:color w:val="auto"/>
          <w:sz w:val="18"/>
          <w:szCs w:val="18"/>
          <w:lang w:eastAsia="cs-CZ"/>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14:paraId="5D5ED117" w14:textId="77777777" w:rsidR="0059417C" w:rsidRPr="005E313B" w:rsidRDefault="0059417C" w:rsidP="00A12C55">
      <w:pPr>
        <w:numPr>
          <w:ilvl w:val="2"/>
          <w:numId w:val="2"/>
        </w:numPr>
        <w:autoSpaceDE/>
        <w:autoSpaceDN/>
        <w:adjustRightInd/>
        <w:spacing w:after="120" w:line="240" w:lineRule="auto"/>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lastRenderedPageBreak/>
        <w:t>„</w:t>
      </w:r>
      <w:r w:rsidRPr="005E313B">
        <w:rPr>
          <w:rFonts w:ascii="NettoPro" w:eastAsia="Times New Roman" w:hAnsi="NettoPro" w:cs="NettoPro"/>
          <w:b/>
          <w:color w:val="auto"/>
          <w:sz w:val="18"/>
          <w:szCs w:val="18"/>
          <w:lang w:eastAsia="cs-CZ"/>
        </w:rPr>
        <w:t>TVR ALERTS</w:t>
      </w:r>
      <w:r w:rsidRPr="005E313B">
        <w:rPr>
          <w:rFonts w:ascii="NettoPro" w:eastAsia="Times New Roman" w:hAnsi="NettoPro" w:cs="NettoPro"/>
          <w:color w:val="auto"/>
          <w:sz w:val="18"/>
          <w:szCs w:val="18"/>
          <w:lang w:eastAsia="cs-CZ"/>
        </w:rPr>
        <w:t xml:space="preserve">“ </w:t>
      </w:r>
      <w:r w:rsidR="008D7C99" w:rsidRPr="005E313B">
        <w:rPr>
          <w:rFonts w:ascii="NettoPro" w:eastAsia="Times New Roman" w:hAnsi="NettoPro" w:cs="NettoPro"/>
          <w:color w:val="auto"/>
          <w:sz w:val="18"/>
          <w:szCs w:val="18"/>
          <w:lang w:eastAsia="cs-CZ"/>
        </w:rPr>
        <w:t xml:space="preserve">je soubor elektronických informací vytvářený dodavatelem na základě sledování </w:t>
      </w:r>
      <w:r w:rsidR="006E64AA" w:rsidRPr="005E313B">
        <w:rPr>
          <w:rFonts w:ascii="NettoPro" w:eastAsia="Times New Roman" w:hAnsi="NettoPro" w:cs="NettoPro"/>
          <w:color w:val="auto"/>
          <w:sz w:val="18"/>
          <w:szCs w:val="18"/>
          <w:lang w:eastAsia="cs-CZ"/>
        </w:rPr>
        <w:t xml:space="preserve">výskytu </w:t>
      </w:r>
      <w:r w:rsidR="008D7C99" w:rsidRPr="005E313B">
        <w:rPr>
          <w:rFonts w:ascii="NettoPro" w:eastAsia="Times New Roman" w:hAnsi="NettoPro" w:cs="NettoPro"/>
          <w:color w:val="auto"/>
          <w:sz w:val="18"/>
          <w:szCs w:val="18"/>
          <w:lang w:eastAsia="cs-CZ"/>
        </w:rPr>
        <w:t xml:space="preserve">odběratelem určených slov </w:t>
      </w:r>
      <w:r w:rsidRPr="005E313B">
        <w:rPr>
          <w:rFonts w:ascii="NettoPro" w:eastAsia="Times New Roman" w:hAnsi="NettoPro" w:cs="NettoPro"/>
          <w:color w:val="auto"/>
          <w:sz w:val="18"/>
          <w:szCs w:val="18"/>
          <w:lang w:eastAsia="cs-CZ"/>
        </w:rPr>
        <w:t xml:space="preserve">ve vysílání </w:t>
      </w:r>
      <w:r w:rsidR="006F05B6" w:rsidRPr="005E313B">
        <w:rPr>
          <w:rFonts w:ascii="NettoPro" w:eastAsia="Times New Roman" w:hAnsi="NettoPro" w:cs="NettoPro"/>
          <w:color w:val="auto"/>
          <w:sz w:val="18"/>
          <w:szCs w:val="18"/>
          <w:lang w:eastAsia="cs-CZ"/>
        </w:rPr>
        <w:t xml:space="preserve">vybraných </w:t>
      </w:r>
      <w:r w:rsidRPr="005E313B">
        <w:rPr>
          <w:rFonts w:ascii="NettoPro" w:eastAsia="Times New Roman" w:hAnsi="NettoPro" w:cs="NettoPro"/>
          <w:color w:val="auto"/>
          <w:sz w:val="18"/>
          <w:szCs w:val="18"/>
          <w:lang w:eastAsia="cs-CZ"/>
        </w:rPr>
        <w:t xml:space="preserve">monitorovaných </w:t>
      </w:r>
      <w:r w:rsidR="006F05B6" w:rsidRPr="005E313B">
        <w:rPr>
          <w:rFonts w:ascii="NettoPro" w:eastAsia="Times New Roman" w:hAnsi="NettoPro" w:cs="NettoPro"/>
          <w:color w:val="auto"/>
          <w:sz w:val="18"/>
          <w:szCs w:val="18"/>
          <w:lang w:eastAsia="cs-CZ"/>
        </w:rPr>
        <w:t>mediálních titulů určených smlouvou</w:t>
      </w:r>
      <w:r w:rsidR="006E64AA" w:rsidRPr="005E313B">
        <w:rPr>
          <w:rFonts w:ascii="NettoPro" w:eastAsia="Times New Roman" w:hAnsi="NettoPro" w:cs="NettoPro"/>
          <w:color w:val="auto"/>
          <w:sz w:val="18"/>
          <w:szCs w:val="18"/>
          <w:lang w:eastAsia="cs-CZ"/>
        </w:rPr>
        <w:t xml:space="preserve"> a dodávaný odběrateli v souladu s požadavky odběratele definovanými ve smlouvě</w:t>
      </w:r>
      <w:r w:rsidR="001B7357" w:rsidRPr="005E313B">
        <w:rPr>
          <w:rFonts w:ascii="NettoPro" w:eastAsia="Times New Roman" w:hAnsi="NettoPro" w:cs="NettoPro"/>
          <w:color w:val="auto"/>
          <w:sz w:val="18"/>
          <w:szCs w:val="18"/>
          <w:lang w:eastAsia="cs-CZ"/>
        </w:rPr>
        <w:t>.</w:t>
      </w:r>
      <w:r w:rsidR="006F05B6" w:rsidRPr="005E313B">
        <w:rPr>
          <w:rFonts w:ascii="NettoPro" w:eastAsia="Times New Roman" w:hAnsi="NettoPro" w:cs="NettoPro"/>
          <w:color w:val="auto"/>
          <w:sz w:val="18"/>
          <w:szCs w:val="18"/>
          <w:lang w:eastAsia="cs-CZ"/>
        </w:rPr>
        <w:t xml:space="preserve"> </w:t>
      </w:r>
      <w:r w:rsidRPr="005E313B">
        <w:rPr>
          <w:rFonts w:ascii="NettoPro" w:eastAsia="Times New Roman" w:hAnsi="NettoPro" w:cs="NettoPro"/>
          <w:color w:val="auto"/>
          <w:sz w:val="18"/>
          <w:szCs w:val="18"/>
          <w:lang w:eastAsia="cs-CZ"/>
        </w:rPr>
        <w:t xml:space="preserve"> </w:t>
      </w:r>
    </w:p>
    <w:p w14:paraId="19884107"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databáze</w:t>
      </w:r>
      <w:r w:rsidRPr="005E313B">
        <w:rPr>
          <w:rFonts w:ascii="NettoPro" w:eastAsia="Times New Roman" w:hAnsi="NettoPro" w:cs="NettoPro"/>
          <w:color w:val="auto"/>
          <w:sz w:val="18"/>
          <w:szCs w:val="18"/>
          <w:lang w:eastAsia="cs-CZ"/>
        </w:rPr>
        <w:t>“ je databáze elektro</w:t>
      </w:r>
      <w:r w:rsidRPr="005E313B">
        <w:rPr>
          <w:rFonts w:ascii="NettoPro" w:eastAsia="Times New Roman" w:hAnsi="NettoPro" w:cs="NettoPro"/>
          <w:color w:val="auto"/>
          <w:sz w:val="18"/>
          <w:szCs w:val="18"/>
          <w:lang w:eastAsia="cs-CZ"/>
        </w:rPr>
        <w:softHyphen/>
        <w:t>nických informací Archiv MediaSearch</w:t>
      </w:r>
      <w:r w:rsidRPr="005E313B">
        <w:rPr>
          <w:rFonts w:ascii="NettoPro" w:eastAsia="Times New Roman" w:hAnsi="NettoPro" w:cs="NettoPro"/>
          <w:b/>
          <w:color w:val="auto"/>
          <w:sz w:val="18"/>
          <w:szCs w:val="18"/>
          <w:lang w:eastAsia="cs-CZ"/>
        </w:rPr>
        <w:t xml:space="preserve"> </w:t>
      </w:r>
      <w:r w:rsidRPr="005E313B">
        <w:rPr>
          <w:rFonts w:ascii="NettoPro" w:eastAsia="Times New Roman" w:hAnsi="NettoPro" w:cs="NettoPro"/>
          <w:color w:val="auto"/>
          <w:sz w:val="18"/>
          <w:szCs w:val="18"/>
          <w:lang w:eastAsia="cs-CZ"/>
        </w:rPr>
        <w:t>vytvářená dodava</w:t>
      </w:r>
      <w:r w:rsidRPr="005E313B">
        <w:rPr>
          <w:rFonts w:ascii="NettoPro" w:eastAsia="Times New Roman" w:hAnsi="NettoPro" w:cs="NettoPro"/>
          <w:color w:val="auto"/>
          <w:sz w:val="18"/>
          <w:szCs w:val="18"/>
          <w:lang w:eastAsia="cs-CZ"/>
        </w:rPr>
        <w:softHyphen/>
        <w:t>telem na základě monitorování mediálních titulů, k níž dodavatel pos</w:t>
      </w:r>
      <w:r w:rsidRPr="005E313B">
        <w:rPr>
          <w:rFonts w:ascii="NettoPro" w:eastAsia="Times New Roman" w:hAnsi="NettoPro" w:cs="NettoPro"/>
          <w:color w:val="auto"/>
          <w:sz w:val="18"/>
          <w:szCs w:val="18"/>
          <w:lang w:eastAsia="cs-CZ"/>
        </w:rPr>
        <w:softHyphen/>
        <w:t>kytuje odběrateli přís</w:t>
      </w:r>
      <w:r w:rsidRPr="005E313B">
        <w:rPr>
          <w:rFonts w:ascii="NettoPro" w:eastAsia="Times New Roman" w:hAnsi="NettoPro" w:cs="NettoPro"/>
          <w:color w:val="auto"/>
          <w:sz w:val="18"/>
          <w:szCs w:val="18"/>
          <w:lang w:eastAsia="cs-CZ"/>
        </w:rPr>
        <w:softHyphen/>
        <w:t>tup v sou</w:t>
      </w:r>
      <w:r w:rsidRPr="005E313B">
        <w:rPr>
          <w:rFonts w:ascii="NettoPro" w:eastAsia="Times New Roman" w:hAnsi="NettoPro" w:cs="NettoPro"/>
          <w:color w:val="auto"/>
          <w:sz w:val="18"/>
          <w:szCs w:val="18"/>
          <w:lang w:eastAsia="cs-CZ"/>
        </w:rPr>
        <w:softHyphen/>
        <w:t>ladu s požadavky odběrate</w:t>
      </w:r>
      <w:r w:rsidRPr="005E313B">
        <w:rPr>
          <w:rFonts w:ascii="NettoPro" w:eastAsia="Times New Roman" w:hAnsi="NettoPro" w:cs="NettoPro"/>
          <w:color w:val="auto"/>
          <w:sz w:val="18"/>
          <w:szCs w:val="18"/>
          <w:lang w:eastAsia="cs-CZ"/>
        </w:rPr>
        <w:softHyphen/>
        <w:t>le defi</w:t>
      </w:r>
      <w:r w:rsidRPr="005E313B">
        <w:rPr>
          <w:rFonts w:ascii="NettoPro" w:eastAsia="Times New Roman" w:hAnsi="NettoPro" w:cs="NettoPro"/>
          <w:color w:val="auto"/>
          <w:sz w:val="18"/>
          <w:szCs w:val="18"/>
          <w:lang w:eastAsia="cs-CZ"/>
        </w:rPr>
        <w:softHyphen/>
        <w:t>nova</w:t>
      </w:r>
      <w:r w:rsidRPr="005E313B">
        <w:rPr>
          <w:rFonts w:ascii="NettoPro" w:eastAsia="Times New Roman" w:hAnsi="NettoPro" w:cs="NettoPro"/>
          <w:color w:val="auto"/>
          <w:sz w:val="18"/>
          <w:szCs w:val="18"/>
          <w:lang w:eastAsia="cs-CZ"/>
        </w:rPr>
        <w:softHyphen/>
        <w:t>nými ve smlouvě;</w:t>
      </w:r>
    </w:p>
    <w:p w14:paraId="1B336749" w14:textId="77777777"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Výsledek</w:t>
      </w:r>
      <w:r w:rsidRPr="005E313B">
        <w:rPr>
          <w:rFonts w:ascii="NettoPro" w:eastAsia="Times New Roman" w:hAnsi="NettoPro" w:cs="NettoPro"/>
          <w:color w:val="auto"/>
          <w:sz w:val="18"/>
          <w:szCs w:val="18"/>
          <w:lang w:eastAsia="cs-CZ"/>
        </w:rPr>
        <w:t>“ jsou informace získané odběratelem na základě jeho přístupu do databáze;</w:t>
      </w:r>
    </w:p>
    <w:p w14:paraId="1E0E28C6" w14:textId="456048C6" w:rsidR="008D0628" w:rsidRPr="005E313B" w:rsidRDefault="008D0628" w:rsidP="00A12C55">
      <w:pPr>
        <w:numPr>
          <w:ilvl w:val="2"/>
          <w:numId w:val="2"/>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Výstup</w:t>
      </w:r>
      <w:r w:rsidRPr="005E313B">
        <w:rPr>
          <w:rFonts w:ascii="NettoPro" w:eastAsia="Times New Roman" w:hAnsi="NettoPro" w:cs="NettoPro"/>
          <w:color w:val="auto"/>
          <w:sz w:val="18"/>
          <w:szCs w:val="18"/>
          <w:lang w:eastAsia="cs-CZ"/>
        </w:rPr>
        <w:t xml:space="preserve">“ je dodavatelem odběrateli dodaný MONITORING ZPRÁV, a/nebo MONITORING SOCIÁLNÍCH </w:t>
      </w:r>
      <w:r w:rsidR="00313D5C" w:rsidRPr="005E313B">
        <w:rPr>
          <w:rFonts w:ascii="NettoPro" w:eastAsia="Times New Roman" w:hAnsi="NettoPro" w:cs="NettoPro"/>
          <w:color w:val="auto"/>
          <w:sz w:val="18"/>
          <w:szCs w:val="18"/>
          <w:lang w:eastAsia="cs-CZ"/>
        </w:rPr>
        <w:t>MÉDIÍ</w:t>
      </w:r>
      <w:r w:rsidRPr="005E313B">
        <w:rPr>
          <w:rFonts w:ascii="NettoPro" w:eastAsia="Times New Roman" w:hAnsi="NettoPro" w:cs="NettoPro"/>
          <w:color w:val="auto"/>
          <w:sz w:val="18"/>
          <w:szCs w:val="18"/>
          <w:lang w:eastAsia="cs-CZ"/>
        </w:rPr>
        <w:t>, a/nebo MONITORING INZERCE A REKLAMY, a/nebo ANALÝZA MÉDIÍ</w:t>
      </w:r>
      <w:r w:rsidR="001B7357" w:rsidRPr="005E313B">
        <w:rPr>
          <w:rFonts w:ascii="NettoPro" w:eastAsia="Times New Roman" w:hAnsi="NettoPro" w:cs="NettoPro"/>
          <w:color w:val="auto"/>
          <w:sz w:val="18"/>
          <w:szCs w:val="18"/>
          <w:lang w:eastAsia="cs-CZ"/>
        </w:rPr>
        <w:t>, a/nebo TVR ALERTS</w:t>
      </w:r>
      <w:r w:rsidRPr="005E313B">
        <w:rPr>
          <w:rFonts w:ascii="NettoPro" w:eastAsia="Times New Roman" w:hAnsi="NettoPro" w:cs="NettoPro"/>
          <w:color w:val="auto"/>
          <w:sz w:val="18"/>
          <w:szCs w:val="18"/>
          <w:lang w:eastAsia="cs-CZ"/>
        </w:rPr>
        <w:t xml:space="preserve"> </w:t>
      </w:r>
      <w:r w:rsidR="001B7357" w:rsidRPr="005E313B">
        <w:rPr>
          <w:rFonts w:ascii="NettoPro" w:eastAsia="Times New Roman" w:hAnsi="NettoPro" w:cs="NettoPro"/>
          <w:color w:val="auto"/>
          <w:sz w:val="18"/>
          <w:szCs w:val="18"/>
          <w:lang w:eastAsia="cs-CZ"/>
        </w:rPr>
        <w:t>a/</w:t>
      </w:r>
      <w:r w:rsidRPr="005E313B">
        <w:rPr>
          <w:rFonts w:ascii="NettoPro" w:eastAsia="Times New Roman" w:hAnsi="NettoPro" w:cs="NettoPro"/>
          <w:color w:val="auto"/>
          <w:sz w:val="18"/>
          <w:szCs w:val="18"/>
          <w:lang w:eastAsia="cs-CZ"/>
        </w:rPr>
        <w:t>nebo jiný soubor elektronických informací vytvářený dodavatelem nebo třetí osobou na základě monitorování mediálních titulů a dodávaný odběrateli v souladu s požadavky odběratele na jeho obsah a strukturu definovanými ve smlouvě;</w:t>
      </w:r>
    </w:p>
    <w:p w14:paraId="203EF1D3" w14:textId="77777777" w:rsidR="008D0628" w:rsidRPr="005E313B" w:rsidRDefault="008D0628" w:rsidP="00A12C55">
      <w:pPr>
        <w:numPr>
          <w:ilvl w:val="2"/>
          <w:numId w:val="2"/>
        </w:numPr>
        <w:autoSpaceDE/>
        <w:autoSpaceDN/>
        <w:adjustRightInd/>
        <w:spacing w:after="120" w:line="240" w:lineRule="auto"/>
        <w:jc w:val="both"/>
        <w:rPr>
          <w:rFonts w:ascii="NettoPro" w:eastAsia="Times New Roman" w:hAnsi="NettoPro" w:cs="NettoPro"/>
          <w:color w:val="auto"/>
          <w:sz w:val="18"/>
          <w:szCs w:val="18"/>
          <w:lang w:eastAsia="cs-CZ"/>
        </w:rPr>
      </w:pPr>
      <w:bookmarkStart w:id="5" w:name="_Ref253654411"/>
      <w:r w:rsidRPr="005E313B">
        <w:rPr>
          <w:rFonts w:ascii="NettoPro" w:eastAsia="Times New Roman" w:hAnsi="NettoPro" w:cs="NettoPro"/>
          <w:color w:val="auto"/>
          <w:sz w:val="18"/>
          <w:szCs w:val="18"/>
          <w:lang w:eastAsia="cs-CZ"/>
        </w:rPr>
        <w:t>„</w:t>
      </w:r>
      <w:r w:rsidRPr="005E313B">
        <w:rPr>
          <w:rFonts w:ascii="NettoPro" w:eastAsia="Times New Roman" w:hAnsi="NettoPro" w:cs="NettoPro"/>
          <w:b/>
          <w:color w:val="auto"/>
          <w:sz w:val="18"/>
          <w:szCs w:val="18"/>
          <w:lang w:eastAsia="cs-CZ"/>
        </w:rPr>
        <w:t>dodáním</w:t>
      </w:r>
      <w:r w:rsidRPr="005E313B">
        <w:rPr>
          <w:rFonts w:ascii="NettoPro" w:eastAsia="Times New Roman" w:hAnsi="NettoPro" w:cs="NettoPro"/>
          <w:color w:val="auto"/>
          <w:sz w:val="18"/>
          <w:szCs w:val="18"/>
          <w:lang w:eastAsia="cs-CZ"/>
        </w:rPr>
        <w:t>“ Výstupu se rozumí: (</w:t>
      </w:r>
      <w:r w:rsidRPr="005E313B">
        <w:rPr>
          <w:rFonts w:ascii="NettoPro" w:eastAsia="Times New Roman" w:hAnsi="NettoPro" w:cs="NettoPro"/>
          <w:b/>
          <w:color w:val="auto"/>
          <w:sz w:val="18"/>
          <w:szCs w:val="18"/>
          <w:lang w:eastAsia="cs-CZ"/>
        </w:rPr>
        <w:t>i</w:t>
      </w:r>
      <w:r w:rsidRPr="005E313B">
        <w:rPr>
          <w:rFonts w:ascii="NettoPro" w:eastAsia="Times New Roman" w:hAnsi="NettoPro" w:cs="NettoPro"/>
          <w:color w:val="auto"/>
          <w:sz w:val="18"/>
          <w:szCs w:val="18"/>
          <w:lang w:eastAsia="cs-CZ"/>
        </w:rPr>
        <w:t>) zpřístupnění prostřednictvím soft</w:t>
      </w:r>
      <w:r w:rsidRPr="005E313B">
        <w:rPr>
          <w:rFonts w:ascii="NettoPro" w:eastAsia="Times New Roman" w:hAnsi="NettoPro" w:cs="NettoPro"/>
          <w:color w:val="auto"/>
          <w:sz w:val="18"/>
          <w:szCs w:val="18"/>
          <w:lang w:eastAsia="cs-CZ"/>
        </w:rPr>
        <w:softHyphen/>
        <w:t>ware dodavatele specifikovaného ve smlouvě, který pro tento účel dodavatel poskytl odběrateli, a/nebo (</w:t>
      </w:r>
      <w:r w:rsidRPr="005E313B">
        <w:rPr>
          <w:rFonts w:ascii="NettoPro" w:eastAsia="Times New Roman" w:hAnsi="NettoPro" w:cs="NettoPro"/>
          <w:b/>
          <w:color w:val="auto"/>
          <w:sz w:val="18"/>
          <w:szCs w:val="18"/>
          <w:lang w:eastAsia="cs-CZ"/>
        </w:rPr>
        <w:t>ii</w:t>
      </w:r>
      <w:r w:rsidRPr="005E313B">
        <w:rPr>
          <w:rFonts w:ascii="NettoPro" w:eastAsia="Times New Roman" w:hAnsi="NettoPro" w:cs="NettoPro"/>
          <w:color w:val="auto"/>
          <w:sz w:val="18"/>
          <w:szCs w:val="18"/>
          <w:lang w:eastAsia="cs-CZ"/>
        </w:rPr>
        <w:t>) zpřístupnění prostřednic</w:t>
      </w:r>
      <w:r w:rsidRPr="005E313B">
        <w:rPr>
          <w:rFonts w:ascii="NettoPro" w:eastAsia="Times New Roman" w:hAnsi="NettoPro" w:cs="NettoPro"/>
          <w:color w:val="auto"/>
          <w:sz w:val="18"/>
          <w:szCs w:val="18"/>
          <w:lang w:eastAsia="cs-CZ"/>
        </w:rPr>
        <w:softHyphen/>
        <w:t>tvím inter</w:t>
      </w:r>
      <w:r w:rsidRPr="005E313B">
        <w:rPr>
          <w:rFonts w:ascii="NettoPro" w:eastAsia="Times New Roman" w:hAnsi="NettoPro" w:cs="NettoPro"/>
          <w:color w:val="auto"/>
          <w:sz w:val="18"/>
          <w:szCs w:val="18"/>
          <w:lang w:eastAsia="cs-CZ"/>
        </w:rPr>
        <w:softHyphen/>
        <w:t>netu na adrese specifiko</w:t>
      </w:r>
      <w:r w:rsidRPr="005E313B">
        <w:rPr>
          <w:rFonts w:ascii="NettoPro" w:eastAsia="Times New Roman" w:hAnsi="NettoPro" w:cs="NettoPro"/>
          <w:color w:val="auto"/>
          <w:sz w:val="18"/>
          <w:szCs w:val="18"/>
          <w:lang w:eastAsia="cs-CZ"/>
        </w:rPr>
        <w:softHyphen/>
        <w:t>va</w:t>
      </w:r>
      <w:r w:rsidRPr="005E313B">
        <w:rPr>
          <w:rFonts w:ascii="NettoPro" w:eastAsia="Times New Roman" w:hAnsi="NettoPro" w:cs="NettoPro"/>
          <w:color w:val="auto"/>
          <w:sz w:val="18"/>
          <w:szCs w:val="18"/>
          <w:lang w:eastAsia="cs-CZ"/>
        </w:rPr>
        <w:softHyphen/>
        <w:t>né ve smlouvě</w:t>
      </w:r>
      <w:r w:rsidR="001B7357" w:rsidRPr="005E313B">
        <w:rPr>
          <w:rFonts w:ascii="NettoPro" w:eastAsia="Times New Roman" w:hAnsi="NettoPro" w:cs="NettoPro"/>
          <w:color w:val="auto"/>
          <w:sz w:val="18"/>
          <w:szCs w:val="18"/>
          <w:lang w:eastAsia="cs-CZ"/>
        </w:rPr>
        <w:t xml:space="preserve"> a/nebo (</w:t>
      </w:r>
      <w:r w:rsidR="001B7357" w:rsidRPr="005E313B">
        <w:rPr>
          <w:rFonts w:ascii="NettoPro" w:eastAsia="Times New Roman" w:hAnsi="NettoPro" w:cs="NettoPro"/>
          <w:b/>
          <w:color w:val="auto"/>
          <w:sz w:val="18"/>
          <w:szCs w:val="18"/>
          <w:lang w:eastAsia="cs-CZ"/>
        </w:rPr>
        <w:t>iii</w:t>
      </w:r>
      <w:r w:rsidR="001B7357" w:rsidRPr="005E313B">
        <w:rPr>
          <w:rFonts w:ascii="NettoPro" w:eastAsia="Times New Roman" w:hAnsi="NettoPro" w:cs="NettoPro"/>
          <w:color w:val="auto"/>
          <w:sz w:val="18"/>
          <w:szCs w:val="18"/>
          <w:lang w:eastAsia="cs-CZ"/>
        </w:rPr>
        <w:t xml:space="preserve">) zpřístupněním </w:t>
      </w:r>
      <w:r w:rsidR="0054456A" w:rsidRPr="005E313B">
        <w:rPr>
          <w:rFonts w:ascii="NettoPro" w:eastAsia="Times New Roman" w:hAnsi="NettoPro" w:cs="NettoPro"/>
          <w:color w:val="auto"/>
          <w:sz w:val="18"/>
          <w:szCs w:val="18"/>
          <w:lang w:eastAsia="cs-CZ"/>
        </w:rPr>
        <w:t>prostřednic</w:t>
      </w:r>
      <w:r w:rsidR="0054456A" w:rsidRPr="005E313B">
        <w:rPr>
          <w:rFonts w:ascii="NettoPro" w:eastAsia="Times New Roman" w:hAnsi="NettoPro" w:cs="NettoPro"/>
          <w:color w:val="auto"/>
          <w:sz w:val="18"/>
          <w:szCs w:val="18"/>
          <w:lang w:eastAsia="cs-CZ"/>
        </w:rPr>
        <w:softHyphen/>
        <w:t xml:space="preserve">tvím </w:t>
      </w:r>
      <w:r w:rsidR="006E64AA" w:rsidRPr="005E313B">
        <w:rPr>
          <w:rFonts w:ascii="NettoPro" w:eastAsia="Times New Roman" w:hAnsi="NettoPro" w:cs="NettoPro"/>
          <w:color w:val="auto"/>
          <w:sz w:val="18"/>
          <w:szCs w:val="18"/>
          <w:lang w:eastAsia="cs-CZ"/>
        </w:rPr>
        <w:t>online</w:t>
      </w:r>
      <w:r w:rsidR="0054456A" w:rsidRPr="005E313B">
        <w:rPr>
          <w:rFonts w:ascii="NettoPro" w:eastAsia="Times New Roman" w:hAnsi="NettoPro" w:cs="NettoPro"/>
          <w:color w:val="auto"/>
          <w:sz w:val="18"/>
          <w:szCs w:val="18"/>
          <w:lang w:eastAsia="cs-CZ"/>
        </w:rPr>
        <w:t xml:space="preserve"> </w:t>
      </w:r>
      <w:r w:rsidR="005F74E7" w:rsidRPr="005E313B">
        <w:rPr>
          <w:rFonts w:ascii="NettoPro" w:eastAsia="Times New Roman" w:hAnsi="NettoPro" w:cs="NettoPro"/>
          <w:color w:val="auto"/>
          <w:sz w:val="18"/>
          <w:szCs w:val="18"/>
          <w:lang w:eastAsia="cs-CZ"/>
        </w:rPr>
        <w:t>aplikace</w:t>
      </w:r>
      <w:r w:rsidR="00627FB0" w:rsidRPr="005E313B">
        <w:rPr>
          <w:rFonts w:ascii="NettoPro" w:eastAsia="Times New Roman" w:hAnsi="NettoPro" w:cs="NettoPro"/>
          <w:color w:val="auto"/>
          <w:sz w:val="18"/>
          <w:szCs w:val="18"/>
          <w:lang w:eastAsia="cs-CZ"/>
        </w:rPr>
        <w:t xml:space="preserve"> NewtonOne </w:t>
      </w:r>
      <w:r w:rsidR="006D387D" w:rsidRPr="005E313B">
        <w:rPr>
          <w:rFonts w:ascii="NettoPro" w:eastAsia="Times New Roman" w:hAnsi="NettoPro" w:cs="NettoPro"/>
          <w:color w:val="auto"/>
          <w:sz w:val="18"/>
          <w:szCs w:val="18"/>
          <w:lang w:eastAsia="cs-CZ"/>
        </w:rPr>
        <w:t>dostupné</w:t>
      </w:r>
      <w:r w:rsidR="0054456A" w:rsidRPr="005E313B">
        <w:rPr>
          <w:rFonts w:ascii="NettoPro" w:eastAsia="Times New Roman" w:hAnsi="NettoPro" w:cs="NettoPro"/>
          <w:color w:val="auto"/>
          <w:sz w:val="18"/>
          <w:szCs w:val="18"/>
          <w:lang w:eastAsia="cs-CZ"/>
        </w:rPr>
        <w:t xml:space="preserve"> </w:t>
      </w:r>
      <w:r w:rsidR="00E06CB1" w:rsidRPr="005E313B">
        <w:rPr>
          <w:rFonts w:ascii="NettoPro" w:eastAsia="Times New Roman" w:hAnsi="NettoPro" w:cs="NettoPro"/>
          <w:color w:val="auto"/>
          <w:sz w:val="18"/>
          <w:szCs w:val="18"/>
          <w:lang w:eastAsia="cs-CZ"/>
        </w:rPr>
        <w:t xml:space="preserve">na adrese </w:t>
      </w:r>
      <w:r w:rsidR="0054456A" w:rsidRPr="005E313B">
        <w:rPr>
          <w:rFonts w:ascii="NettoPro" w:eastAsia="Times New Roman" w:hAnsi="NettoPro" w:cs="NettoPro"/>
          <w:color w:val="auto"/>
          <w:sz w:val="18"/>
          <w:szCs w:val="18"/>
          <w:lang w:eastAsia="cs-CZ"/>
        </w:rPr>
        <w:t>specifiko</w:t>
      </w:r>
      <w:r w:rsidR="0054456A" w:rsidRPr="005E313B">
        <w:rPr>
          <w:rFonts w:ascii="NettoPro" w:eastAsia="Times New Roman" w:hAnsi="NettoPro" w:cs="NettoPro"/>
          <w:color w:val="auto"/>
          <w:sz w:val="18"/>
          <w:szCs w:val="18"/>
          <w:lang w:eastAsia="cs-CZ"/>
        </w:rPr>
        <w:softHyphen/>
        <w:t>va</w:t>
      </w:r>
      <w:r w:rsidR="0054456A" w:rsidRPr="005E313B">
        <w:rPr>
          <w:rFonts w:ascii="NettoPro" w:eastAsia="Times New Roman" w:hAnsi="NettoPro" w:cs="NettoPro"/>
          <w:color w:val="auto"/>
          <w:sz w:val="18"/>
          <w:szCs w:val="18"/>
          <w:lang w:eastAsia="cs-CZ"/>
        </w:rPr>
        <w:softHyphen/>
        <w:t>né ve smlouvě</w:t>
      </w:r>
      <w:r w:rsidRPr="005E313B">
        <w:rPr>
          <w:rFonts w:ascii="NettoPro" w:eastAsia="Times New Roman" w:hAnsi="NettoPro" w:cs="NettoPro"/>
          <w:color w:val="auto"/>
          <w:sz w:val="18"/>
          <w:szCs w:val="18"/>
          <w:lang w:eastAsia="cs-CZ"/>
        </w:rPr>
        <w:t>; dodáním je i zaslání na e</w:t>
      </w:r>
      <w:r w:rsidRPr="005E313B">
        <w:rPr>
          <w:rFonts w:ascii="NettoPro" w:eastAsia="Times New Roman" w:hAnsi="NettoPro" w:cs="NettoPro"/>
          <w:color w:val="auto"/>
          <w:sz w:val="18"/>
          <w:szCs w:val="18"/>
          <w:lang w:eastAsia="cs-CZ"/>
        </w:rPr>
        <w:noBreakHyphen/>
        <w:t>mailovou adresu odběra</w:t>
      </w:r>
      <w:r w:rsidRPr="005E313B">
        <w:rPr>
          <w:rFonts w:ascii="NettoPro" w:eastAsia="Times New Roman" w:hAnsi="NettoPro" w:cs="NettoPro"/>
          <w:color w:val="auto"/>
          <w:sz w:val="18"/>
          <w:szCs w:val="18"/>
          <w:lang w:eastAsia="cs-CZ"/>
        </w:rPr>
        <w:softHyphen/>
        <w:t>tele nebo adresu sídla odběratele nebo jinou adresu odběratele, pokud to strany ve smlouvě výslovně sjednají.</w:t>
      </w:r>
      <w:bookmarkEnd w:id="5"/>
    </w:p>
    <w:p w14:paraId="29CFE07A"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PRÁVA A POVINNOSTI DODAVATELE</w:t>
      </w:r>
    </w:p>
    <w:p w14:paraId="26E38456"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se zavazuje plnit své závazky řádně a včas v souladu se smlouvou.</w:t>
      </w:r>
    </w:p>
    <w:p w14:paraId="01588CD2"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je odpovědný za to, že rozsah a podmínky plnění poskytovaného odběrateli jsou v souladu se smlouvou.</w:t>
      </w:r>
    </w:p>
    <w:p w14:paraId="3D1F02E5" w14:textId="75F28DA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69BEE448"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Dodavatel neodpovídá za prodlení s plněním smlouvy, pokud je způsobeno prodlením vydavatele, provozovatele rozhlasového či televizního vysílání, provozovatele </w:t>
      </w:r>
      <w:r w:rsidRPr="005E313B">
        <w:rPr>
          <w:rFonts w:ascii="NettoPro" w:eastAsia="Times New Roman" w:hAnsi="NettoPro" w:cs="NettoPro"/>
          <w:color w:val="auto"/>
          <w:sz w:val="18"/>
          <w:szCs w:val="18"/>
          <w:lang w:eastAsia="cs-CZ"/>
        </w:rPr>
        <w:t>příslušného webového serveru či jiného zdroje/poskytovatele mediálních titulů (dále jen „</w:t>
      </w:r>
      <w:r w:rsidRPr="005E313B">
        <w:rPr>
          <w:rFonts w:ascii="NettoPro" w:eastAsia="Times New Roman" w:hAnsi="NettoPro" w:cs="NettoPro"/>
          <w:b/>
          <w:color w:val="auto"/>
          <w:sz w:val="18"/>
          <w:szCs w:val="18"/>
          <w:lang w:eastAsia="cs-CZ"/>
        </w:rPr>
        <w:t>poskytovatel mediálního titulu</w:t>
      </w:r>
      <w:r w:rsidRPr="005E313B">
        <w:rPr>
          <w:rFonts w:ascii="NettoPro" w:eastAsia="Times New Roman" w:hAnsi="NettoPro" w:cs="NettoPro"/>
          <w:color w:val="auto"/>
          <w:sz w:val="18"/>
          <w:szCs w:val="18"/>
          <w:lang w:eastAsia="cs-CZ"/>
        </w:rPr>
        <w:t>“). Dodavatel neodpovídá za prodlení s plněním smlouvy ani v případě, je-li způsobeno vyšší mocí, za niž se považuje např. výpadek elektrického proudu, připojení k elektro</w:t>
      </w:r>
      <w:r w:rsidRPr="005E313B">
        <w:rPr>
          <w:rFonts w:ascii="NettoPro" w:eastAsia="Times New Roman" w:hAnsi="NettoPro" w:cs="NettoPro"/>
          <w:color w:val="auto"/>
          <w:sz w:val="18"/>
          <w:szCs w:val="18"/>
          <w:lang w:eastAsia="cs-CZ"/>
        </w:rPr>
        <w:softHyphen/>
        <w:t>nic</w:t>
      </w:r>
      <w:r w:rsidRPr="005E313B">
        <w:rPr>
          <w:rFonts w:ascii="NettoPro" w:eastAsia="Times New Roman" w:hAnsi="NettoPro" w:cs="NettoPro"/>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14:paraId="5B488256"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07BCF177"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76881BFF"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5E313B">
        <w:rPr>
          <w:rFonts w:ascii="NettoPro" w:eastAsia="Times New Roman" w:hAnsi="NettoPro" w:cs="NettoPro"/>
          <w:b/>
          <w:color w:val="auto"/>
          <w:sz w:val="18"/>
          <w:szCs w:val="18"/>
          <w:lang w:eastAsia="cs-CZ"/>
        </w:rPr>
        <w:t>ČTK</w:t>
      </w:r>
      <w:r w:rsidRPr="005E313B">
        <w:rPr>
          <w:rFonts w:ascii="NettoPro" w:eastAsia="Times New Roman" w:hAnsi="NettoPro" w:cs="NettoPro"/>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6" w:name="_Ref252253326"/>
    </w:p>
    <w:p w14:paraId="5EA70790"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Je-li předmětem smlouvy dodávání Výstupů zpravodajství TNbiz.cz převzatých ze společnosti CET 21 spol. s r.o., IČ: 45800456 (dále jen „</w:t>
      </w:r>
      <w:r w:rsidRPr="005E313B">
        <w:rPr>
          <w:rFonts w:ascii="NettoPro" w:eastAsia="Times New Roman" w:hAnsi="NettoPro" w:cs="NettoPro"/>
          <w:b/>
          <w:bCs/>
          <w:color w:val="auto"/>
          <w:sz w:val="18"/>
          <w:szCs w:val="18"/>
          <w:lang w:eastAsia="cs-CZ"/>
        </w:rPr>
        <w:t>CET 21</w:t>
      </w:r>
      <w:r w:rsidRPr="005E313B">
        <w:rPr>
          <w:rFonts w:ascii="NettoPro" w:eastAsia="Times New Roman" w:hAnsi="NettoPro" w:cs="NettoPro"/>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48D9F7F4"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Dodavatel je ve výjimečných případech oprávněn písemným oznámením (vč. prostředků el. komunikace)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w:t>
      </w:r>
      <w:r w:rsidRPr="005E313B">
        <w:rPr>
          <w:rFonts w:ascii="NettoPro" w:eastAsia="Times New Roman" w:hAnsi="NettoPro" w:cs="NettoPro"/>
          <w:color w:val="auto"/>
          <w:sz w:val="18"/>
          <w:szCs w:val="18"/>
          <w:lang w:eastAsia="cs-CZ"/>
        </w:rPr>
        <w:lastRenderedPageBreak/>
        <w:t>s nimiž nelze s ohledem na práva třetích osob dále nakládat.</w:t>
      </w:r>
      <w:bookmarkEnd w:id="6"/>
    </w:p>
    <w:p w14:paraId="6D0A20E8"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PRÁVA A POVINNOSTI ODBĚRATELE</w:t>
      </w:r>
    </w:p>
    <w:p w14:paraId="389D593F"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se zavazuje plnit své závazky řádně a včas v souladu se smlouvou.</w:t>
      </w:r>
    </w:p>
    <w:p w14:paraId="07758E32"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3DCD28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14:paraId="09847D80"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se zavazuje, že bude chránit obsah Výstupů a/nebo Výsledků a/nebo dat před neoprávněným užitím ze strany třetích osob.</w:t>
      </w:r>
    </w:p>
    <w:p w14:paraId="3ACF5AC9"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5E313B">
        <w:rPr>
          <w:rFonts w:ascii="NettoPro" w:eastAsia="Times New Roman" w:hAnsi="NettoPro" w:cs="NettoPro"/>
          <w:b/>
          <w:color w:val="auto"/>
          <w:sz w:val="18"/>
          <w:szCs w:val="18"/>
          <w:lang w:eastAsia="cs-CZ"/>
        </w:rPr>
        <w:t>„autorský zákon“</w:t>
      </w:r>
      <w:r w:rsidRPr="005E313B">
        <w:rPr>
          <w:rFonts w:ascii="NettoPro" w:eastAsia="Times New Roman" w:hAnsi="NettoPro" w:cs="NettoPro"/>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3FDAAF34"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w:t>
      </w:r>
      <w:r w:rsidRPr="005E313B">
        <w:rPr>
          <w:rFonts w:ascii="NettoPro" w:eastAsia="Times New Roman" w:hAnsi="NettoPro" w:cs="NettoPro"/>
          <w:color w:val="auto"/>
          <w:sz w:val="18"/>
          <w:szCs w:val="18"/>
          <w:lang w:eastAsia="cs-CZ"/>
        </w:rPr>
        <w:t>partnera těchto třetích stran, přičemž taková škoda pak jde k tíži odběratele.</w:t>
      </w:r>
    </w:p>
    <w:p w14:paraId="43804418"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Odběratel může v případě nedodání Výstupu nebo dat v souladu se smlouvou požádat dodavatele e-mailem na elektronickou adresu: </w:t>
      </w:r>
      <w:r w:rsidRPr="005E313B">
        <w:rPr>
          <w:rFonts w:ascii="NettoPro" w:eastAsia="Times New Roman" w:hAnsi="NettoPro" w:cs="NettoPro"/>
          <w:b/>
          <w:color w:val="auto"/>
          <w:sz w:val="18"/>
          <w:szCs w:val="18"/>
          <w:lang w:eastAsia="cs-CZ"/>
        </w:rPr>
        <w:t>obchodni@newtonmedia.cz</w:t>
      </w:r>
      <w:r w:rsidRPr="005E313B">
        <w:rPr>
          <w:rFonts w:ascii="NettoPro" w:eastAsia="Times New Roman" w:hAnsi="NettoPro" w:cs="NettoPro"/>
          <w:color w:val="auto"/>
          <w:sz w:val="18"/>
          <w:szCs w:val="18"/>
          <w:lang w:eastAsia="cs-CZ"/>
        </w:rPr>
        <w:t xml:space="preserve"> o opa</w:t>
      </w:r>
      <w:r w:rsidRPr="005E313B">
        <w:rPr>
          <w:rFonts w:ascii="NettoPro" w:eastAsia="Times New Roman" w:hAnsi="NettoPro" w:cs="NettoPro"/>
          <w:color w:val="auto"/>
          <w:sz w:val="18"/>
          <w:szCs w:val="18"/>
          <w:lang w:eastAsia="cs-CZ"/>
        </w:rPr>
        <w:softHyphen/>
        <w:t>ko</w:t>
      </w:r>
      <w:r w:rsidRPr="005E313B">
        <w:rPr>
          <w:rFonts w:ascii="NettoPro" w:eastAsia="Times New Roman" w:hAnsi="NettoPro" w:cs="NettoPro"/>
          <w:color w:val="auto"/>
          <w:sz w:val="18"/>
          <w:szCs w:val="18"/>
          <w:lang w:eastAsia="cs-CZ"/>
        </w:rPr>
        <w:softHyphen/>
        <w:t>va</w:t>
      </w:r>
      <w:r w:rsidRPr="005E313B">
        <w:rPr>
          <w:rFonts w:ascii="NettoPro" w:eastAsia="Times New Roman" w:hAnsi="NettoPro" w:cs="NettoPro"/>
          <w:color w:val="auto"/>
          <w:sz w:val="18"/>
          <w:szCs w:val="18"/>
          <w:lang w:eastAsia="cs-CZ"/>
        </w:rPr>
        <w:softHyphen/>
        <w:t>né dodání Výstupu nebo dat. Pokud dodavatel neobdrží výzvu k opakovanému dodání Výstupu nebo dat dat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2AC11D45"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4D8C9DA8"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ZMĚNY ROZSAHU MEDIÁLNÍCH TITULŮ</w:t>
      </w:r>
      <w:bookmarkStart w:id="7" w:name="_Ref252197053"/>
    </w:p>
    <w:p w14:paraId="26891BB6"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8" w:name="_Ref252368515"/>
      <w:r w:rsidRPr="005E313B">
        <w:rPr>
          <w:rFonts w:ascii="NettoPro" w:eastAsia="Times New Roman" w:hAnsi="NettoPro" w:cs="NettoPro"/>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7"/>
      <w:bookmarkEnd w:id="8"/>
    </w:p>
    <w:p w14:paraId="74F8DB3F" w14:textId="1427570F"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V případě, že dojde k takové změně rozsahu mediálních titulů dle odst. </w:t>
      </w:r>
      <w:r w:rsidRPr="005E313B">
        <w:rPr>
          <w:rFonts w:ascii="NettoPro" w:eastAsia="Times New Roman" w:hAnsi="NettoPro" w:cs="NettoPro"/>
          <w:color w:val="auto"/>
          <w:sz w:val="22"/>
          <w:szCs w:val="24"/>
          <w:lang w:eastAsia="cs-CZ"/>
        </w:rPr>
        <w:fldChar w:fldCharType="begin"/>
      </w:r>
      <w:r w:rsidRPr="005E313B">
        <w:rPr>
          <w:rFonts w:ascii="NettoPro" w:eastAsia="Times New Roman" w:hAnsi="NettoPro" w:cs="NettoPro"/>
          <w:color w:val="auto"/>
          <w:sz w:val="22"/>
          <w:szCs w:val="24"/>
          <w:lang w:eastAsia="cs-CZ"/>
        </w:rPr>
        <w:instrText xml:space="preserve"> REF _Ref252368515 \r \h  \* MERGEFORMAT </w:instrText>
      </w:r>
      <w:r w:rsidRPr="005E313B">
        <w:rPr>
          <w:rFonts w:ascii="NettoPro" w:eastAsia="Times New Roman" w:hAnsi="NettoPro" w:cs="NettoPro"/>
          <w:color w:val="auto"/>
          <w:sz w:val="22"/>
          <w:szCs w:val="24"/>
          <w:lang w:eastAsia="cs-CZ"/>
        </w:rPr>
      </w:r>
      <w:r w:rsidRPr="005E313B">
        <w:rPr>
          <w:rFonts w:ascii="NettoPro" w:eastAsia="Times New Roman" w:hAnsi="NettoPro" w:cs="NettoPro"/>
          <w:color w:val="auto"/>
          <w:sz w:val="22"/>
          <w:szCs w:val="24"/>
          <w:lang w:eastAsia="cs-CZ"/>
        </w:rPr>
        <w:fldChar w:fldCharType="separate"/>
      </w:r>
      <w:r w:rsidR="005A533C" w:rsidRPr="005A533C">
        <w:rPr>
          <w:rFonts w:ascii="NettoPro" w:eastAsia="Times New Roman" w:hAnsi="NettoPro" w:cs="NettoPro"/>
          <w:color w:val="auto"/>
          <w:sz w:val="18"/>
          <w:szCs w:val="18"/>
          <w:lang w:eastAsia="cs-CZ"/>
        </w:rPr>
        <w:t>5.1</w:t>
      </w:r>
      <w:r w:rsidRPr="005E313B">
        <w:rPr>
          <w:rFonts w:ascii="NettoPro" w:eastAsia="Times New Roman" w:hAnsi="NettoPro" w:cs="NettoPro"/>
          <w:color w:val="auto"/>
          <w:sz w:val="22"/>
          <w:szCs w:val="24"/>
          <w:lang w:eastAsia="cs-CZ"/>
        </w:rPr>
        <w:fldChar w:fldCharType="end"/>
      </w:r>
      <w:r w:rsidRPr="005E313B">
        <w:rPr>
          <w:rFonts w:ascii="NettoPro" w:eastAsia="Times New Roman" w:hAnsi="NettoPro" w:cs="NettoPro"/>
          <w:color w:val="auto"/>
          <w:sz w:val="18"/>
          <w:szCs w:val="18"/>
          <w:lang w:eastAsia="cs-CZ"/>
        </w:rPr>
        <w:t>, která nemá zásadní dopad na vypovídací hodnotu produktu dodavatele (dále jen „</w:t>
      </w:r>
      <w:r w:rsidRPr="005E313B">
        <w:rPr>
          <w:rFonts w:ascii="NettoPro" w:eastAsia="Times New Roman" w:hAnsi="NettoPro" w:cs="NettoPro"/>
          <w:b/>
          <w:color w:val="auto"/>
          <w:sz w:val="18"/>
          <w:szCs w:val="18"/>
          <w:lang w:eastAsia="cs-CZ"/>
        </w:rPr>
        <w:t>nepodstatné kvantitativní změny</w:t>
      </w:r>
      <w:r w:rsidRPr="005E313B">
        <w:rPr>
          <w:rFonts w:ascii="NettoPro" w:eastAsia="Times New Roman" w:hAnsi="NettoPro" w:cs="NettoPro"/>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0A0000B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3D274311"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ODMĚNA A PLATEBNÍ PODMÍNKY</w:t>
      </w:r>
    </w:p>
    <w:p w14:paraId="2644C8EE"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Není-li ve smlouvě uvedeno jinak, je odměna uvedena vždy bez příslušné daně z přidané hodnoty (dále jen „</w:t>
      </w:r>
      <w:r w:rsidRPr="005E313B">
        <w:rPr>
          <w:rFonts w:ascii="NettoPro" w:eastAsia="Times New Roman" w:hAnsi="NettoPro" w:cs="NettoPro"/>
          <w:b/>
          <w:color w:val="auto"/>
          <w:sz w:val="18"/>
          <w:szCs w:val="18"/>
          <w:lang w:eastAsia="cs-CZ"/>
        </w:rPr>
        <w:t>DPH</w:t>
      </w:r>
      <w:r w:rsidRPr="005E313B">
        <w:rPr>
          <w:rFonts w:ascii="NettoPro" w:eastAsia="Times New Roman" w:hAnsi="NettoPro" w:cs="NettoPro"/>
          <w:color w:val="auto"/>
          <w:sz w:val="18"/>
          <w:szCs w:val="18"/>
          <w:lang w:eastAsia="cs-CZ"/>
        </w:rPr>
        <w:t xml:space="preserve">“). Odměna je splatná ve výši specifikované ve smlouvě spolu s příslušnou sazbou DPH na účet dodavatele na základě daňového dokladu vystaveného dodavatelem. Daňový doklad musí splňovat náležitosti dané ustanovením § 29 </w:t>
      </w:r>
      <w:r w:rsidRPr="005E313B">
        <w:rPr>
          <w:rFonts w:ascii="NettoPro" w:eastAsia="Times New Roman" w:hAnsi="NettoPro" w:cs="NettoPro"/>
          <w:color w:val="auto"/>
          <w:sz w:val="18"/>
          <w:szCs w:val="18"/>
          <w:lang w:eastAsia="cs-CZ"/>
        </w:rPr>
        <w:lastRenderedPageBreak/>
        <w:t>zákona č. 235/2004 Sb., o dani z přidané hodnoty, ve znění pozdějších předpisů.</w:t>
      </w:r>
    </w:p>
    <w:p w14:paraId="37DD1F90"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9" w:name="_Ref252203994"/>
      <w:r w:rsidRPr="005E313B">
        <w:rPr>
          <w:rFonts w:ascii="NettoPro" w:eastAsia="Times New Roman" w:hAnsi="NettoPro" w:cs="NettoPro"/>
          <w:color w:val="auto"/>
          <w:sz w:val="18"/>
          <w:szCs w:val="18"/>
          <w:lang w:eastAsia="cs-CZ"/>
        </w:rPr>
        <w:t>Splatnost odměny je čtrnáct (14) dnů ode dne doručení daňového dokladu odběrateli.</w:t>
      </w:r>
      <w:bookmarkEnd w:id="9"/>
    </w:p>
    <w:p w14:paraId="3910ADA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4FE1DCEB" w14:textId="376D6C09"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r w:rsidR="00C02CDA" w:rsidRPr="005E313B">
        <w:rPr>
          <w:rFonts w:ascii="NettoPro" w:eastAsia="Times New Roman" w:hAnsi="NettoPro" w:cs="NettoPro"/>
          <w:color w:val="auto"/>
          <w:sz w:val="18"/>
          <w:szCs w:val="18"/>
          <w:lang w:eastAsia="cs-CZ"/>
        </w:rPr>
        <w:t xml:space="preserve"> Smluvní strany pro vyloučení všech pochybností souhlasí s tím, že v případě záporné míry inflace se odměna dodavatele nesnižuje.</w:t>
      </w:r>
    </w:p>
    <w:p w14:paraId="26E4FEA3"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3A096FD5"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OBCHODNÍ TAJEMSTVÍ A DŮVĚRNÉ INFORMACE</w:t>
      </w:r>
    </w:p>
    <w:p w14:paraId="17141633"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78A45181"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Za důvěrné informace se považují všechny informace, která jedna ze stran jako důvěrné označí.</w:t>
      </w:r>
    </w:p>
    <w:p w14:paraId="52D7BDCB"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3998FF5F"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Obě smluvní strany se zavazují chránit důvěrné informace, které jim byly poskytnuty druhou stranou nebo je jinak získaly v souvislosti s plněním smlouvy, nejméně ve </w:t>
      </w:r>
      <w:r w:rsidRPr="005E313B">
        <w:rPr>
          <w:rFonts w:ascii="NettoPro" w:eastAsia="Times New Roman" w:hAnsi="NettoPro" w:cs="NettoPro"/>
          <w:color w:val="auto"/>
          <w:sz w:val="18"/>
          <w:szCs w:val="18"/>
          <w:lang w:eastAsia="cs-CZ"/>
        </w:rPr>
        <w:t>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D89A532"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64934627"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ŘEŠENÍ SPORŮ</w:t>
      </w:r>
    </w:p>
    <w:p w14:paraId="00F741F4"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14:paraId="28A9E3D1"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KONTAKTNÍ OSOBY</w:t>
      </w:r>
    </w:p>
    <w:p w14:paraId="189588EB" w14:textId="72B91FF3"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Smluvní strany jmenují kontaktní osobu, popř. jednoho či více zástupců kontaktní osoby (dále jen „</w:t>
      </w:r>
      <w:r w:rsidRPr="005E313B">
        <w:rPr>
          <w:rFonts w:ascii="NettoPro" w:eastAsia="Times New Roman" w:hAnsi="NettoPro" w:cs="NettoPro"/>
          <w:b/>
          <w:color w:val="auto"/>
          <w:sz w:val="18"/>
          <w:szCs w:val="18"/>
          <w:lang w:eastAsia="cs-CZ"/>
        </w:rPr>
        <w:t>kontaktní osoby</w:t>
      </w:r>
      <w:r w:rsidRPr="005E313B">
        <w:rPr>
          <w:rFonts w:ascii="NettoPro" w:eastAsia="Times New Roman" w:hAnsi="NettoPro" w:cs="NettoPro"/>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r w:rsidRPr="005E313B">
        <w:rPr>
          <w:rFonts w:ascii="NettoPro" w:eastAsia="Times New Roman" w:hAnsi="NettoPro" w:cs="NettoPro"/>
          <w:color w:val="auto"/>
          <w:sz w:val="22"/>
          <w:szCs w:val="24"/>
          <w:lang w:eastAsia="cs-CZ"/>
        </w:rPr>
        <w:fldChar w:fldCharType="begin"/>
      </w:r>
      <w:r w:rsidRPr="005E313B">
        <w:rPr>
          <w:rFonts w:ascii="NettoPro" w:eastAsia="Times New Roman" w:hAnsi="NettoPro" w:cs="NettoPro"/>
          <w:color w:val="auto"/>
          <w:sz w:val="22"/>
          <w:szCs w:val="24"/>
          <w:lang w:eastAsia="cs-CZ"/>
        </w:rPr>
        <w:instrText xml:space="preserve"> REF _Ref254948681 \r \h  \* MERGEFORMAT </w:instrText>
      </w:r>
      <w:r w:rsidRPr="005E313B">
        <w:rPr>
          <w:rFonts w:ascii="NettoPro" w:eastAsia="Times New Roman" w:hAnsi="NettoPro" w:cs="NettoPro"/>
          <w:color w:val="auto"/>
          <w:sz w:val="22"/>
          <w:szCs w:val="24"/>
          <w:lang w:eastAsia="cs-CZ"/>
        </w:rPr>
      </w:r>
      <w:r w:rsidRPr="005E313B">
        <w:rPr>
          <w:rFonts w:ascii="NettoPro" w:eastAsia="Times New Roman" w:hAnsi="NettoPro" w:cs="NettoPro"/>
          <w:color w:val="auto"/>
          <w:sz w:val="22"/>
          <w:szCs w:val="24"/>
          <w:lang w:eastAsia="cs-CZ"/>
        </w:rPr>
        <w:fldChar w:fldCharType="separate"/>
      </w:r>
      <w:r w:rsidR="005A533C" w:rsidRPr="005A533C">
        <w:rPr>
          <w:rFonts w:ascii="NettoPro" w:eastAsia="Times New Roman" w:hAnsi="NettoPro" w:cs="NettoPro"/>
          <w:color w:val="auto"/>
          <w:sz w:val="18"/>
          <w:szCs w:val="18"/>
          <w:lang w:eastAsia="cs-CZ"/>
        </w:rPr>
        <w:t>1.3</w:t>
      </w:r>
      <w:r w:rsidRPr="005E313B">
        <w:rPr>
          <w:rFonts w:ascii="NettoPro" w:eastAsia="Times New Roman" w:hAnsi="NettoPro" w:cs="NettoPro"/>
          <w:color w:val="auto"/>
          <w:sz w:val="22"/>
          <w:szCs w:val="24"/>
          <w:lang w:eastAsia="cs-CZ"/>
        </w:rPr>
        <w:fldChar w:fldCharType="end"/>
      </w:r>
      <w:r w:rsidRPr="005E313B">
        <w:rPr>
          <w:rFonts w:ascii="NettoPro" w:eastAsia="Times New Roman" w:hAnsi="NettoPro" w:cs="NettoPro"/>
          <w:color w:val="auto"/>
          <w:sz w:val="22"/>
          <w:szCs w:val="24"/>
          <w:lang w:eastAsia="cs-CZ"/>
        </w:rPr>
        <w:t xml:space="preserve"> </w:t>
      </w:r>
      <w:r w:rsidRPr="005E313B">
        <w:rPr>
          <w:rFonts w:ascii="NettoPro" w:eastAsia="Times New Roman" w:hAnsi="NettoPro" w:cs="NettoPro"/>
          <w:color w:val="auto"/>
          <w:sz w:val="18"/>
          <w:szCs w:val="18"/>
          <w:lang w:eastAsia="cs-CZ"/>
        </w:rPr>
        <w:t>těchto Podmínek</w:t>
      </w:r>
      <w:r w:rsidRPr="005E313B">
        <w:rPr>
          <w:rFonts w:ascii="NettoPro" w:eastAsia="Times New Roman" w:hAnsi="NettoPro" w:cs="NettoPro"/>
          <w:color w:val="auto"/>
          <w:sz w:val="22"/>
          <w:szCs w:val="24"/>
          <w:lang w:eastAsia="cs-CZ"/>
        </w:rPr>
        <w:t xml:space="preserve"> </w:t>
      </w:r>
      <w:r w:rsidRPr="005E313B">
        <w:rPr>
          <w:rFonts w:ascii="NettoPro" w:eastAsia="Times New Roman" w:hAnsi="NettoPro" w:cs="NettoPro"/>
          <w:color w:val="auto"/>
          <w:sz w:val="18"/>
          <w:szCs w:val="18"/>
          <w:lang w:eastAsia="cs-CZ"/>
        </w:rPr>
        <w:t>má na starosti kontaktní osoba, která je uvedena v příslušné objednávce.</w:t>
      </w:r>
    </w:p>
    <w:p w14:paraId="3BB262FF"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458C94A2"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Jména kontaktních osob jsou uvedena v příloze smlouvy.</w:t>
      </w:r>
    </w:p>
    <w:p w14:paraId="3D2EF1A7"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Smluvní strany jsou oprávněny jednostranně změnit kontaktní osoby. Tato změna je účinná ode dne doručení oznámení o změně druhé smluvní straně.</w:t>
      </w:r>
    </w:p>
    <w:p w14:paraId="4CF97599"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TRVÁNÍ SMLUVNÍHO VZTAHU</w:t>
      </w:r>
    </w:p>
    <w:p w14:paraId="192157EF"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Smlouva se uzavírá na dobu uvedenou ve smlouvě. Není-li ve smlouvě uvedeno jinak, je smlouva uzavřená na dobu neurčitou.</w:t>
      </w:r>
    </w:p>
    <w:p w14:paraId="2F372E23" w14:textId="2226B66B"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Smlouvu </w:t>
      </w:r>
      <w:r w:rsidR="00531A82" w:rsidRPr="005E313B">
        <w:rPr>
          <w:rFonts w:ascii="NettoPro" w:eastAsia="Times New Roman" w:hAnsi="NettoPro" w:cs="NettoPro"/>
          <w:color w:val="auto"/>
          <w:sz w:val="18"/>
          <w:szCs w:val="18"/>
          <w:lang w:eastAsia="cs-CZ"/>
        </w:rPr>
        <w:t xml:space="preserve">uzavřenou na dobu neurčitou </w:t>
      </w:r>
      <w:r w:rsidRPr="005E313B">
        <w:rPr>
          <w:rFonts w:ascii="NettoPro" w:eastAsia="Times New Roman" w:hAnsi="NettoPro" w:cs="NettoPro"/>
          <w:color w:val="auto"/>
          <w:sz w:val="18"/>
          <w:szCs w:val="18"/>
          <w:lang w:eastAsia="cs-CZ"/>
        </w:rPr>
        <w:t xml:space="preserve">může kterákoliv ze smluvních stran písemně vypovědět. Výpovědní lhůta je </w:t>
      </w:r>
      <w:r w:rsidR="00531A82" w:rsidRPr="005E313B">
        <w:rPr>
          <w:rFonts w:ascii="NettoPro" w:eastAsia="Times New Roman" w:hAnsi="NettoPro" w:cs="NettoPro"/>
          <w:color w:val="auto"/>
          <w:sz w:val="18"/>
          <w:szCs w:val="18"/>
          <w:lang w:eastAsia="cs-CZ"/>
        </w:rPr>
        <w:t xml:space="preserve">v takovém případě </w:t>
      </w:r>
      <w:r w:rsidRPr="005E313B">
        <w:rPr>
          <w:rFonts w:ascii="NettoPro" w:eastAsia="Times New Roman" w:hAnsi="NettoPro" w:cs="NettoPro"/>
          <w:color w:val="auto"/>
          <w:sz w:val="18"/>
          <w:szCs w:val="18"/>
          <w:lang w:eastAsia="cs-CZ"/>
        </w:rPr>
        <w:t>dvouměsíční a počíná běžet prvního (1.) dne kalendářního měsíce následujícího po doručení výpovědi druhé smluvní straně.</w:t>
      </w:r>
    </w:p>
    <w:p w14:paraId="72F1C509" w14:textId="32A092B5"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 xml:space="preserve">Je-li v objednávce ve smyslu odst. </w:t>
      </w:r>
      <w:r w:rsidRPr="005E313B">
        <w:rPr>
          <w:rFonts w:ascii="NettoPro" w:eastAsia="Times New Roman" w:hAnsi="NettoPro" w:cs="NettoPro"/>
          <w:color w:val="auto"/>
          <w:sz w:val="22"/>
          <w:szCs w:val="24"/>
          <w:lang w:eastAsia="cs-CZ"/>
        </w:rPr>
        <w:fldChar w:fldCharType="begin"/>
      </w:r>
      <w:r w:rsidRPr="005E313B">
        <w:rPr>
          <w:rFonts w:ascii="NettoPro" w:eastAsia="Times New Roman" w:hAnsi="NettoPro" w:cs="NettoPro"/>
          <w:color w:val="auto"/>
          <w:sz w:val="22"/>
          <w:szCs w:val="24"/>
          <w:lang w:eastAsia="cs-CZ"/>
        </w:rPr>
        <w:instrText xml:space="preserve"> REF _Ref254948681 \r \h  \* MERGEFORMAT </w:instrText>
      </w:r>
      <w:r w:rsidRPr="005E313B">
        <w:rPr>
          <w:rFonts w:ascii="NettoPro" w:eastAsia="Times New Roman" w:hAnsi="NettoPro" w:cs="NettoPro"/>
          <w:color w:val="auto"/>
          <w:sz w:val="22"/>
          <w:szCs w:val="24"/>
          <w:lang w:eastAsia="cs-CZ"/>
        </w:rPr>
      </w:r>
      <w:r w:rsidRPr="005E313B">
        <w:rPr>
          <w:rFonts w:ascii="NettoPro" w:eastAsia="Times New Roman" w:hAnsi="NettoPro" w:cs="NettoPro"/>
          <w:color w:val="auto"/>
          <w:sz w:val="22"/>
          <w:szCs w:val="24"/>
          <w:lang w:eastAsia="cs-CZ"/>
        </w:rPr>
        <w:fldChar w:fldCharType="separate"/>
      </w:r>
      <w:r w:rsidR="005A533C" w:rsidRPr="005A533C">
        <w:rPr>
          <w:rFonts w:ascii="NettoPro" w:eastAsia="Times New Roman" w:hAnsi="NettoPro" w:cs="NettoPro"/>
          <w:color w:val="auto"/>
          <w:sz w:val="18"/>
          <w:szCs w:val="18"/>
          <w:lang w:eastAsia="cs-CZ"/>
        </w:rPr>
        <w:t>1.3</w:t>
      </w:r>
      <w:r w:rsidRPr="005E313B">
        <w:rPr>
          <w:rFonts w:ascii="NettoPro" w:eastAsia="Times New Roman" w:hAnsi="NettoPro" w:cs="NettoPro"/>
          <w:color w:val="auto"/>
          <w:sz w:val="22"/>
          <w:szCs w:val="24"/>
          <w:lang w:eastAsia="cs-CZ"/>
        </w:rPr>
        <w:fldChar w:fldCharType="end"/>
      </w:r>
      <w:r w:rsidRPr="005E313B">
        <w:rPr>
          <w:rFonts w:ascii="NettoPro" w:eastAsia="Times New Roman" w:hAnsi="NettoPro" w:cs="NettoPro"/>
          <w:color w:val="auto"/>
          <w:sz w:val="18"/>
          <w:szCs w:val="18"/>
          <w:lang w:eastAsia="cs-CZ"/>
        </w:rPr>
        <w:t xml:space="preserve"> těchto Podmínek uvedeno, že se uzavírá do odvolání anebo není-li tam uveden žádný údaj ve smyslu tohoto ustanovení, jedná se o smlouvu uzavřenou na dobu neurčitou, kterou může </w:t>
      </w:r>
      <w:r w:rsidRPr="005E313B">
        <w:rPr>
          <w:rFonts w:ascii="NettoPro" w:eastAsia="Times New Roman" w:hAnsi="NettoPro" w:cs="NettoPro"/>
          <w:color w:val="auto"/>
          <w:sz w:val="18"/>
          <w:szCs w:val="18"/>
          <w:lang w:eastAsia="cs-CZ"/>
        </w:rPr>
        <w:lastRenderedPageBreak/>
        <w:t>kterákoliv ze smluvních stran vypovědět, a to výpovědí zaslanou druhé smluvní straně písemně, e-mailem nebo faxem. Článek 10.2. se pak použije přiměřeně.</w:t>
      </w:r>
    </w:p>
    <w:p w14:paraId="4020DFAF" w14:textId="2FFDDC2D"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Dodavatel může od smlouvy odstoupit, pokud odběratel užije Výstup, Výsledek, nebo data v rozporu se smlouvou.</w:t>
      </w:r>
      <w:r w:rsidR="00BD40BE" w:rsidRPr="005E313B">
        <w:rPr>
          <w:rFonts w:ascii="NettoPro" w:eastAsia="Times New Roman" w:hAnsi="NettoPro" w:cs="NettoPro"/>
          <w:color w:val="auto"/>
          <w:sz w:val="18"/>
          <w:szCs w:val="18"/>
          <w:lang w:eastAsia="cs-CZ"/>
        </w:rPr>
        <w:t xml:space="preserve"> Dodavatel je rovněž oprávněn od smlouvy odstoupit v případě, že je odběratel v prodlení se zaplacením odměny po dobu delší než 14 kalendářních dní.</w:t>
      </w:r>
    </w:p>
    <w:p w14:paraId="48320854"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42764A7E"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4F14A4A8"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Zánikem smlouvy z jakéhokoliv důvodu nejsou dotčena ustanovení o řešení sporů ani ostatní ustanovení smlouvy, z jejichž povahy vyplývá, že mají trvat i po zániku smlouvy.</w:t>
      </w:r>
    </w:p>
    <w:p w14:paraId="65FD958C" w14:textId="77777777" w:rsidR="008D0628" w:rsidRPr="005E313B" w:rsidRDefault="008D0628" w:rsidP="00A12C55">
      <w:pPr>
        <w:keepNext/>
        <w:numPr>
          <w:ilvl w:val="0"/>
          <w:numId w:val="2"/>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5E313B">
        <w:rPr>
          <w:rFonts w:ascii="NettoPro" w:eastAsia="Times New Roman" w:hAnsi="NettoPro" w:cs="NettoPro"/>
          <w:b/>
          <w:bCs/>
          <w:color w:val="auto"/>
          <w:sz w:val="18"/>
          <w:szCs w:val="18"/>
          <w:lang w:eastAsia="cs-CZ"/>
        </w:rPr>
        <w:t>ZMĚNY SMLOUVY</w:t>
      </w:r>
    </w:p>
    <w:p w14:paraId="4C5F17DE"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Smlouvu je možné měnit pouze písemnou dohodou smluvních stran ve formě dodatků, nestanoví-li smlouva v konkrét</w:t>
      </w:r>
      <w:r w:rsidRPr="005E313B">
        <w:rPr>
          <w:rFonts w:ascii="NettoPro" w:eastAsia="Times New Roman" w:hAnsi="NettoPro" w:cs="NettoPro"/>
          <w:color w:val="auto"/>
          <w:sz w:val="18"/>
          <w:szCs w:val="18"/>
          <w:lang w:eastAsia="cs-CZ"/>
        </w:rPr>
        <w:softHyphen/>
        <w:t>ním případě jinak.</w:t>
      </w:r>
    </w:p>
    <w:p w14:paraId="77236AB9" w14:textId="77777777" w:rsidR="008D0628" w:rsidRPr="005E313B" w:rsidRDefault="008D0628" w:rsidP="00A12C55">
      <w:pPr>
        <w:numPr>
          <w:ilvl w:val="1"/>
          <w:numId w:val="2"/>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5E313B">
        <w:rPr>
          <w:rFonts w:ascii="NettoPro" w:eastAsia="Times New Roman" w:hAnsi="NettoPro" w:cs="NettoPro"/>
          <w:color w:val="auto"/>
          <w:sz w:val="18"/>
          <w:szCs w:val="18"/>
          <w:lang w:eastAsia="cs-CZ"/>
        </w:rPr>
        <w:t>Ustanovení § 1740 odst. 3 občanského zákoníku se vylučuje.</w:t>
      </w:r>
    </w:p>
    <w:p w14:paraId="24C23B90" w14:textId="77777777" w:rsidR="002840E8" w:rsidRPr="005E313B" w:rsidRDefault="002840E8" w:rsidP="007D204B">
      <w:pPr>
        <w:rPr>
          <w:rFonts w:ascii="NettoPro" w:hAnsi="NettoPro" w:cs="NettoPro"/>
          <w:b/>
        </w:rPr>
        <w:sectPr w:rsidR="002840E8" w:rsidRPr="005E313B" w:rsidSect="002840E8">
          <w:type w:val="continuous"/>
          <w:pgSz w:w="11906" w:h="16838"/>
          <w:pgMar w:top="2087" w:right="851" w:bottom="1418" w:left="851" w:header="709" w:footer="709" w:gutter="0"/>
          <w:cols w:num="2" w:space="708"/>
          <w:docGrid w:linePitch="360"/>
        </w:sectPr>
      </w:pPr>
    </w:p>
    <w:p w14:paraId="4A73BCA2" w14:textId="77777777" w:rsidR="00142E2D" w:rsidRPr="005E313B" w:rsidRDefault="00142E2D" w:rsidP="007D204B">
      <w:pPr>
        <w:rPr>
          <w:rFonts w:ascii="NettoPro" w:hAnsi="NettoPro" w:cs="NettoPro"/>
          <w:b/>
        </w:rPr>
      </w:pPr>
    </w:p>
    <w:p w14:paraId="55186AF7" w14:textId="4AEE6BE6" w:rsidR="00F542C5" w:rsidRPr="005E313B" w:rsidRDefault="00F542C5">
      <w:pPr>
        <w:autoSpaceDE/>
        <w:autoSpaceDN/>
        <w:adjustRightInd/>
        <w:spacing w:line="240" w:lineRule="auto"/>
        <w:rPr>
          <w:rFonts w:ascii="NettoPro" w:hAnsi="NettoPro" w:cs="NettoPro"/>
          <w:b/>
        </w:rPr>
      </w:pPr>
    </w:p>
    <w:sectPr w:rsidR="00F542C5" w:rsidRPr="005E313B" w:rsidSect="002629F7">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AED8" w14:textId="77777777" w:rsidR="004F77FB" w:rsidRDefault="004F77FB" w:rsidP="00F75785">
      <w:r>
        <w:separator/>
      </w:r>
    </w:p>
  </w:endnote>
  <w:endnote w:type="continuationSeparator" w:id="0">
    <w:p w14:paraId="4BC55F09" w14:textId="77777777" w:rsidR="004F77FB" w:rsidRDefault="004F77FB"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NettoPro-Bold">
    <w:altName w:val="Calibri"/>
    <w:panose1 w:val="00000000000000000000"/>
    <w:charset w:val="00"/>
    <w:family w:val="swiss"/>
    <w:notTrueType/>
    <w:pitch w:val="variable"/>
    <w:sig w:usb0="A00000FF" w:usb1="4000E07B" w:usb2="00000008" w:usb3="00000000" w:csb0="00000093" w:csb1="00000000"/>
  </w:font>
  <w:font w:name="NettoPro">
    <w:altName w:val="Calibri"/>
    <w:panose1 w:val="00000000000000000000"/>
    <w:charset w:val="00"/>
    <w:family w:val="swiss"/>
    <w:notTrueType/>
    <w:pitch w:val="variable"/>
    <w:sig w:usb0="A00000FF" w:usb1="4000E07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B92D" w14:textId="77777777" w:rsidR="002E21EE" w:rsidRDefault="002E21EE">
    <w:pPr>
      <w:pStyle w:val="Zpat"/>
    </w:pPr>
    <w:r>
      <w:rPr>
        <w:noProof/>
        <w:lang w:eastAsia="cs-CZ"/>
      </w:rPr>
      <w:drawing>
        <wp:inline distT="0" distB="0" distL="0" distR="0" wp14:anchorId="70B1639D" wp14:editId="60477279">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5D14A6DD" w14:textId="77777777" w:rsidR="002E21EE" w:rsidRDefault="002E2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F48F" w14:textId="010BF2A4" w:rsidR="002E21EE" w:rsidRDefault="002E21EE" w:rsidP="003A2495">
    <w:pPr>
      <w:pStyle w:val="Zpat"/>
      <w:numPr>
        <w:ilvl w:val="0"/>
        <w:numId w:val="0"/>
      </w:numPr>
      <w:rPr>
        <w:noProof/>
        <w:lang w:eastAsia="cs-CZ"/>
      </w:rPr>
    </w:pPr>
  </w:p>
  <w:p w14:paraId="4B7CD3BC" w14:textId="42682165" w:rsidR="002E21EE" w:rsidRDefault="00FC6C61" w:rsidP="003A2495">
    <w:pPr>
      <w:pStyle w:val="Zpat"/>
      <w:numPr>
        <w:ilvl w:val="0"/>
        <w:numId w:val="0"/>
      </w:numPr>
      <w:rPr>
        <w:noProof/>
        <w:lang w:eastAsia="cs-CZ"/>
      </w:rPr>
    </w:pPr>
    <w:r>
      <w:rPr>
        <w:noProof/>
        <w:lang w:eastAsia="cs-CZ"/>
      </w:rPr>
      <w:drawing>
        <wp:anchor distT="0" distB="0" distL="114300" distR="114300" simplePos="0" relativeHeight="251654144" behindDoc="0" locked="0" layoutInCell="1" allowOverlap="1" wp14:anchorId="2FFF704A" wp14:editId="6F7D72B5">
          <wp:simplePos x="0" y="0"/>
          <wp:positionH relativeFrom="margin">
            <wp:align>center</wp:align>
          </wp:positionH>
          <wp:positionV relativeFrom="paragraph">
            <wp:posOffset>5080</wp:posOffset>
          </wp:positionV>
          <wp:extent cx="5194300" cy="708025"/>
          <wp:effectExtent l="0" t="0" r="6350" b="0"/>
          <wp:wrapNone/>
          <wp:docPr id="12" name="Obrázek 1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p>
  <w:p w14:paraId="0ED3BF92" w14:textId="3CA619E4" w:rsidR="002E21EE" w:rsidRDefault="002E21EE" w:rsidP="003A2495">
    <w:pPr>
      <w:pStyle w:val="Zpat"/>
      <w:numPr>
        <w:ilvl w:val="0"/>
        <w:numId w:val="0"/>
      </w:numPr>
      <w:jc w:val="right"/>
    </w:pPr>
    <w:r>
      <w:fldChar w:fldCharType="begin"/>
    </w:r>
    <w:r>
      <w:instrText xml:space="preserve"> PAGE   \* MERGEFORMAT </w:instrText>
    </w:r>
    <w:r>
      <w:fldChar w:fldCharType="separate"/>
    </w:r>
    <w:r w:rsidR="004C7697">
      <w:rPr>
        <w:noProof/>
      </w:rPr>
      <w:t>1</w:t>
    </w:r>
    <w:r>
      <w:rPr>
        <w:noProof/>
      </w:rPr>
      <w:fldChar w:fldCharType="end"/>
    </w:r>
  </w:p>
  <w:p w14:paraId="7C14A183" w14:textId="77777777" w:rsidR="002E21EE" w:rsidRDefault="002E2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5922" w14:textId="77777777" w:rsidR="00910905" w:rsidRDefault="0091090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91EA" w14:textId="448A34B6" w:rsidR="002E21EE" w:rsidRPr="00FD6202" w:rsidRDefault="002E21EE" w:rsidP="002840E8">
    <w:pPr>
      <w:pStyle w:val="Zpat"/>
      <w:numPr>
        <w:ilvl w:val="0"/>
        <w:numId w:val="0"/>
      </w:numPr>
      <w:ind w:left="708"/>
      <w:jc w:val="right"/>
    </w:pPr>
    <w:r>
      <w:rPr>
        <w:noProof/>
        <w:lang w:eastAsia="cs-CZ"/>
      </w:rPr>
      <w:drawing>
        <wp:anchor distT="0" distB="0" distL="114300" distR="114300" simplePos="0" relativeHeight="251678720" behindDoc="0" locked="0" layoutInCell="1" allowOverlap="1" wp14:anchorId="39761C41" wp14:editId="0326B273">
          <wp:simplePos x="0" y="0"/>
          <wp:positionH relativeFrom="column">
            <wp:posOffset>-115392</wp:posOffset>
          </wp:positionH>
          <wp:positionV relativeFrom="paragraph">
            <wp:posOffset>-204928</wp:posOffset>
          </wp:positionV>
          <wp:extent cx="5194361" cy="708263"/>
          <wp:effectExtent l="0" t="0" r="6350" b="0"/>
          <wp:wrapNone/>
          <wp:docPr id="52" name="Obrázek 5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anchor>
      </w:drawing>
    </w:r>
    <w:r>
      <w:fldChar w:fldCharType="begin"/>
    </w:r>
    <w:r>
      <w:instrText xml:space="preserve"> page </w:instrText>
    </w:r>
    <w:r>
      <w:fldChar w:fldCharType="separate"/>
    </w:r>
    <w:r w:rsidR="004C7697">
      <w:rPr>
        <w:noProof/>
      </w:rPr>
      <w:t>13</w:t>
    </w:r>
    <w:r>
      <w:rPr>
        <w:noProof/>
      </w:rPr>
      <w:fldChar w:fldCharType="end"/>
    </w:r>
    <w:r w:rsidRPr="00FD6202">
      <w:t>/</w:t>
    </w:r>
    <w:r w:rsidR="00EF1CAC">
      <w:fldChar w:fldCharType="begin"/>
    </w:r>
    <w:r w:rsidR="00EF1CAC">
      <w:instrText xml:space="preserve"> numpages </w:instrText>
    </w:r>
    <w:r w:rsidR="00EF1CAC">
      <w:fldChar w:fldCharType="separate"/>
    </w:r>
    <w:r w:rsidR="004C7697">
      <w:rPr>
        <w:noProof/>
      </w:rPr>
      <w:t>13</w:t>
    </w:r>
    <w:r w:rsidR="00EF1CA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889" w14:textId="510D91E2" w:rsidR="002E21EE" w:rsidRDefault="002E21EE" w:rsidP="008D0628">
    <w:pPr>
      <w:pStyle w:val="Zpat"/>
      <w:jc w:val="right"/>
    </w:pPr>
    <w:r>
      <w:rPr>
        <w:noProof/>
        <w:lang w:eastAsia="cs-CZ"/>
      </w:rPr>
      <w:drawing>
        <wp:anchor distT="0" distB="0" distL="114300" distR="114300" simplePos="0" relativeHeight="251674624" behindDoc="0" locked="0" layoutInCell="1" allowOverlap="1" wp14:anchorId="32A7EF1D" wp14:editId="6F8CFAF5">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r w:rsidR="00EF1CAC">
      <w:fldChar w:fldCharType="begin"/>
    </w:r>
    <w:r w:rsidR="00EF1CAC">
      <w:instrText xml:space="preserve"> NUMPAGES   \* MERGEFORMAT </w:instrText>
    </w:r>
    <w:r w:rsidR="00EF1CAC">
      <w:fldChar w:fldCharType="separate"/>
    </w:r>
    <w:r>
      <w:rPr>
        <w:noProof/>
      </w:rPr>
      <w:t>26</w:t>
    </w:r>
    <w:r w:rsidR="00EF1C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91A1" w14:textId="77777777" w:rsidR="004F77FB" w:rsidRDefault="004F77FB" w:rsidP="00F75785">
      <w:r>
        <w:separator/>
      </w:r>
    </w:p>
  </w:footnote>
  <w:footnote w:type="continuationSeparator" w:id="0">
    <w:p w14:paraId="416109E0" w14:textId="77777777" w:rsidR="004F77FB" w:rsidRDefault="004F77FB"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3CC8" w14:textId="77777777" w:rsidR="002E21EE" w:rsidRDefault="002E21EE">
    <w:pPr>
      <w:pStyle w:val="Zhlav"/>
    </w:pPr>
    <w:r>
      <w:rPr>
        <w:noProof/>
        <w:lang w:eastAsia="cs-CZ"/>
      </w:rPr>
      <w:drawing>
        <wp:inline distT="0" distB="0" distL="0" distR="0" wp14:anchorId="5D3E8A6B" wp14:editId="4351169E">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6B3C3F15" w14:textId="77777777" w:rsidR="002E21EE" w:rsidRDefault="002E2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37C6" w14:textId="1153E4E4" w:rsidR="002E21EE" w:rsidRDefault="00FC6C61" w:rsidP="00BD4FA5">
    <w:pPr>
      <w:pStyle w:val="Zhlav"/>
      <w:numPr>
        <w:ilvl w:val="0"/>
        <w:numId w:val="0"/>
      </w:numPr>
    </w:pPr>
    <w:r>
      <w:rPr>
        <w:noProof/>
        <w:lang w:eastAsia="cs-CZ"/>
      </w:rPr>
      <w:drawing>
        <wp:anchor distT="0" distB="0" distL="114300" distR="114300" simplePos="0" relativeHeight="251680768" behindDoc="1" locked="0" layoutInCell="1" allowOverlap="1" wp14:anchorId="5A80C4CF" wp14:editId="11D23C19">
          <wp:simplePos x="0" y="0"/>
          <wp:positionH relativeFrom="margin">
            <wp:align>center</wp:align>
          </wp:positionH>
          <wp:positionV relativeFrom="paragraph">
            <wp:posOffset>-619760</wp:posOffset>
          </wp:positionV>
          <wp:extent cx="7772402" cy="14859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2"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B4F51" w14:textId="77777777" w:rsidR="002E21EE" w:rsidRDefault="002E21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B4DD" w14:textId="77777777" w:rsidR="00910905" w:rsidRDefault="0091090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1576" w14:textId="77777777" w:rsidR="002E21EE" w:rsidRDefault="002E21EE" w:rsidP="002840E8">
    <w:pPr>
      <w:pStyle w:val="Zhlav"/>
      <w:numPr>
        <w:ilvl w:val="0"/>
        <w:numId w:val="0"/>
      </w:numPr>
      <w:tabs>
        <w:tab w:val="clear" w:pos="4536"/>
        <w:tab w:val="clear" w:pos="9072"/>
        <w:tab w:val="right" w:pos="10206"/>
      </w:tabs>
      <w:ind w:left="709"/>
    </w:pPr>
    <w:r>
      <w:rPr>
        <w:noProof/>
        <w:lang w:eastAsia="cs-CZ"/>
      </w:rPr>
      <w:drawing>
        <wp:anchor distT="0" distB="0" distL="114300" distR="114300" simplePos="0" relativeHeight="251676672" behindDoc="1" locked="0" layoutInCell="1" allowOverlap="1" wp14:anchorId="7B2977D4" wp14:editId="00E7034C">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6DDE" w14:textId="77777777" w:rsidR="002E21EE" w:rsidRDefault="002E21EE" w:rsidP="008D0628">
    <w:pPr>
      <w:pStyle w:val="Zhlav"/>
    </w:pPr>
    <w:r>
      <w:rPr>
        <w:noProof/>
        <w:lang w:eastAsia="cs-CZ"/>
      </w:rPr>
      <w:drawing>
        <wp:anchor distT="0" distB="0" distL="114300" distR="114300" simplePos="0" relativeHeight="251673600" behindDoc="1" locked="0" layoutInCell="1" allowOverlap="1" wp14:anchorId="7E9893A1" wp14:editId="3E648DFD">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3B5EA907" w14:textId="77777777" w:rsidR="002E21EE" w:rsidRDefault="002E21EE" w:rsidP="008D0628">
    <w:pPr>
      <w:pStyle w:val="Zhlav"/>
    </w:pPr>
  </w:p>
  <w:p w14:paraId="3987410B" w14:textId="77777777" w:rsidR="002E21EE" w:rsidRDefault="002E21EE" w:rsidP="008D0628">
    <w:pPr>
      <w:pStyle w:val="Zhlav"/>
    </w:pPr>
  </w:p>
  <w:p w14:paraId="14D71220" w14:textId="77777777" w:rsidR="002E21EE" w:rsidRPr="000E3089" w:rsidRDefault="002E21EE"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EE81FFC"/>
    <w:multiLevelType w:val="hybridMultilevel"/>
    <w:tmpl w:val="8954F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801502"/>
    <w:multiLevelType w:val="hybridMultilevel"/>
    <w:tmpl w:val="503A1E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9" w15:restartNumberingAfterBreak="0">
    <w:nsid w:val="71B74EF8"/>
    <w:multiLevelType w:val="hybridMultilevel"/>
    <w:tmpl w:val="E39EB8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A1E26AA"/>
    <w:multiLevelType w:val="hybridMultilevel"/>
    <w:tmpl w:val="E4460B70"/>
    <w:lvl w:ilvl="0" w:tplc="0FEAFD3E">
      <w:start w:val="1"/>
      <w:numFmt w:val="decimal"/>
      <w:pStyle w:val="Nadpis1"/>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2913297">
    <w:abstractNumId w:val="4"/>
  </w:num>
  <w:num w:numId="2" w16cid:durableId="2017734074">
    <w:abstractNumId w:val="5"/>
  </w:num>
  <w:num w:numId="3" w16cid:durableId="1673559385">
    <w:abstractNumId w:val="1"/>
  </w:num>
  <w:num w:numId="4" w16cid:durableId="1297419672">
    <w:abstractNumId w:val="6"/>
  </w:num>
  <w:num w:numId="5" w16cid:durableId="624042777">
    <w:abstractNumId w:val="3"/>
  </w:num>
  <w:num w:numId="6" w16cid:durableId="1775008630">
    <w:abstractNumId w:val="8"/>
  </w:num>
  <w:num w:numId="7" w16cid:durableId="522328756">
    <w:abstractNumId w:val="10"/>
  </w:num>
  <w:num w:numId="8" w16cid:durableId="19163950">
    <w:abstractNumId w:val="9"/>
  </w:num>
  <w:num w:numId="9" w16cid:durableId="1094516873">
    <w:abstractNumId w:val="7"/>
  </w:num>
  <w:num w:numId="10" w16cid:durableId="114851854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7"/>
    <w:rsid w:val="000031E1"/>
    <w:rsid w:val="00010C9B"/>
    <w:rsid w:val="00016DB3"/>
    <w:rsid w:val="000210A0"/>
    <w:rsid w:val="00030AB2"/>
    <w:rsid w:val="00031ED6"/>
    <w:rsid w:val="00033396"/>
    <w:rsid w:val="000414AB"/>
    <w:rsid w:val="000432E2"/>
    <w:rsid w:val="000518DD"/>
    <w:rsid w:val="00053F0E"/>
    <w:rsid w:val="00065300"/>
    <w:rsid w:val="00065734"/>
    <w:rsid w:val="00070CB2"/>
    <w:rsid w:val="000757AD"/>
    <w:rsid w:val="000774B1"/>
    <w:rsid w:val="000855BA"/>
    <w:rsid w:val="000907D2"/>
    <w:rsid w:val="000910F0"/>
    <w:rsid w:val="00096394"/>
    <w:rsid w:val="000A1110"/>
    <w:rsid w:val="000B179B"/>
    <w:rsid w:val="000B3FF2"/>
    <w:rsid w:val="000B6A51"/>
    <w:rsid w:val="000C07FE"/>
    <w:rsid w:val="000C34DB"/>
    <w:rsid w:val="000C3CE4"/>
    <w:rsid w:val="000C4104"/>
    <w:rsid w:val="000C65C3"/>
    <w:rsid w:val="000C6838"/>
    <w:rsid w:val="000C73B5"/>
    <w:rsid w:val="000C7419"/>
    <w:rsid w:val="000D0310"/>
    <w:rsid w:val="000E1BFD"/>
    <w:rsid w:val="000E5A8E"/>
    <w:rsid w:val="000E6388"/>
    <w:rsid w:val="000F0E65"/>
    <w:rsid w:val="000F0EE5"/>
    <w:rsid w:val="00113B9C"/>
    <w:rsid w:val="00117423"/>
    <w:rsid w:val="00122EAE"/>
    <w:rsid w:val="00126C26"/>
    <w:rsid w:val="00130407"/>
    <w:rsid w:val="00134F93"/>
    <w:rsid w:val="00142E2D"/>
    <w:rsid w:val="00146ACD"/>
    <w:rsid w:val="00151317"/>
    <w:rsid w:val="00153258"/>
    <w:rsid w:val="0015748F"/>
    <w:rsid w:val="00162B6B"/>
    <w:rsid w:val="00163808"/>
    <w:rsid w:val="00174423"/>
    <w:rsid w:val="00176F08"/>
    <w:rsid w:val="00176F52"/>
    <w:rsid w:val="00182FB3"/>
    <w:rsid w:val="001875CF"/>
    <w:rsid w:val="001A1BE5"/>
    <w:rsid w:val="001A42A9"/>
    <w:rsid w:val="001B1214"/>
    <w:rsid w:val="001B28E7"/>
    <w:rsid w:val="001B3EC1"/>
    <w:rsid w:val="001B7357"/>
    <w:rsid w:val="001C7DD9"/>
    <w:rsid w:val="001D5C3A"/>
    <w:rsid w:val="001D7186"/>
    <w:rsid w:val="001E16DB"/>
    <w:rsid w:val="001E1D9C"/>
    <w:rsid w:val="001E4950"/>
    <w:rsid w:val="001E4DB1"/>
    <w:rsid w:val="001E7552"/>
    <w:rsid w:val="001F181B"/>
    <w:rsid w:val="001F2908"/>
    <w:rsid w:val="001F31E9"/>
    <w:rsid w:val="001F388A"/>
    <w:rsid w:val="001F61A3"/>
    <w:rsid w:val="001F6AF5"/>
    <w:rsid w:val="001F6D12"/>
    <w:rsid w:val="00200698"/>
    <w:rsid w:val="0020384F"/>
    <w:rsid w:val="0020390B"/>
    <w:rsid w:val="00211B7D"/>
    <w:rsid w:val="0021618C"/>
    <w:rsid w:val="002209B1"/>
    <w:rsid w:val="00225FDA"/>
    <w:rsid w:val="00227193"/>
    <w:rsid w:val="00232D82"/>
    <w:rsid w:val="00241748"/>
    <w:rsid w:val="002502F4"/>
    <w:rsid w:val="002564B2"/>
    <w:rsid w:val="002603B5"/>
    <w:rsid w:val="002609DF"/>
    <w:rsid w:val="002629F7"/>
    <w:rsid w:val="00263524"/>
    <w:rsid w:val="00267F5B"/>
    <w:rsid w:val="00275A21"/>
    <w:rsid w:val="002764D3"/>
    <w:rsid w:val="002840E8"/>
    <w:rsid w:val="00285D14"/>
    <w:rsid w:val="00286CD5"/>
    <w:rsid w:val="00296B14"/>
    <w:rsid w:val="00297F91"/>
    <w:rsid w:val="002A5924"/>
    <w:rsid w:val="002A775D"/>
    <w:rsid w:val="002B051D"/>
    <w:rsid w:val="002B34CC"/>
    <w:rsid w:val="002C0E84"/>
    <w:rsid w:val="002C15C7"/>
    <w:rsid w:val="002C1B37"/>
    <w:rsid w:val="002C3F10"/>
    <w:rsid w:val="002C4AFA"/>
    <w:rsid w:val="002C7D8F"/>
    <w:rsid w:val="002D3448"/>
    <w:rsid w:val="002E18C5"/>
    <w:rsid w:val="002E21EE"/>
    <w:rsid w:val="002E2294"/>
    <w:rsid w:val="002E2C6C"/>
    <w:rsid w:val="002E6A8B"/>
    <w:rsid w:val="002E73F7"/>
    <w:rsid w:val="002F071A"/>
    <w:rsid w:val="002F5872"/>
    <w:rsid w:val="003054C8"/>
    <w:rsid w:val="00313D5C"/>
    <w:rsid w:val="00320449"/>
    <w:rsid w:val="0032158B"/>
    <w:rsid w:val="0032445D"/>
    <w:rsid w:val="00325E00"/>
    <w:rsid w:val="0033292C"/>
    <w:rsid w:val="00340E2B"/>
    <w:rsid w:val="003410C8"/>
    <w:rsid w:val="00344E88"/>
    <w:rsid w:val="00347737"/>
    <w:rsid w:val="003504D8"/>
    <w:rsid w:val="00353FC2"/>
    <w:rsid w:val="00357A24"/>
    <w:rsid w:val="00364011"/>
    <w:rsid w:val="0037428E"/>
    <w:rsid w:val="00394DF3"/>
    <w:rsid w:val="003A2495"/>
    <w:rsid w:val="003A34D2"/>
    <w:rsid w:val="003A4D63"/>
    <w:rsid w:val="003A57BF"/>
    <w:rsid w:val="003B37E9"/>
    <w:rsid w:val="003B506F"/>
    <w:rsid w:val="003C1531"/>
    <w:rsid w:val="003D14DB"/>
    <w:rsid w:val="003D1767"/>
    <w:rsid w:val="003D2C69"/>
    <w:rsid w:val="003D53C4"/>
    <w:rsid w:val="003E39AB"/>
    <w:rsid w:val="003E3E48"/>
    <w:rsid w:val="003E61BA"/>
    <w:rsid w:val="003F40F3"/>
    <w:rsid w:val="003F4D84"/>
    <w:rsid w:val="003F5260"/>
    <w:rsid w:val="003F7563"/>
    <w:rsid w:val="00402BBE"/>
    <w:rsid w:val="00412F93"/>
    <w:rsid w:val="004136F3"/>
    <w:rsid w:val="00417292"/>
    <w:rsid w:val="00422D75"/>
    <w:rsid w:val="00441462"/>
    <w:rsid w:val="004436F4"/>
    <w:rsid w:val="00444278"/>
    <w:rsid w:val="00444915"/>
    <w:rsid w:val="0044539F"/>
    <w:rsid w:val="00466764"/>
    <w:rsid w:val="0046692E"/>
    <w:rsid w:val="0047185D"/>
    <w:rsid w:val="004766C1"/>
    <w:rsid w:val="004800DD"/>
    <w:rsid w:val="004803F3"/>
    <w:rsid w:val="00493924"/>
    <w:rsid w:val="004A503D"/>
    <w:rsid w:val="004B43B5"/>
    <w:rsid w:val="004C327F"/>
    <w:rsid w:val="004C688D"/>
    <w:rsid w:val="004C7697"/>
    <w:rsid w:val="004E1553"/>
    <w:rsid w:val="004E2F9C"/>
    <w:rsid w:val="004E6BC5"/>
    <w:rsid w:val="004F17A7"/>
    <w:rsid w:val="004F196D"/>
    <w:rsid w:val="004F77FB"/>
    <w:rsid w:val="004F7A25"/>
    <w:rsid w:val="005240E5"/>
    <w:rsid w:val="00527E85"/>
    <w:rsid w:val="00531A82"/>
    <w:rsid w:val="0053380D"/>
    <w:rsid w:val="00536E8A"/>
    <w:rsid w:val="00540671"/>
    <w:rsid w:val="0054456A"/>
    <w:rsid w:val="0054604F"/>
    <w:rsid w:val="00550E5D"/>
    <w:rsid w:val="005538A8"/>
    <w:rsid w:val="00562091"/>
    <w:rsid w:val="00563987"/>
    <w:rsid w:val="00565DCE"/>
    <w:rsid w:val="00567AC9"/>
    <w:rsid w:val="00570AAB"/>
    <w:rsid w:val="00572D2A"/>
    <w:rsid w:val="005738BD"/>
    <w:rsid w:val="005752E7"/>
    <w:rsid w:val="00576D8C"/>
    <w:rsid w:val="00581111"/>
    <w:rsid w:val="00583CBB"/>
    <w:rsid w:val="00586B20"/>
    <w:rsid w:val="0059229F"/>
    <w:rsid w:val="0059417C"/>
    <w:rsid w:val="005A03A3"/>
    <w:rsid w:val="005A40E8"/>
    <w:rsid w:val="005A4F93"/>
    <w:rsid w:val="005A533C"/>
    <w:rsid w:val="005A70E5"/>
    <w:rsid w:val="005B1DDF"/>
    <w:rsid w:val="005B211B"/>
    <w:rsid w:val="005B2A9F"/>
    <w:rsid w:val="005B37CB"/>
    <w:rsid w:val="005B64FD"/>
    <w:rsid w:val="005C04D6"/>
    <w:rsid w:val="005C1094"/>
    <w:rsid w:val="005C5BD8"/>
    <w:rsid w:val="005C63E7"/>
    <w:rsid w:val="005D74D9"/>
    <w:rsid w:val="005E24CB"/>
    <w:rsid w:val="005E313B"/>
    <w:rsid w:val="005F0AFF"/>
    <w:rsid w:val="005F74E7"/>
    <w:rsid w:val="00600A83"/>
    <w:rsid w:val="00604CC1"/>
    <w:rsid w:val="00605AB4"/>
    <w:rsid w:val="00606CF7"/>
    <w:rsid w:val="00606D01"/>
    <w:rsid w:val="006144F9"/>
    <w:rsid w:val="0062413F"/>
    <w:rsid w:val="00627FB0"/>
    <w:rsid w:val="00631B86"/>
    <w:rsid w:val="00635144"/>
    <w:rsid w:val="006374B7"/>
    <w:rsid w:val="00640E7C"/>
    <w:rsid w:val="0064200C"/>
    <w:rsid w:val="006457CB"/>
    <w:rsid w:val="00661EB9"/>
    <w:rsid w:val="0066481D"/>
    <w:rsid w:val="00672690"/>
    <w:rsid w:val="00673B37"/>
    <w:rsid w:val="00674CB8"/>
    <w:rsid w:val="00675682"/>
    <w:rsid w:val="006922BD"/>
    <w:rsid w:val="0069241A"/>
    <w:rsid w:val="0069583B"/>
    <w:rsid w:val="006A2052"/>
    <w:rsid w:val="006A7ADC"/>
    <w:rsid w:val="006B5EF3"/>
    <w:rsid w:val="006C22F4"/>
    <w:rsid w:val="006C3F1E"/>
    <w:rsid w:val="006D0209"/>
    <w:rsid w:val="006D2F30"/>
    <w:rsid w:val="006D387D"/>
    <w:rsid w:val="006D6F45"/>
    <w:rsid w:val="006D6F66"/>
    <w:rsid w:val="006D75AA"/>
    <w:rsid w:val="006E0869"/>
    <w:rsid w:val="006E1F2F"/>
    <w:rsid w:val="006E4D3A"/>
    <w:rsid w:val="006E64AA"/>
    <w:rsid w:val="006F05B6"/>
    <w:rsid w:val="006F7264"/>
    <w:rsid w:val="00706222"/>
    <w:rsid w:val="00706DEA"/>
    <w:rsid w:val="00711111"/>
    <w:rsid w:val="00714F36"/>
    <w:rsid w:val="00715C81"/>
    <w:rsid w:val="00716FFC"/>
    <w:rsid w:val="00720714"/>
    <w:rsid w:val="007216FD"/>
    <w:rsid w:val="00723681"/>
    <w:rsid w:val="007373DF"/>
    <w:rsid w:val="00741A77"/>
    <w:rsid w:val="00741DB4"/>
    <w:rsid w:val="00745759"/>
    <w:rsid w:val="00745EEF"/>
    <w:rsid w:val="00750B8B"/>
    <w:rsid w:val="00751473"/>
    <w:rsid w:val="00757EA0"/>
    <w:rsid w:val="00760C57"/>
    <w:rsid w:val="00760F75"/>
    <w:rsid w:val="007624CC"/>
    <w:rsid w:val="00762C42"/>
    <w:rsid w:val="00764222"/>
    <w:rsid w:val="007743D0"/>
    <w:rsid w:val="00776C7F"/>
    <w:rsid w:val="00780C7D"/>
    <w:rsid w:val="007810E8"/>
    <w:rsid w:val="007932F7"/>
    <w:rsid w:val="00793523"/>
    <w:rsid w:val="00796765"/>
    <w:rsid w:val="007A6610"/>
    <w:rsid w:val="007B0D74"/>
    <w:rsid w:val="007B0E0D"/>
    <w:rsid w:val="007B358D"/>
    <w:rsid w:val="007B4E7F"/>
    <w:rsid w:val="007B56AA"/>
    <w:rsid w:val="007B5C8C"/>
    <w:rsid w:val="007C1CA0"/>
    <w:rsid w:val="007D204B"/>
    <w:rsid w:val="007D31A4"/>
    <w:rsid w:val="007E3DEF"/>
    <w:rsid w:val="007E43CC"/>
    <w:rsid w:val="007E561D"/>
    <w:rsid w:val="007E679A"/>
    <w:rsid w:val="007F0675"/>
    <w:rsid w:val="00800900"/>
    <w:rsid w:val="0080372D"/>
    <w:rsid w:val="00810A7D"/>
    <w:rsid w:val="00823EA7"/>
    <w:rsid w:val="00830D32"/>
    <w:rsid w:val="00831C1E"/>
    <w:rsid w:val="00832E9E"/>
    <w:rsid w:val="00834618"/>
    <w:rsid w:val="00835FC5"/>
    <w:rsid w:val="008548FE"/>
    <w:rsid w:val="00867417"/>
    <w:rsid w:val="00875E60"/>
    <w:rsid w:val="00880051"/>
    <w:rsid w:val="00880AD6"/>
    <w:rsid w:val="008954A7"/>
    <w:rsid w:val="008C44A4"/>
    <w:rsid w:val="008D0628"/>
    <w:rsid w:val="008D0662"/>
    <w:rsid w:val="008D4B6A"/>
    <w:rsid w:val="008D4DAE"/>
    <w:rsid w:val="008D7C99"/>
    <w:rsid w:val="008E00C8"/>
    <w:rsid w:val="008E199F"/>
    <w:rsid w:val="008E5602"/>
    <w:rsid w:val="008E5EA6"/>
    <w:rsid w:val="00910905"/>
    <w:rsid w:val="00910BE3"/>
    <w:rsid w:val="00914FB6"/>
    <w:rsid w:val="009222E5"/>
    <w:rsid w:val="00922599"/>
    <w:rsid w:val="00924E8D"/>
    <w:rsid w:val="00926AD1"/>
    <w:rsid w:val="00932852"/>
    <w:rsid w:val="00933067"/>
    <w:rsid w:val="00935A80"/>
    <w:rsid w:val="00936C87"/>
    <w:rsid w:val="00941AAC"/>
    <w:rsid w:val="00942053"/>
    <w:rsid w:val="00944A28"/>
    <w:rsid w:val="0094542D"/>
    <w:rsid w:val="00951FE4"/>
    <w:rsid w:val="009607FC"/>
    <w:rsid w:val="009610B4"/>
    <w:rsid w:val="00961524"/>
    <w:rsid w:val="009724AC"/>
    <w:rsid w:val="0098273D"/>
    <w:rsid w:val="00985618"/>
    <w:rsid w:val="0099122E"/>
    <w:rsid w:val="009975BA"/>
    <w:rsid w:val="009A17A9"/>
    <w:rsid w:val="009A1C98"/>
    <w:rsid w:val="009A3478"/>
    <w:rsid w:val="009A7DBA"/>
    <w:rsid w:val="009B25C3"/>
    <w:rsid w:val="009B34D1"/>
    <w:rsid w:val="009B4BA0"/>
    <w:rsid w:val="009B6E55"/>
    <w:rsid w:val="009C0902"/>
    <w:rsid w:val="009C134A"/>
    <w:rsid w:val="009C1964"/>
    <w:rsid w:val="009C37F0"/>
    <w:rsid w:val="009C3A7A"/>
    <w:rsid w:val="009C7F50"/>
    <w:rsid w:val="009D44DF"/>
    <w:rsid w:val="009D63DA"/>
    <w:rsid w:val="009F07E7"/>
    <w:rsid w:val="009F3199"/>
    <w:rsid w:val="00A024F8"/>
    <w:rsid w:val="00A1181E"/>
    <w:rsid w:val="00A12C55"/>
    <w:rsid w:val="00A16D9B"/>
    <w:rsid w:val="00A171B8"/>
    <w:rsid w:val="00A31A42"/>
    <w:rsid w:val="00A326DF"/>
    <w:rsid w:val="00A33CA2"/>
    <w:rsid w:val="00A3414E"/>
    <w:rsid w:val="00A343C2"/>
    <w:rsid w:val="00A368FD"/>
    <w:rsid w:val="00A40859"/>
    <w:rsid w:val="00A5226C"/>
    <w:rsid w:val="00A5323A"/>
    <w:rsid w:val="00A54690"/>
    <w:rsid w:val="00A60175"/>
    <w:rsid w:val="00A6279C"/>
    <w:rsid w:val="00A7064D"/>
    <w:rsid w:val="00A906DF"/>
    <w:rsid w:val="00AA12FC"/>
    <w:rsid w:val="00AB1D95"/>
    <w:rsid w:val="00AB23FB"/>
    <w:rsid w:val="00AB3536"/>
    <w:rsid w:val="00AB79BB"/>
    <w:rsid w:val="00AC29F0"/>
    <w:rsid w:val="00AC5261"/>
    <w:rsid w:val="00AD2F6B"/>
    <w:rsid w:val="00AE11C4"/>
    <w:rsid w:val="00AE4ED2"/>
    <w:rsid w:val="00AF0D8C"/>
    <w:rsid w:val="00AF3131"/>
    <w:rsid w:val="00AF704E"/>
    <w:rsid w:val="00AF767F"/>
    <w:rsid w:val="00B0121F"/>
    <w:rsid w:val="00B01AB9"/>
    <w:rsid w:val="00B02A93"/>
    <w:rsid w:val="00B02BEB"/>
    <w:rsid w:val="00B02CD4"/>
    <w:rsid w:val="00B05AF5"/>
    <w:rsid w:val="00B110E6"/>
    <w:rsid w:val="00B117D5"/>
    <w:rsid w:val="00B17DED"/>
    <w:rsid w:val="00B21534"/>
    <w:rsid w:val="00B220C9"/>
    <w:rsid w:val="00B24AAA"/>
    <w:rsid w:val="00B40A07"/>
    <w:rsid w:val="00B426C6"/>
    <w:rsid w:val="00B540ED"/>
    <w:rsid w:val="00B6107F"/>
    <w:rsid w:val="00B662B6"/>
    <w:rsid w:val="00B702F2"/>
    <w:rsid w:val="00B71261"/>
    <w:rsid w:val="00B7707A"/>
    <w:rsid w:val="00B815F0"/>
    <w:rsid w:val="00B8394A"/>
    <w:rsid w:val="00B83BB1"/>
    <w:rsid w:val="00B83D54"/>
    <w:rsid w:val="00B84FB8"/>
    <w:rsid w:val="00B93621"/>
    <w:rsid w:val="00BA7A88"/>
    <w:rsid w:val="00BB5818"/>
    <w:rsid w:val="00BC0F1D"/>
    <w:rsid w:val="00BC1698"/>
    <w:rsid w:val="00BD141D"/>
    <w:rsid w:val="00BD40BE"/>
    <w:rsid w:val="00BD4FA5"/>
    <w:rsid w:val="00BD6414"/>
    <w:rsid w:val="00BE4D68"/>
    <w:rsid w:val="00BE5D94"/>
    <w:rsid w:val="00BF6154"/>
    <w:rsid w:val="00C01D33"/>
    <w:rsid w:val="00C02CDA"/>
    <w:rsid w:val="00C13437"/>
    <w:rsid w:val="00C1751D"/>
    <w:rsid w:val="00C3295E"/>
    <w:rsid w:val="00C478D1"/>
    <w:rsid w:val="00C51484"/>
    <w:rsid w:val="00C65E87"/>
    <w:rsid w:val="00C741F6"/>
    <w:rsid w:val="00C7779A"/>
    <w:rsid w:val="00C80DE0"/>
    <w:rsid w:val="00C81585"/>
    <w:rsid w:val="00C84701"/>
    <w:rsid w:val="00C863D9"/>
    <w:rsid w:val="00C86625"/>
    <w:rsid w:val="00C934DB"/>
    <w:rsid w:val="00C95261"/>
    <w:rsid w:val="00CB561A"/>
    <w:rsid w:val="00CB5805"/>
    <w:rsid w:val="00CC351F"/>
    <w:rsid w:val="00CC3613"/>
    <w:rsid w:val="00CD35C1"/>
    <w:rsid w:val="00CD5C25"/>
    <w:rsid w:val="00CE3E65"/>
    <w:rsid w:val="00CF1317"/>
    <w:rsid w:val="00CF2714"/>
    <w:rsid w:val="00CF4912"/>
    <w:rsid w:val="00D01559"/>
    <w:rsid w:val="00D01ADD"/>
    <w:rsid w:val="00D020AF"/>
    <w:rsid w:val="00D0707C"/>
    <w:rsid w:val="00D07941"/>
    <w:rsid w:val="00D12F68"/>
    <w:rsid w:val="00D13FE2"/>
    <w:rsid w:val="00D20C2A"/>
    <w:rsid w:val="00D27BF8"/>
    <w:rsid w:val="00D41F73"/>
    <w:rsid w:val="00D45557"/>
    <w:rsid w:val="00D5734B"/>
    <w:rsid w:val="00D57B47"/>
    <w:rsid w:val="00D60827"/>
    <w:rsid w:val="00D62EFE"/>
    <w:rsid w:val="00D65129"/>
    <w:rsid w:val="00D73451"/>
    <w:rsid w:val="00D82103"/>
    <w:rsid w:val="00D9210A"/>
    <w:rsid w:val="00D95241"/>
    <w:rsid w:val="00D952EB"/>
    <w:rsid w:val="00DA0681"/>
    <w:rsid w:val="00DA1DD2"/>
    <w:rsid w:val="00DA7E72"/>
    <w:rsid w:val="00DB3D18"/>
    <w:rsid w:val="00DB3DD1"/>
    <w:rsid w:val="00DB514D"/>
    <w:rsid w:val="00DC16E2"/>
    <w:rsid w:val="00DC6AAA"/>
    <w:rsid w:val="00DD00B8"/>
    <w:rsid w:val="00DD28BD"/>
    <w:rsid w:val="00DD5616"/>
    <w:rsid w:val="00DD78E6"/>
    <w:rsid w:val="00DE0455"/>
    <w:rsid w:val="00DE2F5C"/>
    <w:rsid w:val="00DF0012"/>
    <w:rsid w:val="00DF518E"/>
    <w:rsid w:val="00DF5390"/>
    <w:rsid w:val="00E01E95"/>
    <w:rsid w:val="00E05256"/>
    <w:rsid w:val="00E06CB1"/>
    <w:rsid w:val="00E1541E"/>
    <w:rsid w:val="00E16112"/>
    <w:rsid w:val="00E23CD3"/>
    <w:rsid w:val="00E2654A"/>
    <w:rsid w:val="00E33504"/>
    <w:rsid w:val="00E4068B"/>
    <w:rsid w:val="00E41F52"/>
    <w:rsid w:val="00E4783C"/>
    <w:rsid w:val="00E53066"/>
    <w:rsid w:val="00E534A6"/>
    <w:rsid w:val="00E55F21"/>
    <w:rsid w:val="00E6121C"/>
    <w:rsid w:val="00E645C5"/>
    <w:rsid w:val="00E64EDB"/>
    <w:rsid w:val="00E67BA5"/>
    <w:rsid w:val="00E704B0"/>
    <w:rsid w:val="00E73CC8"/>
    <w:rsid w:val="00E77C4A"/>
    <w:rsid w:val="00E81CE1"/>
    <w:rsid w:val="00E9005D"/>
    <w:rsid w:val="00E9027E"/>
    <w:rsid w:val="00E937F3"/>
    <w:rsid w:val="00EA10BD"/>
    <w:rsid w:val="00EA622A"/>
    <w:rsid w:val="00EB1A43"/>
    <w:rsid w:val="00EC14AC"/>
    <w:rsid w:val="00EC30E2"/>
    <w:rsid w:val="00ED360E"/>
    <w:rsid w:val="00ED3A8E"/>
    <w:rsid w:val="00ED5B4F"/>
    <w:rsid w:val="00EE02AB"/>
    <w:rsid w:val="00EE05DB"/>
    <w:rsid w:val="00EE6A2E"/>
    <w:rsid w:val="00EF14E6"/>
    <w:rsid w:val="00EF1CAC"/>
    <w:rsid w:val="00EF3640"/>
    <w:rsid w:val="00EF7F46"/>
    <w:rsid w:val="00F02511"/>
    <w:rsid w:val="00F030B7"/>
    <w:rsid w:val="00F23518"/>
    <w:rsid w:val="00F26D79"/>
    <w:rsid w:val="00F30DFD"/>
    <w:rsid w:val="00F4046A"/>
    <w:rsid w:val="00F50D8E"/>
    <w:rsid w:val="00F53581"/>
    <w:rsid w:val="00F542C5"/>
    <w:rsid w:val="00F55935"/>
    <w:rsid w:val="00F60C34"/>
    <w:rsid w:val="00F60E5E"/>
    <w:rsid w:val="00F62B93"/>
    <w:rsid w:val="00F6661E"/>
    <w:rsid w:val="00F66A5D"/>
    <w:rsid w:val="00F72422"/>
    <w:rsid w:val="00F75785"/>
    <w:rsid w:val="00F75BE4"/>
    <w:rsid w:val="00F814C4"/>
    <w:rsid w:val="00F85E9B"/>
    <w:rsid w:val="00F904A0"/>
    <w:rsid w:val="00F91B95"/>
    <w:rsid w:val="00FA7F8F"/>
    <w:rsid w:val="00FB0FC1"/>
    <w:rsid w:val="00FB1218"/>
    <w:rsid w:val="00FB1363"/>
    <w:rsid w:val="00FB1980"/>
    <w:rsid w:val="00FC6C61"/>
    <w:rsid w:val="00FE38E0"/>
    <w:rsid w:val="00FF1E5B"/>
    <w:rsid w:val="00FF5C53"/>
    <w:rsid w:val="00FF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FEBD"/>
  <w15:docId w15:val="{65943B4F-0452-4A9F-8E0D-814E7BC9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0">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0"/>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6"/>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6"/>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6"/>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6"/>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6"/>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6"/>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6"/>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6"/>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6"/>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unhideWhenUsed/>
    <w:rsid w:val="00565DCE"/>
    <w:pPr>
      <w:spacing w:line="240" w:lineRule="auto"/>
    </w:pPr>
  </w:style>
  <w:style w:type="character" w:customStyle="1" w:styleId="TextkomenteChar">
    <w:name w:val="Text komentáře Char"/>
    <w:basedOn w:val="Standardnpsmoodstavce"/>
    <w:link w:val="Textkomente"/>
    <w:uiPriority w:val="99"/>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character" w:customStyle="1" w:styleId="Nevyeenzmnka1">
    <w:name w:val="Nevyřešená zmínka1"/>
    <w:basedOn w:val="Standardnpsmoodstavce"/>
    <w:uiPriority w:val="99"/>
    <w:semiHidden/>
    <w:unhideWhenUsed/>
    <w:rsid w:val="00053F0E"/>
    <w:rPr>
      <w:color w:val="605E5C"/>
      <w:shd w:val="clear" w:color="auto" w:fill="E1DFDD"/>
    </w:rPr>
  </w:style>
  <w:style w:type="paragraph" w:customStyle="1" w:styleId="Nadpis1">
    <w:name w:val="Nadpis1"/>
    <w:basedOn w:val="Odstavecseseznamem"/>
    <w:next w:val="Normln"/>
    <w:autoRedefine/>
    <w:qFormat/>
    <w:rsid w:val="0099122E"/>
    <w:pPr>
      <w:numPr>
        <w:numId w:val="7"/>
      </w:numPr>
      <w:autoSpaceDE/>
      <w:autoSpaceDN/>
      <w:adjustRightInd/>
      <w:spacing w:before="240" w:after="240" w:line="276" w:lineRule="auto"/>
      <w:ind w:left="426" w:hanging="426"/>
      <w:jc w:val="both"/>
    </w:pPr>
    <w:rPr>
      <w:rFonts w:ascii="NettoPro-Bold" w:hAnsi="NettoPro-Bold" w:cs="NettoPro-Bold"/>
      <w:color w:val="FFFFFF" w:themeColor="background1"/>
      <w:sz w:val="36"/>
      <w:szCs w:val="36"/>
      <w:lang w:eastAsia="cs-CZ"/>
    </w:rPr>
  </w:style>
  <w:style w:type="table" w:styleId="Svtlmkazvraznn2">
    <w:name w:val="Light Grid Accent 2"/>
    <w:basedOn w:val="Normlntabulka"/>
    <w:uiPriority w:val="62"/>
    <w:rsid w:val="0099122E"/>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character" w:styleId="Zstupntext">
    <w:name w:val="Placeholder Text"/>
    <w:basedOn w:val="Standardnpsmoodstavce"/>
    <w:uiPriority w:val="99"/>
    <w:semiHidden/>
    <w:rsid w:val="0053380D"/>
    <w:rPr>
      <w:color w:val="808080"/>
    </w:rPr>
  </w:style>
  <w:style w:type="table" w:customStyle="1" w:styleId="Prosttabulka21">
    <w:name w:val="Prostá tabulka 21"/>
    <w:basedOn w:val="Normlntabulka"/>
    <w:uiPriority w:val="42"/>
    <w:rsid w:val="004C688D"/>
    <w:tblPr>
      <w:tblStyleRowBandSize w:val="1"/>
      <w:tblStyleColBandSize w:val="1"/>
      <w:tblBorders>
        <w:top w:val="single" w:sz="4" w:space="0" w:color="B2B2B2" w:themeColor="text1" w:themeTint="80"/>
        <w:bottom w:val="single" w:sz="4" w:space="0" w:color="B2B2B2" w:themeColor="text1" w:themeTint="80"/>
      </w:tblBorders>
    </w:tblPr>
    <w:tblStylePr w:type="firstRow">
      <w:rPr>
        <w:b/>
        <w:bCs/>
      </w:rPr>
      <w:tblPr/>
      <w:tcPr>
        <w:tcBorders>
          <w:bottom w:val="single" w:sz="4" w:space="0" w:color="B2B2B2" w:themeColor="text1" w:themeTint="80"/>
        </w:tcBorders>
      </w:tcPr>
    </w:tblStylePr>
    <w:tblStylePr w:type="lastRow">
      <w:rPr>
        <w:b/>
        <w:bCs/>
      </w:rPr>
      <w:tblPr/>
      <w:tcPr>
        <w:tcBorders>
          <w:top w:val="single" w:sz="4" w:space="0" w:color="B2B2B2" w:themeColor="text1" w:themeTint="80"/>
        </w:tcBorders>
      </w:tcPr>
    </w:tblStylePr>
    <w:tblStylePr w:type="firstCol">
      <w:rPr>
        <w:b/>
        <w:bCs/>
      </w:rPr>
    </w:tblStylePr>
    <w:tblStylePr w:type="lastCol">
      <w:rPr>
        <w:b/>
        <w:bCs/>
      </w:rPr>
    </w:tblStylePr>
    <w:tblStylePr w:type="band1Vert">
      <w:tblPr/>
      <w:tcPr>
        <w:tcBorders>
          <w:left w:val="single" w:sz="4" w:space="0" w:color="B2B2B2" w:themeColor="text1" w:themeTint="80"/>
          <w:right w:val="single" w:sz="4" w:space="0" w:color="B2B2B2" w:themeColor="text1" w:themeTint="80"/>
        </w:tcBorders>
      </w:tcPr>
    </w:tblStylePr>
    <w:tblStylePr w:type="band2Vert">
      <w:tblPr/>
      <w:tcPr>
        <w:tcBorders>
          <w:left w:val="single" w:sz="4" w:space="0" w:color="B2B2B2" w:themeColor="text1" w:themeTint="80"/>
          <w:right w:val="single" w:sz="4" w:space="0" w:color="B2B2B2" w:themeColor="text1" w:themeTint="80"/>
        </w:tcBorders>
      </w:tcPr>
    </w:tblStylePr>
    <w:tblStylePr w:type="band1Horz">
      <w:tblPr/>
      <w:tcPr>
        <w:tcBorders>
          <w:top w:val="single" w:sz="4" w:space="0" w:color="B2B2B2" w:themeColor="text1" w:themeTint="80"/>
          <w:bottom w:val="single" w:sz="4" w:space="0" w:color="B2B2B2" w:themeColor="text1" w:themeTint="80"/>
        </w:tcBorders>
      </w:tcPr>
    </w:tblStylePr>
  </w:style>
  <w:style w:type="character" w:customStyle="1" w:styleId="nowrap">
    <w:name w:val="nowrap"/>
    <w:basedOn w:val="Standardnpsmoodstavce"/>
    <w:rsid w:val="00ED5B4F"/>
  </w:style>
  <w:style w:type="character" w:styleId="Nevyeenzmnka">
    <w:name w:val="Unresolved Mention"/>
    <w:basedOn w:val="Standardnpsmoodstavce"/>
    <w:uiPriority w:val="99"/>
    <w:semiHidden/>
    <w:unhideWhenUsed/>
    <w:rsid w:val="003F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3836">
      <w:bodyDiv w:val="1"/>
      <w:marLeft w:val="0"/>
      <w:marRight w:val="0"/>
      <w:marTop w:val="0"/>
      <w:marBottom w:val="0"/>
      <w:divBdr>
        <w:top w:val="none" w:sz="0" w:space="0" w:color="auto"/>
        <w:left w:val="none" w:sz="0" w:space="0" w:color="auto"/>
        <w:bottom w:val="none" w:sz="0" w:space="0" w:color="auto"/>
        <w:right w:val="none" w:sz="0" w:space="0" w:color="auto"/>
      </w:divBdr>
    </w:div>
    <w:div w:id="468673259">
      <w:bodyDiv w:val="1"/>
      <w:marLeft w:val="0"/>
      <w:marRight w:val="0"/>
      <w:marTop w:val="0"/>
      <w:marBottom w:val="0"/>
      <w:divBdr>
        <w:top w:val="none" w:sz="0" w:space="0" w:color="auto"/>
        <w:left w:val="none" w:sz="0" w:space="0" w:color="auto"/>
        <w:bottom w:val="none" w:sz="0" w:space="0" w:color="auto"/>
        <w:right w:val="none" w:sz="0" w:space="0" w:color="auto"/>
      </w:divBdr>
    </w:div>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 w:id="20075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B9BCB0-1F62-46CC-9AA5-66DF315B6691}">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EE781F08-CC3D-47B9-9E72-069EB61ED34F}">
  <ds:schemaRefs>
    <ds:schemaRef ds:uri="http://schemas.openxmlformats.org/officeDocument/2006/bibliography"/>
  </ds:schemaRefs>
</ds:datastoreItem>
</file>

<file path=customXml/itemProps4.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6626</Words>
  <Characters>39098</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Hrones Michal</dc:creator>
  <cp:lastModifiedBy>MS licence</cp:lastModifiedBy>
  <cp:revision>4</cp:revision>
  <cp:lastPrinted>2023-05-19T11:54:00Z</cp:lastPrinted>
  <dcterms:created xsi:type="dcterms:W3CDTF">2023-05-22T07:55:00Z</dcterms:created>
  <dcterms:modified xsi:type="dcterms:W3CDTF">2023-05-22T08:20:00Z</dcterms:modified>
</cp:coreProperties>
</file>