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1BF9" w14:textId="77777777" w:rsidR="00000000" w:rsidRDefault="004B12F8">
      <w:pPr>
        <w:pStyle w:val="Nadpis2"/>
        <w:kinsoku w:val="0"/>
        <w:overflowPunct w:val="0"/>
        <w:spacing w:before="35"/>
        <w:ind w:left="374" w:right="1028"/>
        <w:jc w:val="center"/>
      </w:pPr>
      <w:r>
        <w:t>DOHODA O ZÁNIKU ČÁSTI SMLOUVY č. j. MPSV-2021/63776-171</w:t>
      </w:r>
    </w:p>
    <w:p w14:paraId="271BE36B" w14:textId="77777777" w:rsidR="00000000" w:rsidRDefault="004B12F8">
      <w:pPr>
        <w:pStyle w:val="Zkladntext"/>
        <w:kinsoku w:val="0"/>
        <w:overflowPunct w:val="0"/>
        <w:ind w:left="371" w:right="1028"/>
        <w:jc w:val="center"/>
        <w:rPr>
          <w:b/>
          <w:bCs/>
        </w:rPr>
      </w:pPr>
      <w:r>
        <w:rPr>
          <w:b/>
          <w:bCs/>
        </w:rPr>
        <w:t>NA POSKYTOVÁNÍ SLUŽEB KIVS – CMS V ROZSAHU SLUŽBY NESOUCÍ</w:t>
      </w:r>
      <w:r>
        <w:rPr>
          <w:b/>
          <w:bCs/>
        </w:rPr>
        <w:t xml:space="preserve"> KIVS ID D-VP001-000995 SOUTĚŽENÉ V RÁMCI POSTUPU K ZADÁNÍ VEŘEJNÉ ZAKÁZKY</w:t>
      </w:r>
    </w:p>
    <w:p w14:paraId="73F0500B" w14:textId="77777777" w:rsidR="00000000" w:rsidRDefault="004B12F8">
      <w:pPr>
        <w:pStyle w:val="Zkladntext"/>
        <w:kinsoku w:val="0"/>
        <w:overflowPunct w:val="0"/>
        <w:spacing w:before="1" w:line="720" w:lineRule="auto"/>
        <w:ind w:left="3298" w:right="3953" w:firstLine="187"/>
        <w:rPr>
          <w:b/>
          <w:bCs/>
        </w:rPr>
      </w:pPr>
      <w:r>
        <w:rPr>
          <w:b/>
          <w:bCs/>
        </w:rPr>
        <w:t>DLE DATA_VPN PL_40135 Č. j.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MPSV-2021/63776-932/2</w:t>
      </w:r>
    </w:p>
    <w:p w14:paraId="653B9D78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3B14FEF4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2F85A1DF" w14:textId="77777777" w:rsidR="00000000" w:rsidRDefault="004B12F8">
      <w:pPr>
        <w:pStyle w:val="Zkladntext"/>
        <w:kinsoku w:val="0"/>
        <w:overflowPunct w:val="0"/>
        <w:spacing w:before="10"/>
        <w:rPr>
          <w:b/>
          <w:bCs/>
          <w:sz w:val="30"/>
          <w:szCs w:val="30"/>
        </w:rPr>
      </w:pPr>
    </w:p>
    <w:p w14:paraId="349FA993" w14:textId="77777777" w:rsidR="00000000" w:rsidRDefault="004B12F8">
      <w:pPr>
        <w:pStyle w:val="Zkladntext"/>
        <w:kinsoku w:val="0"/>
        <w:overflowPunct w:val="0"/>
        <w:ind w:left="376" w:right="1027"/>
        <w:jc w:val="center"/>
      </w:pPr>
      <w:r>
        <w:t>mezi</w:t>
      </w:r>
    </w:p>
    <w:p w14:paraId="6C3943C4" w14:textId="77777777" w:rsidR="00000000" w:rsidRDefault="004B12F8">
      <w:pPr>
        <w:pStyle w:val="Zkladntext"/>
        <w:kinsoku w:val="0"/>
        <w:overflowPunct w:val="0"/>
      </w:pPr>
    </w:p>
    <w:p w14:paraId="6BE9AE76" w14:textId="77777777" w:rsidR="00000000" w:rsidRDefault="004B12F8">
      <w:pPr>
        <w:pStyle w:val="Zkladntext"/>
        <w:kinsoku w:val="0"/>
        <w:overflowPunct w:val="0"/>
      </w:pPr>
    </w:p>
    <w:p w14:paraId="7ED6D33C" w14:textId="77777777" w:rsidR="00000000" w:rsidRDefault="004B12F8">
      <w:pPr>
        <w:pStyle w:val="Zkladntext"/>
        <w:kinsoku w:val="0"/>
        <w:overflowPunct w:val="0"/>
        <w:spacing w:before="11"/>
        <w:rPr>
          <w:sz w:val="21"/>
          <w:szCs w:val="21"/>
        </w:rPr>
      </w:pPr>
    </w:p>
    <w:p w14:paraId="12729412" w14:textId="77777777" w:rsidR="00000000" w:rsidRDefault="004B12F8">
      <w:pPr>
        <w:pStyle w:val="Nadpis2"/>
        <w:kinsoku w:val="0"/>
        <w:overflowPunct w:val="0"/>
        <w:ind w:left="371" w:right="1028"/>
        <w:jc w:val="center"/>
      </w:pPr>
      <w:r>
        <w:t>Česká republika – Ministerstvo práce a sociálních věcí</w:t>
      </w:r>
    </w:p>
    <w:p w14:paraId="50A71FF9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36827E75" w14:textId="77777777" w:rsidR="00000000" w:rsidRDefault="004B12F8">
      <w:pPr>
        <w:pStyle w:val="Zkladntext"/>
        <w:kinsoku w:val="0"/>
        <w:overflowPunct w:val="0"/>
        <w:ind w:left="374" w:right="1028"/>
        <w:jc w:val="center"/>
      </w:pPr>
      <w:r>
        <w:t>na straně jedné</w:t>
      </w:r>
    </w:p>
    <w:p w14:paraId="473A10AA" w14:textId="77777777" w:rsidR="00000000" w:rsidRDefault="004B12F8">
      <w:pPr>
        <w:pStyle w:val="Zkladntext"/>
        <w:kinsoku w:val="0"/>
        <w:overflowPunct w:val="0"/>
      </w:pPr>
    </w:p>
    <w:p w14:paraId="199E3283" w14:textId="77777777" w:rsidR="00000000" w:rsidRDefault="004B12F8">
      <w:pPr>
        <w:pStyle w:val="Zkladntext"/>
        <w:kinsoku w:val="0"/>
        <w:overflowPunct w:val="0"/>
      </w:pPr>
    </w:p>
    <w:p w14:paraId="65047C84" w14:textId="77777777" w:rsidR="00000000" w:rsidRDefault="004B12F8">
      <w:pPr>
        <w:pStyle w:val="Zkladntext"/>
        <w:kinsoku w:val="0"/>
        <w:overflowPunct w:val="0"/>
        <w:spacing w:before="1"/>
      </w:pPr>
    </w:p>
    <w:p w14:paraId="7829C53E" w14:textId="77777777" w:rsidR="00000000" w:rsidRDefault="004B12F8">
      <w:pPr>
        <w:pStyle w:val="Zkladntext"/>
        <w:kinsoku w:val="0"/>
        <w:overflowPunct w:val="0"/>
        <w:ind w:right="653"/>
        <w:jc w:val="center"/>
      </w:pPr>
      <w:r>
        <w:t>a</w:t>
      </w:r>
    </w:p>
    <w:p w14:paraId="7580CDF0" w14:textId="77777777" w:rsidR="00000000" w:rsidRDefault="004B12F8">
      <w:pPr>
        <w:pStyle w:val="Zkladntext"/>
        <w:kinsoku w:val="0"/>
        <w:overflowPunct w:val="0"/>
      </w:pPr>
    </w:p>
    <w:p w14:paraId="6969581C" w14:textId="77777777" w:rsidR="00000000" w:rsidRDefault="004B12F8">
      <w:pPr>
        <w:pStyle w:val="Zkladntext"/>
        <w:kinsoku w:val="0"/>
        <w:overflowPunct w:val="0"/>
      </w:pPr>
    </w:p>
    <w:p w14:paraId="096627FB" w14:textId="77777777" w:rsidR="00000000" w:rsidRDefault="004B12F8">
      <w:pPr>
        <w:pStyle w:val="Zkladntext"/>
        <w:kinsoku w:val="0"/>
        <w:overflowPunct w:val="0"/>
        <w:spacing w:before="11"/>
        <w:rPr>
          <w:sz w:val="21"/>
          <w:szCs w:val="21"/>
        </w:rPr>
      </w:pPr>
    </w:p>
    <w:p w14:paraId="2F187AB0" w14:textId="77777777" w:rsidR="00000000" w:rsidRDefault="004B12F8">
      <w:pPr>
        <w:pStyle w:val="Zkladntext"/>
        <w:kinsoku w:val="0"/>
        <w:overflowPunct w:val="0"/>
        <w:ind w:left="373" w:right="1028"/>
        <w:jc w:val="center"/>
        <w:rPr>
          <w:b/>
          <w:bCs/>
        </w:rPr>
      </w:pPr>
      <w:r>
        <w:t xml:space="preserve">společností   </w:t>
      </w:r>
      <w:r>
        <w:rPr>
          <w:b/>
          <w:bCs/>
        </w:rPr>
        <w:t>ha-vel internet s.r.o.</w:t>
      </w:r>
    </w:p>
    <w:p w14:paraId="592775BF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59DD08FC" w14:textId="77777777" w:rsidR="00000000" w:rsidRDefault="004B12F8">
      <w:pPr>
        <w:pStyle w:val="Zkladntext"/>
        <w:kinsoku w:val="0"/>
        <w:overflowPunct w:val="0"/>
        <w:spacing w:before="1"/>
        <w:rPr>
          <w:b/>
          <w:bCs/>
        </w:rPr>
      </w:pPr>
    </w:p>
    <w:p w14:paraId="0FAE9B45" w14:textId="77777777" w:rsidR="00000000" w:rsidRDefault="004B12F8">
      <w:pPr>
        <w:pStyle w:val="Zkladntext"/>
        <w:kinsoku w:val="0"/>
        <w:overflowPunct w:val="0"/>
        <w:ind w:left="376" w:right="1028"/>
        <w:jc w:val="center"/>
      </w:pPr>
      <w:r>
        <w:t>na straně druhé</w:t>
      </w:r>
    </w:p>
    <w:p w14:paraId="388752E0" w14:textId="77777777" w:rsidR="00000000" w:rsidRDefault="004B12F8">
      <w:pPr>
        <w:pStyle w:val="Zkladntext"/>
        <w:kinsoku w:val="0"/>
        <w:overflowPunct w:val="0"/>
        <w:ind w:left="376" w:right="1028"/>
        <w:jc w:val="center"/>
        <w:sectPr w:rsidR="00000000">
          <w:footerReference w:type="default" r:id="rId7"/>
          <w:pgSz w:w="11900" w:h="16840"/>
          <w:pgMar w:top="1380" w:right="640" w:bottom="920" w:left="1300" w:header="0" w:footer="735" w:gutter="0"/>
          <w:pgNumType w:start="1"/>
          <w:cols w:space="708"/>
          <w:noEndnote/>
        </w:sectPr>
      </w:pPr>
    </w:p>
    <w:p w14:paraId="3A8326AE" w14:textId="77777777" w:rsidR="00000000" w:rsidRDefault="004B12F8">
      <w:pPr>
        <w:pStyle w:val="Zkladntext"/>
        <w:kinsoku w:val="0"/>
        <w:overflowPunct w:val="0"/>
        <w:spacing w:before="35"/>
        <w:ind w:left="223"/>
      </w:pPr>
      <w:r>
        <w:lastRenderedPageBreak/>
        <w:t>Níže uvedeného dne, měsíce a roku následující smluvní strany:</w:t>
      </w:r>
    </w:p>
    <w:p w14:paraId="546FA9BE" w14:textId="77777777" w:rsidR="00000000" w:rsidRDefault="004B12F8">
      <w:pPr>
        <w:pStyle w:val="Zkladntext"/>
        <w:kinsoku w:val="0"/>
        <w:overflowPunct w:val="0"/>
      </w:pPr>
    </w:p>
    <w:p w14:paraId="5ACFB144" w14:textId="77777777" w:rsidR="00000000" w:rsidRDefault="004B12F8">
      <w:pPr>
        <w:pStyle w:val="Zkladntext"/>
        <w:kinsoku w:val="0"/>
        <w:overflowPunct w:val="0"/>
        <w:spacing w:before="1"/>
      </w:pPr>
    </w:p>
    <w:p w14:paraId="6CD07656" w14:textId="77777777" w:rsidR="00000000" w:rsidRDefault="004B12F8">
      <w:pPr>
        <w:pStyle w:val="Zkladntext"/>
        <w:kinsoku w:val="0"/>
        <w:overflowPunct w:val="0"/>
        <w:ind w:left="223" w:right="592"/>
      </w:pPr>
      <w:r>
        <w:rPr>
          <w:b/>
          <w:bCs/>
        </w:rPr>
        <w:t xml:space="preserve">Česká republika – Ministerstvo práce a sociálních věcí, </w:t>
      </w:r>
      <w:r>
        <w:t>se sídlem Na Poříčním prá</w:t>
      </w:r>
      <w:r>
        <w:t>vu 1/376, 128 01 Praha 2, IČO: 00551023, zastoupená Mgr. Karlem Svítilem, ředitelem odboru provozu ICT</w:t>
      </w:r>
    </w:p>
    <w:p w14:paraId="1458AC05" w14:textId="77777777" w:rsidR="00000000" w:rsidRDefault="004B12F8">
      <w:pPr>
        <w:pStyle w:val="Zkladntext"/>
        <w:kinsoku w:val="0"/>
        <w:overflowPunct w:val="0"/>
      </w:pPr>
    </w:p>
    <w:p w14:paraId="28CBE926" w14:textId="77777777" w:rsidR="00000000" w:rsidRDefault="004B12F8">
      <w:pPr>
        <w:pStyle w:val="Zkladntext"/>
        <w:kinsoku w:val="0"/>
        <w:overflowPunct w:val="0"/>
        <w:spacing w:before="1"/>
      </w:pPr>
    </w:p>
    <w:p w14:paraId="31BC2C86" w14:textId="77777777" w:rsidR="00000000" w:rsidRDefault="004B12F8">
      <w:pPr>
        <w:pStyle w:val="Zkladntext"/>
        <w:kinsoku w:val="0"/>
        <w:overflowPunct w:val="0"/>
        <w:spacing w:line="477" w:lineRule="auto"/>
        <w:ind w:left="223" w:right="6716"/>
      </w:pPr>
      <w:r>
        <w:t>(dále jako „</w:t>
      </w:r>
      <w:r>
        <w:rPr>
          <w:b/>
          <w:bCs/>
        </w:rPr>
        <w:t>Pověřující zadavatel</w:t>
      </w:r>
      <w:r>
        <w:t>“) na straně jedné</w:t>
      </w:r>
    </w:p>
    <w:p w14:paraId="1B04E2BB" w14:textId="77777777" w:rsidR="00000000" w:rsidRDefault="004B12F8">
      <w:pPr>
        <w:pStyle w:val="Zkladntext"/>
        <w:kinsoku w:val="0"/>
        <w:overflowPunct w:val="0"/>
        <w:spacing w:before="4"/>
        <w:ind w:left="223"/>
      </w:pPr>
      <w:r>
        <w:t>a</w:t>
      </w:r>
    </w:p>
    <w:p w14:paraId="257ACF71" w14:textId="77777777" w:rsidR="00000000" w:rsidRDefault="004B12F8">
      <w:pPr>
        <w:pStyle w:val="Zkladntext"/>
        <w:kinsoku w:val="0"/>
        <w:overflowPunct w:val="0"/>
      </w:pPr>
    </w:p>
    <w:p w14:paraId="7374DBAB" w14:textId="77777777" w:rsidR="00000000" w:rsidRDefault="004B12F8">
      <w:pPr>
        <w:pStyle w:val="Zkladntext"/>
        <w:kinsoku w:val="0"/>
        <w:overflowPunct w:val="0"/>
        <w:ind w:left="223" w:right="875"/>
        <w:jc w:val="both"/>
      </w:pPr>
      <w:r>
        <w:t xml:space="preserve">společnost </w:t>
      </w:r>
      <w:r>
        <w:rPr>
          <w:b/>
          <w:bCs/>
        </w:rPr>
        <w:t>ha-vel internet s.r.o.</w:t>
      </w:r>
      <w:r>
        <w:t>, se sídlem Olešní 587/11a, 712 00 Ostrava Muglinov, IČO: 253549</w:t>
      </w:r>
      <w:r>
        <w:t>73, DIČ: CZ25354973, zapsaná v obchodním rejstříku u Krajského soudu v Ostravě, oddíl C, vložka 9719, zastoupená: Ing. Pavlem Halfarem, jednatelem</w:t>
      </w:r>
    </w:p>
    <w:p w14:paraId="651C231C" w14:textId="77777777" w:rsidR="00000000" w:rsidRDefault="004B12F8">
      <w:pPr>
        <w:pStyle w:val="Zkladntext"/>
        <w:kinsoku w:val="0"/>
        <w:overflowPunct w:val="0"/>
      </w:pPr>
    </w:p>
    <w:p w14:paraId="037BC9E9" w14:textId="77777777" w:rsidR="00000000" w:rsidRDefault="004B12F8">
      <w:pPr>
        <w:pStyle w:val="Zkladntext"/>
        <w:kinsoku w:val="0"/>
        <w:overflowPunct w:val="0"/>
        <w:spacing w:before="10"/>
        <w:rPr>
          <w:sz w:val="26"/>
          <w:szCs w:val="26"/>
        </w:rPr>
      </w:pPr>
    </w:p>
    <w:p w14:paraId="3EFD8FDD" w14:textId="77777777" w:rsidR="00000000" w:rsidRDefault="004B12F8">
      <w:pPr>
        <w:pStyle w:val="Zkladntext"/>
        <w:kinsoku w:val="0"/>
        <w:overflowPunct w:val="0"/>
        <w:spacing w:line="480" w:lineRule="auto"/>
        <w:ind w:left="223" w:right="7460"/>
      </w:pPr>
      <w:r>
        <w:t>(dále jen „</w:t>
      </w:r>
      <w:r>
        <w:rPr>
          <w:b/>
          <w:bCs/>
        </w:rPr>
        <w:t>Poskytovatel</w:t>
      </w:r>
      <w:r>
        <w:t>“) na straně druhé</w:t>
      </w:r>
    </w:p>
    <w:p w14:paraId="2084EF2C" w14:textId="77777777" w:rsidR="00000000" w:rsidRDefault="004B12F8">
      <w:pPr>
        <w:pStyle w:val="Zkladntext"/>
        <w:kinsoku w:val="0"/>
        <w:overflowPunct w:val="0"/>
        <w:spacing w:before="1"/>
        <w:ind w:left="223"/>
      </w:pPr>
      <w:r>
        <w:t>(Pověřující zadavatel a Poskytovatel dále jednotlivě také</w:t>
      </w:r>
      <w:r>
        <w:t xml:space="preserve"> jako „</w:t>
      </w:r>
      <w:r>
        <w:rPr>
          <w:b/>
          <w:bCs/>
        </w:rPr>
        <w:t>Smluvní strana</w:t>
      </w:r>
      <w:r>
        <w:t>“ a společně jako</w:t>
      </w:r>
    </w:p>
    <w:p w14:paraId="26D83551" w14:textId="77777777" w:rsidR="00000000" w:rsidRDefault="004B12F8">
      <w:pPr>
        <w:pStyle w:val="Nadpis2"/>
        <w:kinsoku w:val="0"/>
        <w:overflowPunct w:val="0"/>
        <w:ind w:left="223"/>
        <w:rPr>
          <w:b w:val="0"/>
          <w:bCs w:val="0"/>
        </w:rPr>
      </w:pPr>
      <w:r>
        <w:rPr>
          <w:b w:val="0"/>
          <w:bCs w:val="0"/>
        </w:rPr>
        <w:t>„</w:t>
      </w:r>
      <w:r>
        <w:t>Smluvní strany</w:t>
      </w:r>
      <w:r>
        <w:rPr>
          <w:b w:val="0"/>
          <w:bCs w:val="0"/>
        </w:rPr>
        <w:t>“)</w:t>
      </w:r>
    </w:p>
    <w:p w14:paraId="4F821F18" w14:textId="77777777" w:rsidR="00000000" w:rsidRDefault="004B12F8">
      <w:pPr>
        <w:pStyle w:val="Zkladntext"/>
        <w:kinsoku w:val="0"/>
        <w:overflowPunct w:val="0"/>
      </w:pPr>
    </w:p>
    <w:p w14:paraId="4DEFBE2D" w14:textId="77777777" w:rsidR="00000000" w:rsidRDefault="004B12F8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14:paraId="015F91C1" w14:textId="77777777" w:rsidR="00000000" w:rsidRDefault="004B12F8">
      <w:pPr>
        <w:pStyle w:val="Odstavecseseznamem"/>
        <w:numPr>
          <w:ilvl w:val="0"/>
          <w:numId w:val="5"/>
        </w:numPr>
        <w:tabs>
          <w:tab w:val="left" w:pos="477"/>
          <w:tab w:val="left" w:pos="4309"/>
        </w:tabs>
        <w:kinsoku w:val="0"/>
        <w:overflowPunct w:val="0"/>
        <w:ind w:right="673" w:hanging="4309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4A673E94" w14:textId="77777777" w:rsidR="00000000" w:rsidRDefault="004B12F8">
      <w:pPr>
        <w:pStyle w:val="Zkladntext"/>
        <w:kinsoku w:val="0"/>
        <w:overflowPunct w:val="0"/>
        <w:spacing w:before="4"/>
        <w:rPr>
          <w:b/>
          <w:bCs/>
          <w:sz w:val="26"/>
          <w:szCs w:val="26"/>
        </w:rPr>
      </w:pPr>
    </w:p>
    <w:p w14:paraId="75D886B6" w14:textId="77777777" w:rsidR="00000000" w:rsidRDefault="004B12F8">
      <w:pPr>
        <w:pStyle w:val="Zkladntext"/>
        <w:kinsoku w:val="0"/>
        <w:overflowPunct w:val="0"/>
        <w:ind w:left="223"/>
        <w:jc w:val="both"/>
      </w:pPr>
      <w:r>
        <w:rPr>
          <w:u w:val="single"/>
        </w:rPr>
        <w:t>VZHLEDEM K TOMU, ŽE:</w:t>
      </w:r>
    </w:p>
    <w:p w14:paraId="0EB4DC59" w14:textId="77777777" w:rsidR="00000000" w:rsidRDefault="004B12F8">
      <w:pPr>
        <w:pStyle w:val="Zkladntext"/>
        <w:kinsoku w:val="0"/>
        <w:overflowPunct w:val="0"/>
        <w:spacing w:before="4"/>
        <w:rPr>
          <w:sz w:val="18"/>
          <w:szCs w:val="18"/>
        </w:rPr>
      </w:pPr>
    </w:p>
    <w:p w14:paraId="4B75E8EB" w14:textId="77777777" w:rsidR="00000000" w:rsidRDefault="004B12F8">
      <w:pPr>
        <w:pStyle w:val="Odstavecseseznamem"/>
        <w:numPr>
          <w:ilvl w:val="0"/>
          <w:numId w:val="4"/>
        </w:numPr>
        <w:tabs>
          <w:tab w:val="left" w:pos="680"/>
        </w:tabs>
        <w:kinsoku w:val="0"/>
        <w:overflowPunct w:val="0"/>
        <w:spacing w:before="101" w:line="264" w:lineRule="auto"/>
        <w:ind w:left="679" w:right="874"/>
        <w:rPr>
          <w:sz w:val="22"/>
          <w:szCs w:val="22"/>
        </w:rPr>
      </w:pPr>
      <w:r>
        <w:rPr>
          <w:sz w:val="22"/>
          <w:szCs w:val="22"/>
        </w:rPr>
        <w:t>Smluvní strany uzavřely dne 4. 5. 2021 smlouvu na poskytování služeb KIVS – CMS, č. j. MPSV- 2021/63776-171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(dále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jen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Smlouva</w:t>
      </w:r>
      <w:r>
        <w:rPr>
          <w:sz w:val="22"/>
          <w:szCs w:val="22"/>
        </w:rPr>
        <w:t>“),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jejímž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předmětem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závazek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Poskytovatele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poskytovat Pověřujícímu zadavateli, resp. koncovým uživatelům, služby definované v poptávkovém listu PL_DATA_VPN PL_40135, který tvoří přílohu č. 1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Smlouvy;</w:t>
      </w:r>
    </w:p>
    <w:p w14:paraId="05756E1E" w14:textId="77777777" w:rsidR="00000000" w:rsidRDefault="004B12F8">
      <w:pPr>
        <w:pStyle w:val="Odstavecseseznamem"/>
        <w:numPr>
          <w:ilvl w:val="0"/>
          <w:numId w:val="4"/>
        </w:numPr>
        <w:tabs>
          <w:tab w:val="left" w:pos="681"/>
        </w:tabs>
        <w:kinsoku w:val="0"/>
        <w:overflowPunct w:val="0"/>
        <w:spacing w:before="119" w:line="264" w:lineRule="auto"/>
        <w:ind w:left="679" w:right="874"/>
        <w:rPr>
          <w:sz w:val="22"/>
          <w:szCs w:val="22"/>
        </w:rPr>
      </w:pPr>
      <w:r>
        <w:rPr>
          <w:sz w:val="22"/>
          <w:szCs w:val="22"/>
        </w:rPr>
        <w:t>V průběhu plnění Smlouvy odpadla potřeba poskytování služby s KIVS ID D-VP001-000995,</w:t>
      </w:r>
      <w:r>
        <w:rPr>
          <w:sz w:val="22"/>
          <w:szCs w:val="22"/>
        </w:rPr>
        <w:t xml:space="preserve"> jež je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specifikována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poptávkovém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listu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PL_DATA_VPN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PL_40135,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který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tvoří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přílohu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Smlouvy, a to z důvodu zrušení lokality koncového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bodu;</w:t>
      </w:r>
    </w:p>
    <w:p w14:paraId="050E3A36" w14:textId="5DE1B7EF" w:rsidR="00000000" w:rsidRDefault="004B12F8">
      <w:pPr>
        <w:pStyle w:val="Odstavecseseznamem"/>
        <w:numPr>
          <w:ilvl w:val="0"/>
          <w:numId w:val="4"/>
        </w:numPr>
        <w:tabs>
          <w:tab w:val="left" w:pos="680"/>
        </w:tabs>
        <w:kinsoku w:val="0"/>
        <w:overflowPunct w:val="0"/>
        <w:spacing w:before="120" w:line="264" w:lineRule="auto"/>
        <w:ind w:right="874"/>
        <w:rPr>
          <w:sz w:val="22"/>
          <w:szCs w:val="22"/>
        </w:rPr>
      </w:pPr>
      <w:r>
        <w:rPr>
          <w:sz w:val="22"/>
          <w:szCs w:val="22"/>
        </w:rPr>
        <w:t xml:space="preserve">Smluvní strany mají za prokázané </w:t>
      </w:r>
      <w:r>
        <w:rPr>
          <w:sz w:val="22"/>
          <w:szCs w:val="22"/>
        </w:rPr>
        <w:t xml:space="preserve">a </w:t>
      </w:r>
      <w:r w:rsidR="00BC6D12">
        <w:rPr>
          <w:sz w:val="22"/>
          <w:szCs w:val="22"/>
        </w:rPr>
        <w:t xml:space="preserve">shodně </w:t>
      </w:r>
      <w:proofErr w:type="gramStart"/>
      <w:r w:rsidR="00BC6D12">
        <w:rPr>
          <w:sz w:val="22"/>
          <w:szCs w:val="22"/>
        </w:rPr>
        <w:t>konstatují</w:t>
      </w:r>
      <w:r>
        <w:rPr>
          <w:sz w:val="22"/>
          <w:szCs w:val="22"/>
        </w:rPr>
        <w:t>,  že</w:t>
      </w:r>
      <w:proofErr w:type="gramEnd"/>
      <w:r>
        <w:rPr>
          <w:sz w:val="22"/>
          <w:szCs w:val="22"/>
        </w:rPr>
        <w:t xml:space="preserve">  nastaly objektivní důvody,  které  v době uzavření</w:t>
      </w:r>
      <w:r>
        <w:rPr>
          <w:sz w:val="22"/>
          <w:szCs w:val="22"/>
        </w:rPr>
        <w:t xml:space="preserve"> Smlouvy nemohl Pověřující zadavatel předvídat, a pro které nelze po Pověřujícím zadavateli požadovat, aby předmětnou službu s KIVS ID D-VP001-000995 odebíral a současně v plnění závazku ze Smlouvy nelze pokračovat, aniž by byla porušena pravidla uvedená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222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zákona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134/2016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Sb.,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zadávání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veřejných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zakázek,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znění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pozdějších předpisů (dále jen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„ZZVZ“</w:t>
      </w:r>
      <w:r>
        <w:rPr>
          <w:sz w:val="22"/>
          <w:szCs w:val="22"/>
        </w:rPr>
        <w:t>);</w:t>
      </w:r>
    </w:p>
    <w:p w14:paraId="0DDBDDC5" w14:textId="77777777" w:rsidR="00000000" w:rsidRDefault="004B12F8">
      <w:pPr>
        <w:pStyle w:val="Zkladntext"/>
        <w:kinsoku w:val="0"/>
        <w:overflowPunct w:val="0"/>
      </w:pPr>
    </w:p>
    <w:p w14:paraId="46D7923A" w14:textId="77777777" w:rsidR="00000000" w:rsidRDefault="004B12F8">
      <w:pPr>
        <w:pStyle w:val="Zkladntext"/>
        <w:kinsoku w:val="0"/>
        <w:overflowPunct w:val="0"/>
        <w:spacing w:before="7"/>
        <w:rPr>
          <w:sz w:val="19"/>
          <w:szCs w:val="19"/>
        </w:rPr>
      </w:pPr>
    </w:p>
    <w:p w14:paraId="571195BC" w14:textId="77777777" w:rsidR="00000000" w:rsidRDefault="004B12F8">
      <w:pPr>
        <w:pStyle w:val="Zkladntext"/>
        <w:kinsoku w:val="0"/>
        <w:overflowPunct w:val="0"/>
        <w:spacing w:line="264" w:lineRule="auto"/>
        <w:ind w:left="115" w:right="592"/>
      </w:pPr>
      <w:r>
        <w:t xml:space="preserve">uzavřely Smluvní strany v souladu s odstavcem 12.4. Smlouvy </w:t>
      </w:r>
      <w:r>
        <w:rPr>
          <w:i/>
          <w:iCs/>
          <w:u w:val="single"/>
        </w:rPr>
        <w:t>„Zánik Smlouvy před uplynutím doby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jejího</w:t>
      </w:r>
      <w:r>
        <w:rPr>
          <w:i/>
          <w:iCs/>
          <w:spacing w:val="-13"/>
          <w:u w:val="single"/>
        </w:rPr>
        <w:t xml:space="preserve"> </w:t>
      </w:r>
      <w:r>
        <w:rPr>
          <w:i/>
          <w:iCs/>
          <w:u w:val="single"/>
        </w:rPr>
        <w:t>trvání“</w:t>
      </w:r>
      <w:r>
        <w:rPr>
          <w:i/>
          <w:iCs/>
          <w:spacing w:val="-13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kterého</w:t>
      </w:r>
      <w:r>
        <w:rPr>
          <w:spacing w:val="-13"/>
        </w:rPr>
        <w:t xml:space="preserve"> </w:t>
      </w:r>
      <w:r>
        <w:t>lze</w:t>
      </w:r>
      <w:r>
        <w:rPr>
          <w:spacing w:val="-12"/>
        </w:rPr>
        <w:t xml:space="preserve"> </w:t>
      </w:r>
      <w:r>
        <w:t>před</w:t>
      </w:r>
      <w:r>
        <w:rPr>
          <w:spacing w:val="-12"/>
        </w:rPr>
        <w:t xml:space="preserve"> </w:t>
      </w:r>
      <w:r>
        <w:t>sjednaným</w:t>
      </w:r>
      <w:r>
        <w:rPr>
          <w:spacing w:val="-13"/>
        </w:rPr>
        <w:t xml:space="preserve"> </w:t>
      </w:r>
      <w:r>
        <w:t>skončením</w:t>
      </w:r>
      <w:r>
        <w:rPr>
          <w:spacing w:val="-10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ukončit</w:t>
      </w:r>
      <w:r>
        <w:rPr>
          <w:spacing w:val="-15"/>
        </w:rPr>
        <w:t xml:space="preserve"> </w:t>
      </w:r>
      <w:r>
        <w:t>Smlouvu</w:t>
      </w:r>
      <w:r>
        <w:rPr>
          <w:spacing w:val="-12"/>
        </w:rPr>
        <w:t xml:space="preserve"> </w:t>
      </w:r>
      <w:r>
        <w:t>taktéž</w:t>
      </w:r>
      <w:r>
        <w:rPr>
          <w:spacing w:val="-1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</w:p>
    <w:p w14:paraId="58AA1EE5" w14:textId="77777777" w:rsidR="00000000" w:rsidRDefault="004B12F8">
      <w:pPr>
        <w:pStyle w:val="Zkladntext"/>
        <w:kinsoku w:val="0"/>
        <w:overflowPunct w:val="0"/>
        <w:spacing w:line="264" w:lineRule="auto"/>
        <w:ind w:left="115" w:right="592"/>
        <w:sectPr w:rsidR="00000000">
          <w:pgSz w:w="11900" w:h="16840"/>
          <w:pgMar w:top="1380" w:right="640" w:bottom="920" w:left="1300" w:header="0" w:footer="735" w:gutter="0"/>
          <w:cols w:space="708"/>
          <w:noEndnote/>
        </w:sectPr>
      </w:pPr>
    </w:p>
    <w:p w14:paraId="1170099E" w14:textId="77777777" w:rsidR="00000000" w:rsidRDefault="004B12F8">
      <w:pPr>
        <w:pStyle w:val="Zkladntext"/>
        <w:kinsoku w:val="0"/>
        <w:overflowPunct w:val="0"/>
        <w:spacing w:before="35" w:line="266" w:lineRule="auto"/>
        <w:ind w:left="116" w:right="592"/>
      </w:pPr>
      <w:r>
        <w:lastRenderedPageBreak/>
        <w:t xml:space="preserve">písemné dohody Smluvních stran, a to při zohlednění </w:t>
      </w:r>
      <w:proofErr w:type="spellStart"/>
      <w:r>
        <w:t>ust</w:t>
      </w:r>
      <w:proofErr w:type="spellEnd"/>
      <w:r>
        <w:t xml:space="preserve">. § 223 odst. 4 ZZVZ, ve spojení s </w:t>
      </w:r>
      <w:proofErr w:type="spellStart"/>
      <w:r>
        <w:t>ust</w:t>
      </w:r>
      <w:proofErr w:type="spellEnd"/>
      <w:r>
        <w:t>. § 1981 zákona č. 89/2012 Sb., občanský zákoník, ve znění pozdějších předpi</w:t>
      </w:r>
      <w:r>
        <w:t>sů, tuto:</w:t>
      </w:r>
    </w:p>
    <w:p w14:paraId="122D9E62" w14:textId="77777777" w:rsidR="00000000" w:rsidRDefault="004B12F8">
      <w:pPr>
        <w:pStyle w:val="Zkladntext"/>
        <w:kinsoku w:val="0"/>
        <w:overflowPunct w:val="0"/>
        <w:spacing w:before="8"/>
        <w:rPr>
          <w:sz w:val="25"/>
          <w:szCs w:val="25"/>
        </w:rPr>
      </w:pPr>
    </w:p>
    <w:p w14:paraId="7B21E0FA" w14:textId="77777777" w:rsidR="00000000" w:rsidRDefault="004B12F8">
      <w:pPr>
        <w:pStyle w:val="Nadpis2"/>
        <w:kinsoku w:val="0"/>
        <w:overflowPunct w:val="0"/>
        <w:ind w:left="376" w:right="1028"/>
        <w:jc w:val="center"/>
      </w:pPr>
      <w:r>
        <w:t>Dohodu o zániku části Smlouvy č. j. MPSV-2021/63776-171 na poskytování služeb KIVS – CMS</w:t>
      </w:r>
    </w:p>
    <w:p w14:paraId="5DC0CCAE" w14:textId="77777777" w:rsidR="00000000" w:rsidRDefault="004B12F8">
      <w:pPr>
        <w:pStyle w:val="Zkladntext"/>
        <w:kinsoku w:val="0"/>
        <w:overflowPunct w:val="0"/>
        <w:spacing w:before="53"/>
        <w:ind w:left="376" w:right="1027"/>
        <w:jc w:val="center"/>
      </w:pPr>
      <w:r>
        <w:t>(dále jen „</w:t>
      </w:r>
      <w:r>
        <w:rPr>
          <w:b/>
          <w:bCs/>
        </w:rPr>
        <w:t>Dohoda</w:t>
      </w:r>
      <w:r>
        <w:t>“)</w:t>
      </w:r>
    </w:p>
    <w:p w14:paraId="487924C6" w14:textId="77777777" w:rsidR="00000000" w:rsidRDefault="004B12F8">
      <w:pPr>
        <w:pStyle w:val="Zkladntext"/>
        <w:kinsoku w:val="0"/>
        <w:overflowPunct w:val="0"/>
        <w:spacing w:before="4"/>
        <w:rPr>
          <w:sz w:val="30"/>
          <w:szCs w:val="30"/>
        </w:rPr>
      </w:pPr>
    </w:p>
    <w:p w14:paraId="6A84998B" w14:textId="77777777" w:rsidR="00000000" w:rsidRDefault="004B12F8">
      <w:pPr>
        <w:pStyle w:val="Nadpis2"/>
        <w:numPr>
          <w:ilvl w:val="0"/>
          <w:numId w:val="5"/>
        </w:numPr>
        <w:tabs>
          <w:tab w:val="left" w:pos="3613"/>
        </w:tabs>
        <w:kinsoku w:val="0"/>
        <w:overflowPunct w:val="0"/>
        <w:ind w:left="3612" w:hanging="536"/>
      </w:pPr>
      <w:r>
        <w:t>Dohoda o zániku</w:t>
      </w:r>
      <w:r>
        <w:rPr>
          <w:spacing w:val="-3"/>
        </w:rPr>
        <w:t xml:space="preserve"> </w:t>
      </w:r>
      <w:r>
        <w:t>Smlouvy</w:t>
      </w:r>
    </w:p>
    <w:p w14:paraId="7C034C9F" w14:textId="77777777" w:rsidR="00000000" w:rsidRDefault="004B12F8">
      <w:pPr>
        <w:pStyle w:val="Zkladntext"/>
        <w:kinsoku w:val="0"/>
        <w:overflowPunct w:val="0"/>
        <w:spacing w:before="4"/>
        <w:rPr>
          <w:b/>
          <w:bCs/>
          <w:sz w:val="26"/>
          <w:szCs w:val="26"/>
        </w:rPr>
      </w:pPr>
    </w:p>
    <w:p w14:paraId="259F7BE1" w14:textId="67A319CA" w:rsidR="00000000" w:rsidRDefault="004B12F8">
      <w:pPr>
        <w:pStyle w:val="Odstavecseseznamem"/>
        <w:numPr>
          <w:ilvl w:val="0"/>
          <w:numId w:val="3"/>
        </w:numPr>
        <w:tabs>
          <w:tab w:val="left" w:pos="400"/>
        </w:tabs>
        <w:kinsoku w:val="0"/>
        <w:overflowPunct w:val="0"/>
        <w:spacing w:line="264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Smluvní strany touto Dohodou sjednávají, že Smlouva zaniká v částečném rozsahu, tj. ve </w:t>
      </w:r>
      <w:r w:rsidR="00BC6D12">
        <w:rPr>
          <w:sz w:val="22"/>
          <w:szCs w:val="22"/>
        </w:rPr>
        <w:t>vztahu ke</w:t>
      </w:r>
      <w:r>
        <w:rPr>
          <w:sz w:val="22"/>
          <w:szCs w:val="22"/>
        </w:rPr>
        <w:t xml:space="preserve"> službě označ</w:t>
      </w:r>
      <w:r>
        <w:rPr>
          <w:sz w:val="22"/>
          <w:szCs w:val="22"/>
        </w:rPr>
        <w:t xml:space="preserve">ené KIVS ID D-VP001-000995 vymezené v poptávkovém listu s názvem PL_DATA_VPN PL_40135, který </w:t>
      </w:r>
      <w:proofErr w:type="gramStart"/>
      <w:r>
        <w:rPr>
          <w:sz w:val="22"/>
          <w:szCs w:val="22"/>
        </w:rPr>
        <w:t>tvoří</w:t>
      </w:r>
      <w:proofErr w:type="gramEnd"/>
      <w:r>
        <w:rPr>
          <w:sz w:val="22"/>
          <w:szCs w:val="22"/>
        </w:rPr>
        <w:t xml:space="preserve"> přílohu č. 1 Smlouvy), a </w:t>
      </w:r>
      <w:r>
        <w:rPr>
          <w:b/>
          <w:bCs/>
          <w:sz w:val="22"/>
          <w:szCs w:val="22"/>
        </w:rPr>
        <w:t>to ke dni 30. 6.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2023</w:t>
      </w:r>
    </w:p>
    <w:p w14:paraId="726033FD" w14:textId="77777777" w:rsidR="00000000" w:rsidRDefault="004B12F8">
      <w:pPr>
        <w:pStyle w:val="Zkladn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6FB75529" w14:textId="77777777" w:rsidR="00000000" w:rsidRDefault="004B12F8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line="266" w:lineRule="auto"/>
        <w:ind w:left="476" w:right="768" w:hanging="360"/>
        <w:rPr>
          <w:sz w:val="22"/>
          <w:szCs w:val="22"/>
        </w:rPr>
      </w:pPr>
      <w:r>
        <w:rPr>
          <w:sz w:val="22"/>
          <w:szCs w:val="22"/>
        </w:rPr>
        <w:t>Smluvní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strany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prohlašují,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že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částečný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zánik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rozsahu,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jaký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definován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čl.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odst.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té</w:t>
      </w:r>
      <w:r>
        <w:rPr>
          <w:sz w:val="22"/>
          <w:szCs w:val="22"/>
        </w:rPr>
        <w:t xml:space="preserve">to Dohody, není podstatnou změnou závazku ze Smlouvy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222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ZZVZ.</w:t>
      </w:r>
    </w:p>
    <w:p w14:paraId="674B0798" w14:textId="77777777" w:rsidR="00000000" w:rsidRDefault="004B12F8">
      <w:pPr>
        <w:pStyle w:val="Zkladntext"/>
        <w:kinsoku w:val="0"/>
        <w:overflowPunct w:val="0"/>
        <w:spacing w:before="4"/>
        <w:rPr>
          <w:sz w:val="19"/>
          <w:szCs w:val="19"/>
        </w:rPr>
      </w:pPr>
    </w:p>
    <w:p w14:paraId="446F3C3E" w14:textId="77777777" w:rsidR="00000000" w:rsidRDefault="004B12F8">
      <w:pPr>
        <w:pStyle w:val="Odstavecseseznamem"/>
        <w:numPr>
          <w:ilvl w:val="0"/>
          <w:numId w:val="3"/>
        </w:numPr>
        <w:tabs>
          <w:tab w:val="left" w:pos="477"/>
        </w:tabs>
        <w:kinsoku w:val="0"/>
        <w:overflowPunct w:val="0"/>
        <w:spacing w:before="1" w:line="264" w:lineRule="auto"/>
        <w:ind w:left="476" w:hanging="360"/>
        <w:rPr>
          <w:sz w:val="22"/>
          <w:szCs w:val="22"/>
        </w:rPr>
      </w:pPr>
      <w:r>
        <w:rPr>
          <w:sz w:val="22"/>
          <w:szCs w:val="22"/>
        </w:rPr>
        <w:t>Smluvní strany současně prohlašují, že veškerá práva a povinnosti ze zanikající části Smlouvy vyplývající jsou mezi nimi v plném rozsahu vypořádána a nadále od sebe ničeho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nep</w:t>
      </w:r>
      <w:r>
        <w:rPr>
          <w:sz w:val="22"/>
          <w:szCs w:val="22"/>
        </w:rPr>
        <w:t>ožadují.</w:t>
      </w:r>
    </w:p>
    <w:p w14:paraId="7A66F12F" w14:textId="77777777" w:rsidR="00000000" w:rsidRDefault="004B12F8">
      <w:pPr>
        <w:pStyle w:val="Zkladntext"/>
        <w:kinsoku w:val="0"/>
        <w:overflowPunct w:val="0"/>
      </w:pPr>
    </w:p>
    <w:p w14:paraId="5A3F9008" w14:textId="77777777" w:rsidR="00000000" w:rsidRDefault="004B12F8">
      <w:pPr>
        <w:pStyle w:val="Zkladntext"/>
        <w:kinsoku w:val="0"/>
        <w:overflowPunct w:val="0"/>
        <w:spacing w:before="10"/>
        <w:rPr>
          <w:sz w:val="27"/>
          <w:szCs w:val="27"/>
        </w:rPr>
      </w:pPr>
    </w:p>
    <w:p w14:paraId="53857BC4" w14:textId="77777777" w:rsidR="00000000" w:rsidRDefault="004B12F8">
      <w:pPr>
        <w:pStyle w:val="Nadpis2"/>
        <w:numPr>
          <w:ilvl w:val="0"/>
          <w:numId w:val="5"/>
        </w:numPr>
        <w:tabs>
          <w:tab w:val="left" w:pos="2641"/>
        </w:tabs>
        <w:kinsoku w:val="0"/>
        <w:overflowPunct w:val="0"/>
        <w:spacing w:before="1"/>
        <w:ind w:left="2640" w:hanging="593"/>
      </w:pPr>
      <w:r>
        <w:t>INFORMACE O ZPRACOVÁNÍ OSOBNÍCH ÚDAJŮ</w:t>
      </w:r>
    </w:p>
    <w:p w14:paraId="42E9E785" w14:textId="77777777" w:rsidR="00000000" w:rsidRDefault="004B12F8" w:rsidP="00BC6D12">
      <w:pPr>
        <w:pStyle w:val="Zkladntext"/>
        <w:kinsoku w:val="0"/>
        <w:overflowPunct w:val="0"/>
        <w:spacing w:before="5"/>
        <w:jc w:val="both"/>
        <w:rPr>
          <w:b/>
          <w:bCs/>
          <w:sz w:val="30"/>
          <w:szCs w:val="30"/>
        </w:rPr>
      </w:pPr>
    </w:p>
    <w:p w14:paraId="2263A093" w14:textId="18EEFAA2" w:rsidR="00000000" w:rsidRDefault="004B12F8" w:rsidP="00BC6D12">
      <w:pPr>
        <w:pStyle w:val="Odstavecseseznamem"/>
        <w:numPr>
          <w:ilvl w:val="0"/>
          <w:numId w:val="2"/>
        </w:numPr>
        <w:tabs>
          <w:tab w:val="left" w:pos="400"/>
        </w:tabs>
        <w:kinsoku w:val="0"/>
        <w:overflowPunct w:val="0"/>
        <w:spacing w:before="1" w:line="285" w:lineRule="auto"/>
        <w:ind w:right="767"/>
        <w:rPr>
          <w:sz w:val="22"/>
          <w:szCs w:val="22"/>
        </w:rPr>
      </w:pPr>
      <w:r>
        <w:rPr>
          <w:sz w:val="22"/>
          <w:szCs w:val="22"/>
        </w:rPr>
        <w:t xml:space="preserve">Pověřující zadavatel </w:t>
      </w:r>
      <w:r>
        <w:rPr>
          <w:sz w:val="22"/>
          <w:szCs w:val="22"/>
        </w:rPr>
        <w:t xml:space="preserve">jako </w:t>
      </w:r>
      <w:r>
        <w:rPr>
          <w:sz w:val="22"/>
          <w:szCs w:val="22"/>
        </w:rPr>
        <w:t xml:space="preserve">správce </w:t>
      </w:r>
      <w:r>
        <w:rPr>
          <w:sz w:val="22"/>
          <w:szCs w:val="22"/>
        </w:rPr>
        <w:t xml:space="preserve">dle </w:t>
      </w:r>
      <w:r>
        <w:rPr>
          <w:sz w:val="22"/>
          <w:szCs w:val="22"/>
        </w:rPr>
        <w:t xml:space="preserve">zákona </w:t>
      </w:r>
      <w:r>
        <w:rPr>
          <w:sz w:val="22"/>
          <w:szCs w:val="22"/>
        </w:rPr>
        <w:t xml:space="preserve">č.  110/2019 </w:t>
      </w:r>
      <w:r>
        <w:rPr>
          <w:sz w:val="22"/>
          <w:szCs w:val="22"/>
        </w:rPr>
        <w:t xml:space="preserve">Sb., </w:t>
      </w:r>
      <w:r>
        <w:rPr>
          <w:sz w:val="22"/>
          <w:szCs w:val="22"/>
        </w:rPr>
        <w:t xml:space="preserve">  </w:t>
      </w:r>
      <w:r w:rsidR="00BC6D12">
        <w:rPr>
          <w:sz w:val="22"/>
          <w:szCs w:val="22"/>
        </w:rPr>
        <w:t>zpracování osobních údajů, a</w:t>
      </w:r>
      <w:r>
        <w:rPr>
          <w:sz w:val="22"/>
          <w:szCs w:val="22"/>
        </w:rPr>
        <w:t xml:space="preserve"> platného nařízení (EU) 2016/679 (GDPR), tímto informuje fyzické osoby jednající na straně Poskytovate</w:t>
      </w:r>
      <w:r>
        <w:rPr>
          <w:sz w:val="22"/>
          <w:szCs w:val="22"/>
        </w:rPr>
        <w:t>le, jako subjekty osobních údajů, že jejich údaje uvedené v této Dohodě zpracovává pro účely realizace, výkonu práv a povinností dle této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Dohody.</w:t>
      </w:r>
    </w:p>
    <w:p w14:paraId="6313F746" w14:textId="77777777" w:rsidR="00000000" w:rsidRDefault="004B12F8" w:rsidP="00BC6D12">
      <w:pPr>
        <w:pStyle w:val="Odstavecseseznamem"/>
        <w:numPr>
          <w:ilvl w:val="0"/>
          <w:numId w:val="2"/>
        </w:numPr>
        <w:tabs>
          <w:tab w:val="left" w:pos="400"/>
        </w:tabs>
        <w:kinsoku w:val="0"/>
        <w:overflowPunct w:val="0"/>
        <w:spacing w:before="161" w:line="285" w:lineRule="auto"/>
        <w:ind w:right="768"/>
        <w:rPr>
          <w:sz w:val="22"/>
          <w:szCs w:val="22"/>
        </w:rPr>
      </w:pPr>
      <w:r>
        <w:rPr>
          <w:sz w:val="22"/>
          <w:szCs w:val="22"/>
        </w:rPr>
        <w:t>Subjekty osobních údajů (tj. fyzické osoby, k nimž se osobní údaje vztahují) mají právo požadovat od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Pověřujíc</w:t>
      </w:r>
      <w:r>
        <w:rPr>
          <w:sz w:val="22"/>
          <w:szCs w:val="22"/>
        </w:rPr>
        <w:t>ího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zadavatele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přístup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osobním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údajům,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které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jich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týkají,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jejich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opravu,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jakož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další práva vyplývající z výše uvedené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legislativy.</w:t>
      </w:r>
    </w:p>
    <w:p w14:paraId="10022A66" w14:textId="5DD300D5" w:rsidR="00000000" w:rsidRDefault="004B12F8" w:rsidP="00BC6D12">
      <w:pPr>
        <w:pStyle w:val="Odstavecseseznamem"/>
        <w:numPr>
          <w:ilvl w:val="0"/>
          <w:numId w:val="2"/>
        </w:numPr>
        <w:tabs>
          <w:tab w:val="left" w:pos="400"/>
        </w:tabs>
        <w:kinsoku w:val="0"/>
        <w:overflowPunct w:val="0"/>
        <w:spacing w:before="160" w:line="285" w:lineRule="auto"/>
        <w:rPr>
          <w:sz w:val="22"/>
          <w:szCs w:val="22"/>
        </w:rPr>
      </w:pPr>
      <w:r>
        <w:rPr>
          <w:sz w:val="22"/>
          <w:szCs w:val="22"/>
        </w:rPr>
        <w:t>Pověřující zadavatel se zavazuje, že při správě a zpracování osobních údajů bude dá</w:t>
      </w:r>
      <w:r>
        <w:rPr>
          <w:sz w:val="22"/>
          <w:szCs w:val="22"/>
        </w:rPr>
        <w:t xml:space="preserve">le postupovat v souladu s aktuální platnou a účinnou </w:t>
      </w:r>
      <w:r w:rsidR="00BC6D12">
        <w:rPr>
          <w:sz w:val="22"/>
          <w:szCs w:val="22"/>
        </w:rPr>
        <w:t>legislativou, a to po celou</w:t>
      </w:r>
      <w:r>
        <w:rPr>
          <w:sz w:val="22"/>
          <w:szCs w:val="22"/>
        </w:rPr>
        <w:t xml:space="preserve"> dobu </w:t>
      </w:r>
      <w:r w:rsidR="00BC6D12">
        <w:rPr>
          <w:sz w:val="22"/>
          <w:szCs w:val="22"/>
        </w:rPr>
        <w:t>trvání skartační lhůty ve</w:t>
      </w:r>
      <w:r>
        <w:rPr>
          <w:sz w:val="22"/>
          <w:szCs w:val="22"/>
        </w:rPr>
        <w:t xml:space="preserve"> smyslu § 2 písm. s) zákona č. 499/2004 Sb. o archivnictví a spisové službě a o změně některých zákonů,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znění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pozdějších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předpisů,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příp</w:t>
      </w:r>
      <w:r>
        <w:rPr>
          <w:sz w:val="22"/>
          <w:szCs w:val="22"/>
        </w:rPr>
        <w:t>adně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dobu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nezbytně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nutnou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zajištění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vzájemných práv a povinností vyplývajících z Dohody pro účely oprávněných zájmů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správce.</w:t>
      </w:r>
    </w:p>
    <w:p w14:paraId="3E214919" w14:textId="1D576366" w:rsidR="00000000" w:rsidRDefault="004B12F8" w:rsidP="00BC6D12">
      <w:pPr>
        <w:pStyle w:val="Odstavecseseznamem"/>
        <w:numPr>
          <w:ilvl w:val="0"/>
          <w:numId w:val="2"/>
        </w:numPr>
        <w:tabs>
          <w:tab w:val="left" w:pos="400"/>
        </w:tabs>
        <w:kinsoku w:val="0"/>
        <w:overflowPunct w:val="0"/>
        <w:spacing w:before="164" w:line="285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V podrobnostech Pověřující zadavatel odkazuje na dokument „Zásady zpracování osobních údajů na MPSV“,</w:t>
      </w:r>
      <w:r w:rsidR="00BC6D12">
        <w:rPr>
          <w:sz w:val="22"/>
          <w:szCs w:val="22"/>
        </w:rPr>
        <w:t xml:space="preserve"> </w:t>
      </w:r>
      <w:r>
        <w:rPr>
          <w:sz w:val="22"/>
          <w:szCs w:val="22"/>
        </w:rPr>
        <w:t>který se nachází na we</w:t>
      </w:r>
      <w:r>
        <w:rPr>
          <w:sz w:val="22"/>
          <w:szCs w:val="22"/>
        </w:rPr>
        <w:t xml:space="preserve">bových stránkách Pověřujícího zadavatele </w:t>
      </w:r>
      <w:r>
        <w:rPr>
          <w:b/>
          <w:bCs/>
          <w:sz w:val="22"/>
          <w:szCs w:val="22"/>
        </w:rPr>
        <w:t>(https://</w:t>
      </w:r>
      <w:hyperlink r:id="rId8" w:history="1">
        <w:r>
          <w:rPr>
            <w:b/>
            <w:bCs/>
            <w:sz w:val="22"/>
            <w:szCs w:val="22"/>
          </w:rPr>
          <w:t>www.mpsv.cz/informace-o-zpracovani-osobnich-udaju-gdpr-).</w:t>
        </w:r>
      </w:hyperlink>
    </w:p>
    <w:p w14:paraId="1DFE06D8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3559603D" w14:textId="77777777" w:rsidR="00000000" w:rsidRDefault="004B12F8">
      <w:pPr>
        <w:pStyle w:val="Zkladn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40CDE0D9" w14:textId="77777777" w:rsidR="00000000" w:rsidRDefault="004B12F8">
      <w:pPr>
        <w:pStyle w:val="Nadpis2"/>
        <w:numPr>
          <w:ilvl w:val="0"/>
          <w:numId w:val="5"/>
        </w:numPr>
        <w:tabs>
          <w:tab w:val="left" w:pos="3642"/>
        </w:tabs>
        <w:kinsoku w:val="0"/>
        <w:overflowPunct w:val="0"/>
        <w:ind w:left="3641" w:hanging="301"/>
      </w:pPr>
      <w:r>
        <w:t>ZÁVĚREČNÁ</w:t>
      </w:r>
      <w:r>
        <w:rPr>
          <w:spacing w:val="-2"/>
        </w:rPr>
        <w:t xml:space="preserve"> </w:t>
      </w:r>
      <w:r>
        <w:t>PROHLÁŠENÍ</w:t>
      </w:r>
    </w:p>
    <w:p w14:paraId="3537B2C2" w14:textId="77777777" w:rsidR="00000000" w:rsidRDefault="004B12F8">
      <w:pPr>
        <w:pStyle w:val="Zkladntext"/>
        <w:kinsoku w:val="0"/>
        <w:overflowPunct w:val="0"/>
        <w:spacing w:before="3"/>
        <w:rPr>
          <w:b/>
          <w:bCs/>
          <w:sz w:val="30"/>
          <w:szCs w:val="30"/>
        </w:rPr>
      </w:pPr>
    </w:p>
    <w:p w14:paraId="34D192B8" w14:textId="77777777" w:rsidR="00000000" w:rsidRDefault="004B12F8">
      <w:pPr>
        <w:pStyle w:val="Odstavecseseznamem"/>
        <w:numPr>
          <w:ilvl w:val="0"/>
          <w:numId w:val="1"/>
        </w:numPr>
        <w:tabs>
          <w:tab w:val="left" w:pos="400"/>
        </w:tabs>
        <w:kinsoku w:val="0"/>
        <w:overflowPunct w:val="0"/>
        <w:spacing w:line="285" w:lineRule="auto"/>
        <w:ind w:right="769"/>
        <w:rPr>
          <w:sz w:val="22"/>
          <w:szCs w:val="22"/>
        </w:rPr>
      </w:pPr>
      <w:r>
        <w:rPr>
          <w:sz w:val="22"/>
          <w:szCs w:val="22"/>
        </w:rPr>
        <w:t>Tato Dohoda nabývá platnosti dnem podpisu Sm</w:t>
      </w:r>
      <w:r>
        <w:rPr>
          <w:sz w:val="22"/>
          <w:szCs w:val="22"/>
        </w:rPr>
        <w:t>luvními stranami a účinnosti v den uveřejnění      v registru smluv dle zákona č. 340/2015 Sb., o zvláštních podmínkách účinnosti některých smluv, uveřejňování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těchto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smluv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registru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smluv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(zákon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registru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smluv),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znění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pozdějších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předpisů. Uveř</w:t>
      </w:r>
      <w:r>
        <w:rPr>
          <w:sz w:val="22"/>
          <w:szCs w:val="22"/>
        </w:rPr>
        <w:t>ejnění Dohody v registru smluv provede Pověřující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zadavatel.</w:t>
      </w:r>
    </w:p>
    <w:p w14:paraId="66F6794E" w14:textId="77777777" w:rsidR="00000000" w:rsidRDefault="004B12F8">
      <w:pPr>
        <w:pStyle w:val="Odstavecseseznamem"/>
        <w:numPr>
          <w:ilvl w:val="0"/>
          <w:numId w:val="1"/>
        </w:numPr>
        <w:tabs>
          <w:tab w:val="left" w:pos="400"/>
        </w:tabs>
        <w:kinsoku w:val="0"/>
        <w:overflowPunct w:val="0"/>
        <w:spacing w:line="285" w:lineRule="auto"/>
        <w:ind w:right="769"/>
        <w:rPr>
          <w:sz w:val="22"/>
          <w:szCs w:val="22"/>
        </w:rPr>
        <w:sectPr w:rsidR="00000000">
          <w:pgSz w:w="11900" w:h="16840"/>
          <w:pgMar w:top="1380" w:right="640" w:bottom="920" w:left="1300" w:header="0" w:footer="735" w:gutter="0"/>
          <w:cols w:space="708"/>
          <w:noEndnote/>
        </w:sectPr>
      </w:pPr>
    </w:p>
    <w:p w14:paraId="189884B9" w14:textId="77777777" w:rsidR="00000000" w:rsidRDefault="004B12F8">
      <w:pPr>
        <w:pStyle w:val="Odstavecseseznamem"/>
        <w:numPr>
          <w:ilvl w:val="0"/>
          <w:numId w:val="1"/>
        </w:numPr>
        <w:tabs>
          <w:tab w:val="left" w:pos="400"/>
        </w:tabs>
        <w:kinsoku w:val="0"/>
        <w:overflowPunct w:val="0"/>
        <w:spacing w:before="45" w:line="288" w:lineRule="auto"/>
        <w:ind w:right="76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Tato Dohoda je podepsána Smluvními stranami elektronicky pomocí zaručeného elektronického podpisu.</w:t>
      </w:r>
    </w:p>
    <w:p w14:paraId="2E286973" w14:textId="77777777" w:rsidR="00000000" w:rsidRDefault="004B12F8">
      <w:pPr>
        <w:pStyle w:val="Odstavecseseznamem"/>
        <w:numPr>
          <w:ilvl w:val="0"/>
          <w:numId w:val="1"/>
        </w:numPr>
        <w:tabs>
          <w:tab w:val="left" w:pos="400"/>
        </w:tabs>
        <w:kinsoku w:val="0"/>
        <w:overflowPunct w:val="0"/>
        <w:spacing w:before="157" w:line="285" w:lineRule="auto"/>
        <w:ind w:right="7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tuto Dohodu uzavírají svobodně a vážně a </w:t>
      </w:r>
      <w:r>
        <w:rPr>
          <w:sz w:val="22"/>
          <w:szCs w:val="22"/>
        </w:rPr>
        <w:t>že obsah Dohody</w:t>
      </w:r>
      <w:r>
        <w:rPr>
          <w:spacing w:val="-32"/>
          <w:sz w:val="22"/>
          <w:szCs w:val="22"/>
        </w:rPr>
        <w:t xml:space="preserve"> </w:t>
      </w:r>
      <w:r>
        <w:rPr>
          <w:sz w:val="22"/>
          <w:szCs w:val="22"/>
        </w:rPr>
        <w:t>vyjadřuje jejich vůli, a na důkaz toho Dohodu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podepisují.</w:t>
      </w:r>
    </w:p>
    <w:p w14:paraId="5F623C1D" w14:textId="77777777" w:rsidR="00000000" w:rsidRDefault="004B12F8">
      <w:pPr>
        <w:pStyle w:val="Zkladntext"/>
        <w:kinsoku w:val="0"/>
        <w:overflowPunct w:val="0"/>
        <w:rPr>
          <w:sz w:val="20"/>
          <w:szCs w:val="20"/>
        </w:rPr>
      </w:pPr>
    </w:p>
    <w:p w14:paraId="56A90E7C" w14:textId="77777777" w:rsidR="00000000" w:rsidRDefault="004B12F8">
      <w:pPr>
        <w:pStyle w:val="Zkladntext"/>
        <w:kinsoku w:val="0"/>
        <w:overflowPunct w:val="0"/>
        <w:rPr>
          <w:sz w:val="20"/>
          <w:szCs w:val="20"/>
        </w:rPr>
      </w:pPr>
    </w:p>
    <w:p w14:paraId="2E9D7EBE" w14:textId="77777777" w:rsidR="00000000" w:rsidRDefault="004B12F8">
      <w:pPr>
        <w:pStyle w:val="Zkladntext"/>
        <w:kinsoku w:val="0"/>
        <w:overflowPunct w:val="0"/>
        <w:rPr>
          <w:sz w:val="20"/>
          <w:szCs w:val="20"/>
        </w:rPr>
      </w:pPr>
    </w:p>
    <w:p w14:paraId="6B1414BD" w14:textId="77777777" w:rsidR="00000000" w:rsidRDefault="004B12F8">
      <w:pPr>
        <w:pStyle w:val="Zkladntext"/>
        <w:kinsoku w:val="0"/>
        <w:overflowPunct w:val="0"/>
        <w:rPr>
          <w:sz w:val="20"/>
          <w:szCs w:val="20"/>
        </w:rPr>
      </w:pPr>
    </w:p>
    <w:p w14:paraId="7C6C8F11" w14:textId="1B8CE413" w:rsidR="00000000" w:rsidRDefault="00BC6D12">
      <w:pPr>
        <w:pStyle w:val="Zkladntext"/>
        <w:kinsoku w:val="0"/>
        <w:overflowPunct w:val="0"/>
        <w:spacing w:before="1"/>
        <w:rPr>
          <w:sz w:val="26"/>
          <w:szCs w:val="26"/>
        </w:rPr>
      </w:pPr>
      <w:r>
        <w:rPr>
          <w:noProof/>
        </w:rPr>
        <w:pict w14:anchorId="07166E05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163.75pt;margin-top:18.95pt;width:306.75pt;height:120pt;z-index:2">
            <v:fill r:id="rId9" o:title="Písek" type="tile"/>
            <v:textbox>
              <w:txbxContent>
                <w:p w14:paraId="02876360" w14:textId="77777777" w:rsidR="00BC6D12" w:rsidRDefault="00BC6D12"/>
              </w:txbxContent>
            </v:textbox>
          </v:shape>
        </w:pict>
      </w:r>
      <w:r w:rsidRPr="00BC6D12">
        <w:pict w14:anchorId="3BEE0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107.25pt">
            <v:imagedata r:id="rId10" o:title=""/>
          </v:shape>
        </w:pict>
      </w:r>
    </w:p>
    <w:p w14:paraId="6BB97B7B" w14:textId="77777777" w:rsidR="00000000" w:rsidRDefault="004B12F8">
      <w:pPr>
        <w:pStyle w:val="Zkladntext"/>
        <w:kinsoku w:val="0"/>
        <w:overflowPunct w:val="0"/>
        <w:spacing w:before="1"/>
        <w:rPr>
          <w:sz w:val="26"/>
          <w:szCs w:val="26"/>
        </w:rPr>
        <w:sectPr w:rsidR="00000000">
          <w:pgSz w:w="11900" w:h="16840"/>
          <w:pgMar w:top="1420" w:right="640" w:bottom="920" w:left="1300" w:header="0" w:footer="735" w:gutter="0"/>
          <w:cols w:space="708"/>
          <w:noEndnote/>
        </w:sectPr>
      </w:pPr>
    </w:p>
    <w:p w14:paraId="562A46A2" w14:textId="77777777" w:rsidR="00000000" w:rsidRDefault="004B12F8">
      <w:pPr>
        <w:pStyle w:val="Zkladntext"/>
        <w:kinsoku w:val="0"/>
        <w:overflowPunct w:val="0"/>
        <w:spacing w:before="14"/>
        <w:ind w:left="116"/>
        <w:rPr>
          <w:rFonts w:ascii="Gill Sans MT" w:hAnsi="Gill Sans MT" w:cs="Gill Sans MT"/>
          <w:sz w:val="39"/>
          <w:szCs w:val="39"/>
        </w:rPr>
        <w:sectPr w:rsidR="00000000">
          <w:type w:val="continuous"/>
          <w:pgSz w:w="11900" w:h="16840"/>
          <w:pgMar w:top="1380" w:right="640" w:bottom="920" w:left="1300" w:header="708" w:footer="708" w:gutter="0"/>
          <w:cols w:num="3" w:space="708" w:equalWidth="0">
            <w:col w:w="1299" w:space="2137"/>
            <w:col w:w="1947" w:space="1287"/>
            <w:col w:w="3290"/>
          </w:cols>
          <w:noEndnote/>
        </w:sectPr>
      </w:pPr>
    </w:p>
    <w:p w14:paraId="2EE4A8D8" w14:textId="11233EA5" w:rsidR="00000000" w:rsidRDefault="00BC6D12">
      <w:pPr>
        <w:pStyle w:val="Zkladntext"/>
        <w:kinsoku w:val="0"/>
        <w:overflowPunct w:val="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noProof/>
          <w:sz w:val="20"/>
          <w:szCs w:val="20"/>
        </w:rPr>
        <w:pict w14:anchorId="1026F119">
          <v:shape id="_x0000_s2068" type="#_x0000_t202" style="position:absolute;margin-left:147.25pt;margin-top:17.9pt;width:204.75pt;height:67.5pt;z-index:3">
            <v:fill r:id="rId9" o:title="Písek" type="tile"/>
            <v:textbox>
              <w:txbxContent>
                <w:p w14:paraId="1F6DD847" w14:textId="77777777" w:rsidR="00BC6D12" w:rsidRDefault="00BC6D12"/>
              </w:txbxContent>
            </v:textbox>
          </v:shape>
        </w:pict>
      </w:r>
    </w:p>
    <w:p w14:paraId="152E20D7" w14:textId="77777777" w:rsidR="00000000" w:rsidRDefault="004B12F8">
      <w:pPr>
        <w:pStyle w:val="Zkladntext"/>
        <w:kinsoku w:val="0"/>
        <w:overflowPunct w:val="0"/>
        <w:rPr>
          <w:rFonts w:ascii="Gill Sans MT" w:hAnsi="Gill Sans MT" w:cs="Gill Sans MT"/>
          <w:sz w:val="20"/>
          <w:szCs w:val="20"/>
        </w:rPr>
        <w:sectPr w:rsidR="00000000">
          <w:type w:val="continuous"/>
          <w:pgSz w:w="11900" w:h="16840"/>
          <w:pgMar w:top="1380" w:right="640" w:bottom="920" w:left="1300" w:header="708" w:footer="708" w:gutter="0"/>
          <w:cols w:space="708" w:equalWidth="0">
            <w:col w:w="9960"/>
          </w:cols>
          <w:noEndnote/>
        </w:sectPr>
      </w:pPr>
    </w:p>
    <w:p w14:paraId="25AE9EB1" w14:textId="77777777" w:rsidR="00000000" w:rsidRDefault="004B12F8">
      <w:pPr>
        <w:pStyle w:val="Zkladntext"/>
        <w:kinsoku w:val="0"/>
        <w:overflowPunct w:val="0"/>
        <w:rPr>
          <w:rFonts w:ascii="Gill Sans MT" w:hAnsi="Gill Sans MT" w:cs="Gill Sans MT"/>
        </w:rPr>
      </w:pPr>
    </w:p>
    <w:p w14:paraId="370AA3D3" w14:textId="77777777" w:rsidR="00000000" w:rsidRDefault="004B12F8">
      <w:pPr>
        <w:pStyle w:val="Zkladntext"/>
        <w:kinsoku w:val="0"/>
        <w:overflowPunct w:val="0"/>
        <w:spacing w:before="7"/>
        <w:rPr>
          <w:rFonts w:ascii="Gill Sans MT" w:hAnsi="Gill Sans MT" w:cs="Gill Sans MT"/>
          <w:sz w:val="19"/>
          <w:szCs w:val="19"/>
        </w:rPr>
      </w:pPr>
    </w:p>
    <w:p w14:paraId="2E3B9FFC" w14:textId="77777777" w:rsidR="00000000" w:rsidRDefault="004B12F8">
      <w:pPr>
        <w:pStyle w:val="Nadpis2"/>
        <w:kinsoku w:val="0"/>
        <w:overflowPunct w:val="0"/>
      </w:pPr>
      <w:r>
        <w:t>ha-vel internet s.r.o.</w:t>
      </w:r>
    </w:p>
    <w:p w14:paraId="40754137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6D53BD6F" w14:textId="77777777" w:rsidR="00000000" w:rsidRDefault="004B12F8">
      <w:pPr>
        <w:pStyle w:val="Zkladntext"/>
        <w:kinsoku w:val="0"/>
        <w:overflowPunct w:val="0"/>
        <w:rPr>
          <w:b/>
          <w:bCs/>
        </w:rPr>
      </w:pPr>
    </w:p>
    <w:p w14:paraId="40973F17" w14:textId="77777777" w:rsidR="00000000" w:rsidRDefault="004B12F8">
      <w:pPr>
        <w:pStyle w:val="Zkladntext"/>
        <w:kinsoku w:val="0"/>
        <w:overflowPunct w:val="0"/>
        <w:spacing w:before="1"/>
        <w:rPr>
          <w:b/>
          <w:bCs/>
        </w:rPr>
      </w:pPr>
    </w:p>
    <w:p w14:paraId="055C2143" w14:textId="77777777" w:rsidR="00000000" w:rsidRDefault="004B12F8">
      <w:pPr>
        <w:pStyle w:val="Zkladntext"/>
        <w:kinsoku w:val="0"/>
        <w:overflowPunct w:val="0"/>
        <w:ind w:left="115"/>
      </w:pPr>
      <w:r>
        <w:rPr>
          <w:noProof/>
        </w:rPr>
        <w:pict w14:anchorId="593D4B76">
          <v:shape id="_x0000_s2066" style="position:absolute;left:0;text-align:left;margin-left:70.75pt;margin-top:-1.35pt;width:290.4pt;height:1pt;z-index:1;mso-position-horizontal-relative:page;mso-position-vertical-relative:text" coordsize="5808,20" o:allowincell="f" path="m,hhl5807,e" filled="f" strokeweight=".25275mm">
            <v:path arrowok="t"/>
            <w10:wrap anchorx="page"/>
          </v:shape>
        </w:pict>
      </w:r>
      <w:r>
        <w:t>Jmé</w:t>
      </w:r>
      <w:r>
        <w:t>no: Ing. Pavel Halfar Funkce: jednatel</w:t>
      </w:r>
    </w:p>
    <w:p w14:paraId="3A74BAE4" w14:textId="77777777" w:rsidR="00000000" w:rsidRDefault="004B12F8">
      <w:pPr>
        <w:pStyle w:val="Zkladntext"/>
        <w:kinsoku w:val="0"/>
        <w:overflowPunct w:val="0"/>
        <w:spacing w:before="1"/>
        <w:ind w:left="115"/>
      </w:pPr>
      <w:r>
        <w:t>Místo: Ostrava</w:t>
      </w:r>
    </w:p>
    <w:p w14:paraId="2B329578" w14:textId="77777777" w:rsidR="00000000" w:rsidRDefault="004B12F8">
      <w:pPr>
        <w:pStyle w:val="Zkladntext"/>
        <w:kinsoku w:val="0"/>
        <w:overflowPunct w:val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C9B85FD" w14:textId="77BCA82E" w:rsidR="004B12F8" w:rsidRDefault="004B12F8">
      <w:pPr>
        <w:pStyle w:val="Zkladntext"/>
        <w:kinsoku w:val="0"/>
        <w:overflowPunct w:val="0"/>
        <w:ind w:left="-9"/>
        <w:rPr>
          <w:rFonts w:ascii="Arial Black" w:hAnsi="Arial Black" w:cs="Arial Black"/>
          <w:w w:val="95"/>
          <w:sz w:val="6"/>
          <w:szCs w:val="6"/>
        </w:rPr>
      </w:pPr>
    </w:p>
    <w:sectPr w:rsidR="004B12F8">
      <w:type w:val="continuous"/>
      <w:pgSz w:w="11900" w:h="16840"/>
      <w:pgMar w:top="1380" w:right="640" w:bottom="920" w:left="1300" w:header="708" w:footer="708" w:gutter="0"/>
      <w:cols w:num="3" w:space="708" w:equalWidth="0">
        <w:col w:w="2355" w:space="869"/>
        <w:col w:w="565" w:space="40"/>
        <w:col w:w="61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8AB6" w14:textId="77777777" w:rsidR="004B12F8" w:rsidRDefault="004B12F8">
      <w:r>
        <w:separator/>
      </w:r>
    </w:p>
  </w:endnote>
  <w:endnote w:type="continuationSeparator" w:id="0">
    <w:p w14:paraId="4E4B4ADD" w14:textId="77777777" w:rsidR="004B12F8" w:rsidRDefault="004B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7C3E" w14:textId="77777777" w:rsidR="00000000" w:rsidRDefault="004B12F8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F1651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05pt;margin-top:794.25pt;width:19.45pt;height:13.05pt;z-index:-1;mso-position-horizontal-relative:page;mso-position-vertical-relative:page" o:allowincell="f" filled="f" stroked="f">
          <v:textbox inset="0,0,0,0">
            <w:txbxContent>
              <w:p w14:paraId="639DABFA" w14:textId="77777777" w:rsidR="00000000" w:rsidRDefault="004B12F8">
                <w:pPr>
                  <w:pStyle w:val="Zkladntext"/>
                  <w:kinsoku w:val="0"/>
                  <w:overflowPunct w:val="0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 w:rsidR="00BC6D12">
                  <w:fldChar w:fldCharType="separate"/>
                </w:r>
                <w:r w:rsidR="00BC6D1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2B12" w14:textId="77777777" w:rsidR="004B12F8" w:rsidRDefault="004B12F8">
      <w:r>
        <w:separator/>
      </w:r>
    </w:p>
  </w:footnote>
  <w:footnote w:type="continuationSeparator" w:id="0">
    <w:p w14:paraId="136246A5" w14:textId="77777777" w:rsidR="004B12F8" w:rsidRDefault="004B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308" w:hanging="478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866" w:hanging="478"/>
      </w:pPr>
    </w:lvl>
    <w:lvl w:ilvl="2">
      <w:numFmt w:val="bullet"/>
      <w:lvlText w:val="•"/>
      <w:lvlJc w:val="left"/>
      <w:pPr>
        <w:ind w:left="5432" w:hanging="478"/>
      </w:pPr>
    </w:lvl>
    <w:lvl w:ilvl="3">
      <w:numFmt w:val="bullet"/>
      <w:lvlText w:val="•"/>
      <w:lvlJc w:val="left"/>
      <w:pPr>
        <w:ind w:left="5998" w:hanging="478"/>
      </w:pPr>
    </w:lvl>
    <w:lvl w:ilvl="4">
      <w:numFmt w:val="bullet"/>
      <w:lvlText w:val="•"/>
      <w:lvlJc w:val="left"/>
      <w:pPr>
        <w:ind w:left="6564" w:hanging="478"/>
      </w:pPr>
    </w:lvl>
    <w:lvl w:ilvl="5">
      <w:numFmt w:val="bullet"/>
      <w:lvlText w:val="•"/>
      <w:lvlJc w:val="left"/>
      <w:pPr>
        <w:ind w:left="7130" w:hanging="478"/>
      </w:pPr>
    </w:lvl>
    <w:lvl w:ilvl="6">
      <w:numFmt w:val="bullet"/>
      <w:lvlText w:val="•"/>
      <w:lvlJc w:val="left"/>
      <w:pPr>
        <w:ind w:left="7696" w:hanging="478"/>
      </w:pPr>
    </w:lvl>
    <w:lvl w:ilvl="7">
      <w:numFmt w:val="bullet"/>
      <w:lvlText w:val="•"/>
      <w:lvlJc w:val="left"/>
      <w:pPr>
        <w:ind w:left="8262" w:hanging="478"/>
      </w:pPr>
    </w:lvl>
    <w:lvl w:ilvl="8">
      <w:numFmt w:val="bullet"/>
      <w:lvlText w:val="•"/>
      <w:lvlJc w:val="left"/>
      <w:pPr>
        <w:ind w:left="8828" w:hanging="47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536" w:hanging="360"/>
      </w:pPr>
    </w:lvl>
    <w:lvl w:ilvl="3">
      <w:numFmt w:val="bullet"/>
      <w:lvlText w:val="•"/>
      <w:lvlJc w:val="left"/>
      <w:pPr>
        <w:ind w:left="3464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48" w:hanging="360"/>
      </w:pPr>
    </w:lvl>
    <w:lvl w:ilvl="7">
      <w:numFmt w:val="bullet"/>
      <w:lvlText w:val="•"/>
      <w:lvlJc w:val="left"/>
      <w:pPr>
        <w:ind w:left="7176" w:hanging="360"/>
      </w:pPr>
    </w:lvl>
    <w:lvl w:ilvl="8">
      <w:numFmt w:val="bullet"/>
      <w:lvlText w:val="•"/>
      <w:lvlJc w:val="left"/>
      <w:pPr>
        <w:ind w:left="810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56" w:hanging="284"/>
      </w:pPr>
    </w:lvl>
    <w:lvl w:ilvl="2">
      <w:numFmt w:val="bullet"/>
      <w:lvlText w:val="•"/>
      <w:lvlJc w:val="left"/>
      <w:pPr>
        <w:ind w:left="2312" w:hanging="284"/>
      </w:pPr>
    </w:lvl>
    <w:lvl w:ilvl="3">
      <w:numFmt w:val="bullet"/>
      <w:lvlText w:val="•"/>
      <w:lvlJc w:val="left"/>
      <w:pPr>
        <w:ind w:left="3268" w:hanging="284"/>
      </w:pPr>
    </w:lvl>
    <w:lvl w:ilvl="4">
      <w:numFmt w:val="bullet"/>
      <w:lvlText w:val="•"/>
      <w:lvlJc w:val="left"/>
      <w:pPr>
        <w:ind w:left="4224" w:hanging="284"/>
      </w:pPr>
    </w:lvl>
    <w:lvl w:ilvl="5">
      <w:numFmt w:val="bullet"/>
      <w:lvlText w:val="•"/>
      <w:lvlJc w:val="left"/>
      <w:pPr>
        <w:ind w:left="5180" w:hanging="284"/>
      </w:pPr>
    </w:lvl>
    <w:lvl w:ilvl="6">
      <w:numFmt w:val="bullet"/>
      <w:lvlText w:val="•"/>
      <w:lvlJc w:val="left"/>
      <w:pPr>
        <w:ind w:left="6136" w:hanging="284"/>
      </w:pPr>
    </w:lvl>
    <w:lvl w:ilvl="7">
      <w:numFmt w:val="bullet"/>
      <w:lvlText w:val="•"/>
      <w:lvlJc w:val="left"/>
      <w:pPr>
        <w:ind w:left="7092" w:hanging="284"/>
      </w:pPr>
    </w:lvl>
    <w:lvl w:ilvl="8">
      <w:numFmt w:val="bullet"/>
      <w:lvlText w:val="•"/>
      <w:lvlJc w:val="left"/>
      <w:pPr>
        <w:ind w:left="804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56" w:hanging="284"/>
      </w:pPr>
    </w:lvl>
    <w:lvl w:ilvl="2">
      <w:numFmt w:val="bullet"/>
      <w:lvlText w:val="•"/>
      <w:lvlJc w:val="left"/>
      <w:pPr>
        <w:ind w:left="2312" w:hanging="284"/>
      </w:pPr>
    </w:lvl>
    <w:lvl w:ilvl="3">
      <w:numFmt w:val="bullet"/>
      <w:lvlText w:val="•"/>
      <w:lvlJc w:val="left"/>
      <w:pPr>
        <w:ind w:left="3268" w:hanging="284"/>
      </w:pPr>
    </w:lvl>
    <w:lvl w:ilvl="4">
      <w:numFmt w:val="bullet"/>
      <w:lvlText w:val="•"/>
      <w:lvlJc w:val="left"/>
      <w:pPr>
        <w:ind w:left="4224" w:hanging="284"/>
      </w:pPr>
    </w:lvl>
    <w:lvl w:ilvl="5">
      <w:numFmt w:val="bullet"/>
      <w:lvlText w:val="•"/>
      <w:lvlJc w:val="left"/>
      <w:pPr>
        <w:ind w:left="5180" w:hanging="284"/>
      </w:pPr>
    </w:lvl>
    <w:lvl w:ilvl="6">
      <w:numFmt w:val="bullet"/>
      <w:lvlText w:val="•"/>
      <w:lvlJc w:val="left"/>
      <w:pPr>
        <w:ind w:left="6136" w:hanging="284"/>
      </w:pPr>
    </w:lvl>
    <w:lvl w:ilvl="7">
      <w:numFmt w:val="bullet"/>
      <w:lvlText w:val="•"/>
      <w:lvlJc w:val="left"/>
      <w:pPr>
        <w:ind w:left="7092" w:hanging="284"/>
      </w:pPr>
    </w:lvl>
    <w:lvl w:ilvl="8">
      <w:numFmt w:val="bullet"/>
      <w:lvlText w:val="•"/>
      <w:lvlJc w:val="left"/>
      <w:pPr>
        <w:ind w:left="8048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56" w:hanging="284"/>
      </w:pPr>
    </w:lvl>
    <w:lvl w:ilvl="2">
      <w:numFmt w:val="bullet"/>
      <w:lvlText w:val="•"/>
      <w:lvlJc w:val="left"/>
      <w:pPr>
        <w:ind w:left="2312" w:hanging="284"/>
      </w:pPr>
    </w:lvl>
    <w:lvl w:ilvl="3">
      <w:numFmt w:val="bullet"/>
      <w:lvlText w:val="•"/>
      <w:lvlJc w:val="left"/>
      <w:pPr>
        <w:ind w:left="3268" w:hanging="284"/>
      </w:pPr>
    </w:lvl>
    <w:lvl w:ilvl="4">
      <w:numFmt w:val="bullet"/>
      <w:lvlText w:val="•"/>
      <w:lvlJc w:val="left"/>
      <w:pPr>
        <w:ind w:left="4224" w:hanging="284"/>
      </w:pPr>
    </w:lvl>
    <w:lvl w:ilvl="5">
      <w:numFmt w:val="bullet"/>
      <w:lvlText w:val="•"/>
      <w:lvlJc w:val="left"/>
      <w:pPr>
        <w:ind w:left="5180" w:hanging="284"/>
      </w:pPr>
    </w:lvl>
    <w:lvl w:ilvl="6">
      <w:numFmt w:val="bullet"/>
      <w:lvlText w:val="•"/>
      <w:lvlJc w:val="left"/>
      <w:pPr>
        <w:ind w:left="6136" w:hanging="284"/>
      </w:pPr>
    </w:lvl>
    <w:lvl w:ilvl="7">
      <w:numFmt w:val="bullet"/>
      <w:lvlText w:val="•"/>
      <w:lvlJc w:val="left"/>
      <w:pPr>
        <w:ind w:left="7092" w:hanging="284"/>
      </w:pPr>
    </w:lvl>
    <w:lvl w:ilvl="8">
      <w:numFmt w:val="bullet"/>
      <w:lvlText w:val="•"/>
      <w:lvlJc w:val="left"/>
      <w:pPr>
        <w:ind w:left="8048" w:hanging="2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D12"/>
    <w:rsid w:val="004B12F8"/>
    <w:rsid w:val="00B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,"/>
  <w:listSeparator w:val=";"/>
  <w14:docId w14:val="4AFBE28C"/>
  <w14:defaultImageDpi w14:val="0"/>
  <w15:docId w15:val="{04CA96E1-14D7-412A-9FFD-E89BEF4C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6"/>
      <w:outlineLvl w:val="0"/>
    </w:pPr>
    <w:rPr>
      <w:rFonts w:ascii="Gill Sans MT" w:hAnsi="Gill Sans MT" w:cs="Gill Sans MT"/>
      <w:sz w:val="39"/>
      <w:szCs w:val="39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1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link w:val="Zkladntext"/>
    <w:uiPriority w:val="99"/>
    <w:semiHidden/>
    <w:rPr>
      <w:rFonts w:ascii="Calibri" w:hAnsi="Calibri" w:cs="Calibri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399" w:right="766" w:hanging="284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informace-o-zpracovani-osobnich-udaju-gdpr-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ZRUŠENÍ ČÁSTI SML_MPSV x havel_F_v3</dc:title>
  <dc:subject/>
  <dc:creator>lucie.thomasova</dc:creator>
  <cp:keywords/>
  <dc:description/>
  <cp:lastModifiedBy>Matějková Hana (MPSV)</cp:lastModifiedBy>
  <cp:revision>2</cp:revision>
  <dcterms:created xsi:type="dcterms:W3CDTF">2023-05-17T11:50:00Z</dcterms:created>
  <dcterms:modified xsi:type="dcterms:W3CDTF">2023-05-17T11:50:00Z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3.1.2.10844</vt:lpwstr>
  </property>
</Properties>
</file>