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1E" w:rsidRDefault="002D24EA" w:rsidP="002D24EA">
      <w:pPr>
        <w:pStyle w:val="Normlnweb"/>
        <w:spacing w:before="0" w:beforeAutospacing="0" w:after="0" w:afterAutospacing="0"/>
        <w:jc w:val="center"/>
      </w:pPr>
      <w:r>
        <w:rPr>
          <w:rStyle w:val="Siln"/>
          <w:bCs/>
        </w:rPr>
        <w:t xml:space="preserve">DOHODA  O </w:t>
      </w:r>
      <w:r w:rsidR="00792F1E">
        <w:rPr>
          <w:rStyle w:val="Siln"/>
          <w:bCs/>
        </w:rPr>
        <w:t>UZNÁNÍ DLUHU</w:t>
      </w:r>
    </w:p>
    <w:p w:rsidR="00792F1E" w:rsidRDefault="00792F1E" w:rsidP="002D24EA">
      <w:pPr>
        <w:pStyle w:val="Normlnweb"/>
        <w:spacing w:before="0" w:beforeAutospacing="0" w:after="0" w:afterAutospacing="0"/>
        <w:jc w:val="center"/>
        <w:rPr>
          <w:rStyle w:val="Siln"/>
          <w:bCs/>
        </w:rPr>
      </w:pPr>
      <w:r>
        <w:rPr>
          <w:rStyle w:val="Siln"/>
          <w:bCs/>
        </w:rPr>
        <w:t>A DOHODA O JEHO PLNĚNÍ VE SPLÁTKÁCH</w:t>
      </w:r>
    </w:p>
    <w:p w:rsidR="00601800" w:rsidRPr="00656CBB" w:rsidRDefault="00601800" w:rsidP="00601800">
      <w:pPr>
        <w:pStyle w:val="Normlnweb"/>
        <w:spacing w:before="0" w:beforeAutospacing="0" w:after="0" w:afterAutospacing="0"/>
        <w:jc w:val="center"/>
        <w:rPr>
          <w:rStyle w:val="Siln"/>
          <w:b w:val="0"/>
          <w:bCs/>
        </w:rPr>
      </w:pPr>
      <w:r w:rsidRPr="00656CBB">
        <w:rPr>
          <w:rStyle w:val="Siln"/>
          <w:b w:val="0"/>
          <w:bCs/>
        </w:rPr>
        <w:t xml:space="preserve">uzavřená v souladu s ustanovením § 2053 zákona č. 89/2012 Sb., Občanského zákoníku, </w:t>
      </w:r>
    </w:p>
    <w:p w:rsidR="00601800" w:rsidRPr="00601800" w:rsidRDefault="00601800" w:rsidP="00601800">
      <w:pPr>
        <w:pStyle w:val="Normlnweb"/>
        <w:spacing w:before="0" w:beforeAutospacing="0" w:after="0" w:afterAutospacing="0"/>
        <w:jc w:val="center"/>
        <w:rPr>
          <w:b/>
        </w:rPr>
      </w:pPr>
      <w:r w:rsidRPr="00656CBB">
        <w:rPr>
          <w:rStyle w:val="Siln"/>
          <w:b w:val="0"/>
          <w:bCs/>
        </w:rPr>
        <w:t>ve znění pozdějších předpisů</w:t>
      </w:r>
    </w:p>
    <w:p w:rsidR="00601800" w:rsidRDefault="00601800" w:rsidP="00601800">
      <w:pPr>
        <w:pStyle w:val="Normlnweb"/>
        <w:spacing w:before="0" w:beforeAutospacing="0" w:after="0" w:afterAutospacing="0"/>
        <w:jc w:val="center"/>
        <w:rPr>
          <w:b/>
        </w:rPr>
      </w:pPr>
    </w:p>
    <w:p w:rsidR="00792F1E" w:rsidRPr="00601800" w:rsidRDefault="00601800" w:rsidP="00601800">
      <w:pPr>
        <w:pStyle w:val="Normlnweb"/>
        <w:spacing w:before="0" w:beforeAutospacing="0" w:after="0" w:afterAutospacing="0"/>
        <w:jc w:val="center"/>
        <w:rPr>
          <w:b/>
        </w:rPr>
      </w:pPr>
      <w:r w:rsidRPr="00601800">
        <w:rPr>
          <w:b/>
        </w:rPr>
        <w:t>I.</w:t>
      </w:r>
    </w:p>
    <w:p w:rsidR="00601800" w:rsidRDefault="00601800" w:rsidP="00601800">
      <w:pPr>
        <w:pStyle w:val="Normlnweb"/>
        <w:spacing w:before="0" w:beforeAutospacing="0" w:after="0" w:afterAutospacing="0"/>
        <w:jc w:val="center"/>
        <w:rPr>
          <w:b/>
        </w:rPr>
      </w:pPr>
      <w:r w:rsidRPr="00601800">
        <w:rPr>
          <w:b/>
        </w:rPr>
        <w:t>Účastníci dohody</w:t>
      </w:r>
    </w:p>
    <w:p w:rsidR="00601800" w:rsidRPr="00601800" w:rsidRDefault="00601800" w:rsidP="00601800">
      <w:pPr>
        <w:pStyle w:val="Normlnweb"/>
        <w:spacing w:before="0" w:beforeAutospacing="0" w:after="0" w:afterAutospacing="0"/>
        <w:jc w:val="center"/>
        <w:rPr>
          <w:b/>
        </w:rPr>
      </w:pPr>
    </w:p>
    <w:p w:rsidR="00792F1E" w:rsidRDefault="00792F1E" w:rsidP="00601800">
      <w:pPr>
        <w:pStyle w:val="Normlnweb"/>
        <w:spacing w:before="0" w:beforeAutospacing="0" w:after="0" w:afterAutospacing="0"/>
        <w:rPr>
          <w:rStyle w:val="Siln"/>
          <w:bCs/>
        </w:rPr>
      </w:pPr>
      <w:r>
        <w:rPr>
          <w:rStyle w:val="Siln"/>
          <w:bCs/>
        </w:rPr>
        <w:t>Věřitel:    Sportovní areály města Chrudim, s.r.o.</w:t>
      </w:r>
    </w:p>
    <w:p w:rsidR="00792F1E" w:rsidRPr="00FF3712" w:rsidRDefault="00792F1E" w:rsidP="00601800">
      <w:pPr>
        <w:pStyle w:val="Normlnweb"/>
        <w:spacing w:before="0" w:beforeAutospacing="0" w:after="0" w:afterAutospacing="0"/>
        <w:rPr>
          <w:bCs/>
        </w:rPr>
      </w:pPr>
      <w:r>
        <w:rPr>
          <w:rStyle w:val="Siln"/>
          <w:b w:val="0"/>
          <w:bCs/>
        </w:rPr>
        <w:t xml:space="preserve">                 se sídlem V Průhonech 503, 537 03 Chrudim </w:t>
      </w:r>
    </w:p>
    <w:p w:rsidR="00792F1E" w:rsidRDefault="00792F1E" w:rsidP="00601800">
      <w:pPr>
        <w:pStyle w:val="Normlnweb"/>
        <w:spacing w:before="0" w:beforeAutospacing="0" w:after="0" w:afterAutospacing="0"/>
      </w:pPr>
      <w:r>
        <w:t xml:space="preserve">                 IČO: 27485013, DIČ: CZ27485013</w:t>
      </w:r>
    </w:p>
    <w:p w:rsidR="00792F1E" w:rsidRDefault="00601800" w:rsidP="00601800">
      <w:pPr>
        <w:pStyle w:val="Normlnweb"/>
        <w:spacing w:before="0" w:beforeAutospacing="0" w:after="0" w:afterAutospacing="0"/>
      </w:pPr>
      <w:r>
        <w:t xml:space="preserve">                  z</w:t>
      </w:r>
      <w:r w:rsidR="00792F1E">
        <w:t xml:space="preserve">astoupený Mgr. Luďkem </w:t>
      </w:r>
      <w:proofErr w:type="spellStart"/>
      <w:r w:rsidR="00792F1E">
        <w:t>Marouskem</w:t>
      </w:r>
      <w:proofErr w:type="spellEnd"/>
      <w:r w:rsidR="00792F1E">
        <w:t xml:space="preserve">, jednatelem společnosti </w:t>
      </w:r>
    </w:p>
    <w:p w:rsidR="00792F1E" w:rsidRDefault="00792F1E" w:rsidP="00601800">
      <w:pPr>
        <w:pStyle w:val="Normlnweb"/>
        <w:spacing w:before="0" w:beforeAutospacing="0" w:after="0" w:afterAutospacing="0"/>
      </w:pPr>
      <w:r>
        <w:t xml:space="preserve">                  </w:t>
      </w:r>
      <w:proofErr w:type="spellStart"/>
      <w:r>
        <w:t>č.ú</w:t>
      </w:r>
      <w:proofErr w:type="spellEnd"/>
      <w:r>
        <w:t>. 198 783 329/0300</w:t>
      </w:r>
    </w:p>
    <w:p w:rsidR="00601800" w:rsidRDefault="00601800" w:rsidP="00601800">
      <w:pPr>
        <w:pStyle w:val="Normlnweb"/>
        <w:spacing w:before="0" w:beforeAutospacing="0" w:after="0" w:afterAutospacing="0"/>
        <w:ind w:left="1065"/>
      </w:pPr>
      <w:r w:rsidRPr="00656CBB">
        <w:t xml:space="preserve">společnost zapsaná v obchodním rejstříku vedeném Krajským soudem v Hradci Králové, oddíl </w:t>
      </w:r>
      <w:r w:rsidR="00656CBB" w:rsidRPr="00656CBB">
        <w:t>C</w:t>
      </w:r>
      <w:r w:rsidRPr="00656CBB">
        <w:t xml:space="preserve"> vložka</w:t>
      </w:r>
      <w:r w:rsidR="00656CBB">
        <w:t xml:space="preserve"> 21787</w:t>
      </w:r>
    </w:p>
    <w:p w:rsidR="00792F1E" w:rsidRDefault="00601800" w:rsidP="00601800">
      <w:pPr>
        <w:pStyle w:val="Normlnweb"/>
        <w:spacing w:before="0" w:beforeAutospacing="0" w:after="0" w:afterAutospacing="0"/>
      </w:pPr>
      <w:r>
        <w:t xml:space="preserve">                  </w:t>
      </w:r>
      <w:r w:rsidR="00792F1E">
        <w:t>(dále jen „věřitel“)</w:t>
      </w:r>
    </w:p>
    <w:p w:rsidR="00792F1E" w:rsidRDefault="00601800" w:rsidP="00601800">
      <w:pPr>
        <w:pStyle w:val="Normlnweb"/>
        <w:spacing w:before="0" w:beforeAutospacing="0" w:after="0" w:afterAutospacing="0"/>
      </w:pPr>
      <w:r>
        <w:t>a</w:t>
      </w:r>
    </w:p>
    <w:p w:rsidR="00601800" w:rsidRDefault="00601800" w:rsidP="00601800">
      <w:pPr>
        <w:pStyle w:val="Normlnweb"/>
        <w:spacing w:before="0" w:beforeAutospacing="0" w:after="0" w:afterAutospacing="0"/>
      </w:pPr>
    </w:p>
    <w:p w:rsidR="00792F1E" w:rsidRDefault="002D24EA" w:rsidP="00601800">
      <w:pPr>
        <w:pStyle w:val="Normlnweb"/>
        <w:spacing w:before="0" w:beforeAutospacing="0" w:after="0" w:afterAutospacing="0"/>
        <w:rPr>
          <w:rStyle w:val="Siln"/>
          <w:bCs/>
        </w:rPr>
      </w:pPr>
      <w:proofErr w:type="gramStart"/>
      <w:r>
        <w:rPr>
          <w:rStyle w:val="Siln"/>
          <w:bCs/>
        </w:rPr>
        <w:t>d</w:t>
      </w:r>
      <w:r w:rsidR="00792F1E">
        <w:rPr>
          <w:rStyle w:val="Siln"/>
          <w:bCs/>
        </w:rPr>
        <w:t>lužník:  FK</w:t>
      </w:r>
      <w:proofErr w:type="gramEnd"/>
      <w:r w:rsidR="00792F1E">
        <w:rPr>
          <w:rStyle w:val="Siln"/>
          <w:bCs/>
        </w:rPr>
        <w:t xml:space="preserve"> Chrudim </w:t>
      </w:r>
      <w:proofErr w:type="spellStart"/>
      <w:r w:rsidR="00792F1E">
        <w:rPr>
          <w:rStyle w:val="Siln"/>
          <w:bCs/>
        </w:rPr>
        <w:t>z.s</w:t>
      </w:r>
      <w:proofErr w:type="spellEnd"/>
      <w:r w:rsidR="00792F1E">
        <w:rPr>
          <w:rStyle w:val="Siln"/>
          <w:bCs/>
        </w:rPr>
        <w:t>.</w:t>
      </w:r>
    </w:p>
    <w:p w:rsidR="00792F1E" w:rsidRDefault="00792F1E" w:rsidP="00601800">
      <w:pPr>
        <w:pStyle w:val="Normlnweb"/>
        <w:spacing w:before="0" w:beforeAutospacing="0" w:after="0" w:afterAutospacing="0"/>
        <w:rPr>
          <w:rStyle w:val="Siln"/>
          <w:b w:val="0"/>
          <w:bCs/>
        </w:rPr>
      </w:pPr>
      <w:r>
        <w:rPr>
          <w:rStyle w:val="Siln"/>
          <w:bCs/>
        </w:rPr>
        <w:t xml:space="preserve">                 </w:t>
      </w:r>
      <w:r>
        <w:rPr>
          <w:rStyle w:val="Siln"/>
          <w:b w:val="0"/>
          <w:bCs/>
        </w:rPr>
        <w:t xml:space="preserve">se sídlem Čáslavská 328, 537 01 Chrudim </w:t>
      </w:r>
    </w:p>
    <w:p w:rsidR="00792F1E" w:rsidRDefault="00792F1E" w:rsidP="00601800">
      <w:pPr>
        <w:pStyle w:val="Normlnweb"/>
        <w:spacing w:before="0" w:beforeAutospacing="0" w:after="0" w:afterAutospacing="0"/>
        <w:rPr>
          <w:rStyle w:val="Siln"/>
          <w:b w:val="0"/>
          <w:bCs/>
        </w:rPr>
      </w:pPr>
      <w:r>
        <w:rPr>
          <w:rStyle w:val="Siln"/>
          <w:b w:val="0"/>
          <w:bCs/>
        </w:rPr>
        <w:t xml:space="preserve">                 IČO: 435 01 001</w:t>
      </w:r>
    </w:p>
    <w:p w:rsidR="00792F1E" w:rsidRPr="00EF12EC" w:rsidRDefault="00601800" w:rsidP="00601800">
      <w:pPr>
        <w:pStyle w:val="Normlnweb"/>
        <w:spacing w:before="0" w:beforeAutospacing="0" w:after="0" w:afterAutospacing="0"/>
      </w:pPr>
      <w:r>
        <w:rPr>
          <w:rStyle w:val="Siln"/>
          <w:b w:val="0"/>
          <w:bCs/>
        </w:rPr>
        <w:t xml:space="preserve">                 z</w:t>
      </w:r>
      <w:r w:rsidR="00792F1E">
        <w:rPr>
          <w:rStyle w:val="Siln"/>
          <w:b w:val="0"/>
          <w:bCs/>
        </w:rPr>
        <w:t xml:space="preserve">astoupený p. Františkem Tichý </w:t>
      </w:r>
    </w:p>
    <w:p w:rsidR="00792F1E" w:rsidRDefault="00792F1E" w:rsidP="00601800">
      <w:pPr>
        <w:pStyle w:val="Normlnweb"/>
        <w:spacing w:before="0" w:beforeAutospacing="0" w:after="0" w:afterAutospacing="0"/>
        <w:ind w:firstLine="708"/>
      </w:pPr>
      <w:r>
        <w:t xml:space="preserve"> </w:t>
      </w:r>
      <w:r w:rsidR="00601800">
        <w:t xml:space="preserve">    </w:t>
      </w:r>
      <w:r>
        <w:t>(dále jen „dlužník“)</w:t>
      </w:r>
    </w:p>
    <w:p w:rsidR="00792F1E" w:rsidRDefault="00792F1E" w:rsidP="00601800">
      <w:pPr>
        <w:pStyle w:val="Normlnweb"/>
        <w:spacing w:before="0" w:beforeAutospacing="0" w:after="0" w:afterAutospacing="0"/>
      </w:pPr>
      <w:r>
        <w:t> </w:t>
      </w:r>
    </w:p>
    <w:p w:rsidR="00601800" w:rsidRDefault="00601800" w:rsidP="002D24EA">
      <w:pPr>
        <w:pStyle w:val="Normlnweb"/>
        <w:spacing w:before="0" w:beforeAutospacing="0" w:after="0" w:afterAutospacing="0"/>
        <w:jc w:val="both"/>
      </w:pPr>
      <w:r w:rsidRPr="00656CBB">
        <w:t>uzavírají níže uvedeného dne, měsíce a roku tuto dohodu o uznání dluhu a dohodu o jeho plnění ve splátkách.</w:t>
      </w:r>
    </w:p>
    <w:p w:rsidR="006F757D" w:rsidRDefault="006F757D" w:rsidP="002D24EA">
      <w:pPr>
        <w:pStyle w:val="Normlnweb"/>
        <w:spacing w:before="0" w:beforeAutospacing="0" w:after="0" w:afterAutospacing="0"/>
        <w:jc w:val="both"/>
      </w:pPr>
    </w:p>
    <w:p w:rsidR="00C4746A" w:rsidRDefault="00792F1E" w:rsidP="00093217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>
        <w:rPr>
          <w:rStyle w:val="Siln"/>
        </w:rPr>
        <w:t>I.</w:t>
      </w:r>
    </w:p>
    <w:p w:rsidR="00792F1E" w:rsidRDefault="00792F1E" w:rsidP="00093217">
      <w:pPr>
        <w:pStyle w:val="Nadpis4"/>
        <w:spacing w:before="0" w:beforeAutospacing="0" w:after="0" w:afterAutospacing="0"/>
        <w:jc w:val="center"/>
      </w:pPr>
      <w:r>
        <w:rPr>
          <w:rStyle w:val="Siln"/>
          <w:b/>
        </w:rPr>
        <w:t>Uznání závazku a výše</w:t>
      </w:r>
    </w:p>
    <w:p w:rsidR="00C4746A" w:rsidRDefault="00792F1E" w:rsidP="009667EA">
      <w:pPr>
        <w:pStyle w:val="Normlnweb"/>
        <w:jc w:val="both"/>
        <w:rPr>
          <w:rStyle w:val="with-background"/>
        </w:rPr>
      </w:pPr>
      <w:r>
        <w:t xml:space="preserve">Dlužník </w:t>
      </w:r>
      <w:r w:rsidR="00C4746A" w:rsidRPr="00656CBB">
        <w:t>tímto</w:t>
      </w:r>
      <w:r w:rsidR="00C4746A">
        <w:t xml:space="preserve"> </w:t>
      </w:r>
      <w:r>
        <w:t>uznává svůj dluh</w:t>
      </w:r>
      <w:r w:rsidR="00C4746A">
        <w:t xml:space="preserve"> ve výši </w:t>
      </w:r>
      <w:proofErr w:type="gramStart"/>
      <w:r w:rsidR="00C4746A">
        <w:t>195.</w:t>
      </w:r>
      <w:r>
        <w:t>275</w:t>
      </w:r>
      <w:r w:rsidR="00C4746A">
        <w:t>,--</w:t>
      </w:r>
      <w:proofErr w:type="gramEnd"/>
      <w:r w:rsidR="00C4746A">
        <w:t xml:space="preserve"> </w:t>
      </w:r>
      <w:r>
        <w:t xml:space="preserve"> </w:t>
      </w:r>
      <w:r>
        <w:rPr>
          <w:rStyle w:val="with-background"/>
        </w:rPr>
        <w:t>Kč</w:t>
      </w:r>
      <w:r w:rsidR="00C4746A">
        <w:rPr>
          <w:rStyle w:val="with-background"/>
        </w:rPr>
        <w:t xml:space="preserve"> (slovy</w:t>
      </w:r>
      <w:r w:rsidR="00656CBB">
        <w:rPr>
          <w:rStyle w:val="with-background"/>
        </w:rPr>
        <w:t xml:space="preserve"> </w:t>
      </w:r>
      <w:proofErr w:type="spellStart"/>
      <w:r w:rsidR="00656CBB">
        <w:rPr>
          <w:rStyle w:val="with-background"/>
        </w:rPr>
        <w:t>jednostodevadesátpěttisícdvěstěsedmdesátpětkorun</w:t>
      </w:r>
      <w:proofErr w:type="spellEnd"/>
      <w:r w:rsidR="00C4746A">
        <w:rPr>
          <w:rStyle w:val="with-background"/>
        </w:rPr>
        <w:t xml:space="preserve">), který </w:t>
      </w:r>
      <w:r w:rsidR="00901155">
        <w:rPr>
          <w:rStyle w:val="with-background"/>
        </w:rPr>
        <w:t xml:space="preserve">mu </w:t>
      </w:r>
      <w:r w:rsidR="00C4746A">
        <w:rPr>
          <w:rStyle w:val="with-background"/>
        </w:rPr>
        <w:t>vznikl  nesplněním pov</w:t>
      </w:r>
      <w:r w:rsidR="006F757D">
        <w:rPr>
          <w:rStyle w:val="with-background"/>
        </w:rPr>
        <w:t>innosti uhradit finanční plnění</w:t>
      </w:r>
      <w:r w:rsidR="00C4746A">
        <w:rPr>
          <w:rStyle w:val="with-background"/>
        </w:rPr>
        <w:t xml:space="preserve"> věřiteli  takto:</w:t>
      </w:r>
    </w:p>
    <w:p w:rsidR="00E85DC0" w:rsidRDefault="00C4746A" w:rsidP="00C04937">
      <w:pPr>
        <w:pStyle w:val="Normlnweb"/>
        <w:numPr>
          <w:ilvl w:val="0"/>
          <w:numId w:val="3"/>
        </w:numPr>
        <w:jc w:val="both"/>
        <w:rPr>
          <w:rStyle w:val="with-background"/>
        </w:rPr>
      </w:pPr>
      <w:r w:rsidRPr="00E85DC0">
        <w:rPr>
          <w:rStyle w:val="with-background"/>
        </w:rPr>
        <w:t>neuhrazení faktur</w:t>
      </w:r>
      <w:r w:rsidR="000E6B61">
        <w:rPr>
          <w:rStyle w:val="with-background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Číslo faktury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 xml:space="preserve">Ze dne 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2206024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10.2.2022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2206025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10.2.2022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2206061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4.3.2022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2206062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4.3.2022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2206103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1.4.2022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2206144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5.5.2022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2206145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5.5.2022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2206180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31.5.2022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2206281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13.9.2022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2206282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13.9.2022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2206283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13.9.2022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2206295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3.10.2022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2206296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3.10.2022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lastRenderedPageBreak/>
              <w:t>2206297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3.10.2022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2206375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31.10.2022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2206405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29.11.2022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2206481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21.12.2022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2206482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21.12.2022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2206483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21.12.2022</w:t>
            </w:r>
          </w:p>
        </w:tc>
      </w:tr>
      <w:tr w:rsidR="000E6B61" w:rsidTr="000E6B61"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2206484</w:t>
            </w:r>
          </w:p>
        </w:tc>
        <w:tc>
          <w:tcPr>
            <w:tcW w:w="4531" w:type="dxa"/>
          </w:tcPr>
          <w:p w:rsidR="000E6B61" w:rsidRDefault="00D24C71" w:rsidP="000E6B61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21.12.2022</w:t>
            </w:r>
          </w:p>
        </w:tc>
      </w:tr>
    </w:tbl>
    <w:p w:rsidR="00C04937" w:rsidRPr="00E85DC0" w:rsidRDefault="00C4746A" w:rsidP="00E85DC0">
      <w:pPr>
        <w:pStyle w:val="Normlnweb"/>
        <w:ind w:left="720"/>
        <w:jc w:val="both"/>
        <w:rPr>
          <w:rStyle w:val="with-background"/>
        </w:rPr>
      </w:pPr>
      <w:r w:rsidRPr="00E85DC0">
        <w:rPr>
          <w:rStyle w:val="with-background"/>
        </w:rPr>
        <w:t>vystavené na základě Smlouvy č. 17/2022</w:t>
      </w:r>
      <w:r w:rsidR="00C04937" w:rsidRPr="00E85DC0">
        <w:rPr>
          <w:rStyle w:val="with-background"/>
        </w:rPr>
        <w:t xml:space="preserve"> ze dne </w:t>
      </w:r>
      <w:r w:rsidR="00571FA9">
        <w:rPr>
          <w:rStyle w:val="with-background"/>
        </w:rPr>
        <w:t>1.1.2022</w:t>
      </w:r>
      <w:r w:rsidRPr="00E85DC0">
        <w:rPr>
          <w:rStyle w:val="with-background"/>
        </w:rPr>
        <w:t xml:space="preserve">, na </w:t>
      </w:r>
      <w:proofErr w:type="gramStart"/>
      <w:r w:rsidRPr="00E85DC0">
        <w:rPr>
          <w:rStyle w:val="with-background"/>
        </w:rPr>
        <w:t>základě</w:t>
      </w:r>
      <w:proofErr w:type="gramEnd"/>
      <w:r w:rsidRPr="00E85DC0">
        <w:rPr>
          <w:rStyle w:val="with-background"/>
        </w:rPr>
        <w:t xml:space="preserve"> níž dlužník užíval sportovní halu</w:t>
      </w:r>
      <w:r w:rsidR="00C04937" w:rsidRPr="00E85DC0">
        <w:rPr>
          <w:rStyle w:val="with-background"/>
        </w:rPr>
        <w:t xml:space="preserve"> na Tyršově nám., Chrudim;</w:t>
      </w:r>
      <w:r w:rsidRPr="00E85DC0">
        <w:rPr>
          <w:rStyle w:val="with-background"/>
        </w:rPr>
        <w:t xml:space="preserve"> </w:t>
      </w:r>
    </w:p>
    <w:p w:rsidR="00571FA9" w:rsidRPr="00B907A5" w:rsidRDefault="00C04937" w:rsidP="00571FA9">
      <w:pPr>
        <w:pStyle w:val="Normlnweb"/>
        <w:numPr>
          <w:ilvl w:val="0"/>
          <w:numId w:val="3"/>
        </w:numPr>
        <w:jc w:val="both"/>
        <w:rPr>
          <w:rStyle w:val="with-background"/>
        </w:rPr>
      </w:pPr>
      <w:r w:rsidRPr="00B907A5">
        <w:rPr>
          <w:rStyle w:val="with-background"/>
        </w:rPr>
        <w:t>neuhrazení faktur</w:t>
      </w:r>
      <w:r w:rsidR="00571FA9" w:rsidRPr="00B907A5">
        <w:rPr>
          <w:rStyle w:val="with-background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571FA9" w:rsidTr="00571FA9">
        <w:tc>
          <w:tcPr>
            <w:tcW w:w="4531" w:type="dxa"/>
            <w:shd w:val="clear" w:color="auto" w:fill="auto"/>
          </w:tcPr>
          <w:p w:rsidR="00571FA9" w:rsidRPr="00571FA9" w:rsidRDefault="00571FA9" w:rsidP="00571FA9">
            <w:pPr>
              <w:pStyle w:val="Normlnweb"/>
              <w:jc w:val="both"/>
              <w:rPr>
                <w:rStyle w:val="with-background"/>
              </w:rPr>
            </w:pPr>
            <w:r w:rsidRPr="00571FA9">
              <w:rPr>
                <w:rStyle w:val="with-background"/>
              </w:rPr>
              <w:t>Číslo faktury</w:t>
            </w:r>
          </w:p>
        </w:tc>
        <w:tc>
          <w:tcPr>
            <w:tcW w:w="4531" w:type="dxa"/>
          </w:tcPr>
          <w:p w:rsidR="00571FA9" w:rsidRPr="00571FA9" w:rsidRDefault="00571FA9" w:rsidP="00571FA9">
            <w:pPr>
              <w:pStyle w:val="Normlnweb"/>
              <w:jc w:val="both"/>
              <w:rPr>
                <w:rStyle w:val="with-background"/>
              </w:rPr>
            </w:pPr>
            <w:r w:rsidRPr="00571FA9">
              <w:rPr>
                <w:rStyle w:val="with-background"/>
              </w:rPr>
              <w:t>ze dne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571FA9" w:rsidP="00571FA9">
            <w:pPr>
              <w:pStyle w:val="Normlnweb"/>
              <w:jc w:val="both"/>
              <w:rPr>
                <w:rStyle w:val="with-background"/>
              </w:rPr>
            </w:pPr>
            <w:r w:rsidRPr="00B907A5">
              <w:rPr>
                <w:rStyle w:val="with-background"/>
              </w:rPr>
              <w:t>2206028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 w:rsidRPr="00B907A5">
              <w:rPr>
                <w:rStyle w:val="with-background"/>
              </w:rPr>
              <w:t>10.2.2022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2206083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9.3.2022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2206105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1.4.2022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2206146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5.5.2022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2206261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4.8.2022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2206270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5.9.2022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2206294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3.10.2022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2206369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31.10.2022</w:t>
            </w:r>
          </w:p>
        </w:tc>
      </w:tr>
      <w:tr w:rsidR="00571FA9" w:rsidTr="00B907A5"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2206403</w:t>
            </w:r>
          </w:p>
        </w:tc>
        <w:tc>
          <w:tcPr>
            <w:tcW w:w="4531" w:type="dxa"/>
            <w:shd w:val="clear" w:color="auto" w:fill="auto"/>
          </w:tcPr>
          <w:p w:rsidR="00571FA9" w:rsidRP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29.11.2022</w:t>
            </w:r>
          </w:p>
        </w:tc>
      </w:tr>
      <w:tr w:rsidR="00B907A5" w:rsidTr="00B907A5">
        <w:tc>
          <w:tcPr>
            <w:tcW w:w="4531" w:type="dxa"/>
            <w:shd w:val="clear" w:color="auto" w:fill="auto"/>
          </w:tcPr>
          <w:p w:rsid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2206454</w:t>
            </w:r>
          </w:p>
        </w:tc>
        <w:tc>
          <w:tcPr>
            <w:tcW w:w="4531" w:type="dxa"/>
            <w:shd w:val="clear" w:color="auto" w:fill="auto"/>
          </w:tcPr>
          <w:p w:rsidR="00B907A5" w:rsidRDefault="00B907A5" w:rsidP="00571FA9">
            <w:pPr>
              <w:pStyle w:val="Normlnweb"/>
              <w:jc w:val="both"/>
              <w:rPr>
                <w:rStyle w:val="with-background"/>
              </w:rPr>
            </w:pPr>
            <w:r>
              <w:rPr>
                <w:rStyle w:val="with-background"/>
              </w:rPr>
              <w:t>14.12.2022</w:t>
            </w:r>
          </w:p>
        </w:tc>
      </w:tr>
    </w:tbl>
    <w:p w:rsidR="00571FA9" w:rsidRPr="00571FA9" w:rsidRDefault="00571FA9" w:rsidP="00571FA9">
      <w:pPr>
        <w:pStyle w:val="Normlnweb"/>
        <w:ind w:left="720"/>
        <w:jc w:val="both"/>
        <w:rPr>
          <w:rStyle w:val="with-background"/>
          <w:highlight w:val="yellow"/>
        </w:rPr>
      </w:pPr>
    </w:p>
    <w:p w:rsidR="00C04937" w:rsidRPr="00B907A5" w:rsidRDefault="00B907A5" w:rsidP="00B907A5">
      <w:pPr>
        <w:pStyle w:val="Normlnweb"/>
        <w:ind w:left="709" w:hanging="142"/>
        <w:jc w:val="both"/>
        <w:rPr>
          <w:rStyle w:val="with-background"/>
        </w:rPr>
      </w:pPr>
      <w:r>
        <w:rPr>
          <w:rStyle w:val="with-background"/>
        </w:rPr>
        <w:t xml:space="preserve">  </w:t>
      </w:r>
      <w:r w:rsidR="00C04937" w:rsidRPr="00B907A5">
        <w:rPr>
          <w:rStyle w:val="with-background"/>
        </w:rPr>
        <w:t xml:space="preserve">vystavené na základě Smlouvy č. 28/2022 ze dne </w:t>
      </w:r>
      <w:r w:rsidR="00571FA9" w:rsidRPr="00B907A5">
        <w:rPr>
          <w:rStyle w:val="with-background"/>
        </w:rPr>
        <w:t>1.1.2022</w:t>
      </w:r>
      <w:r w:rsidR="00C04937" w:rsidRPr="00B907A5">
        <w:rPr>
          <w:rStyle w:val="with-background"/>
        </w:rPr>
        <w:t xml:space="preserve">, na základě níž </w:t>
      </w:r>
      <w:proofErr w:type="gramStart"/>
      <w:r w:rsidR="00C04937" w:rsidRPr="00B907A5">
        <w:rPr>
          <w:rStyle w:val="with-background"/>
        </w:rPr>
        <w:t>dlužník  užíval</w:t>
      </w:r>
      <w:proofErr w:type="gramEnd"/>
      <w:r w:rsidR="00C04937" w:rsidRPr="00B907A5">
        <w:rPr>
          <w:rStyle w:val="with-background"/>
        </w:rPr>
        <w:t xml:space="preserve"> byt 3+1 s příslušenstvím v přízemí domu na Tyršově nám. 12., Chrudim, 53701</w:t>
      </w:r>
    </w:p>
    <w:p w:rsidR="00C04937" w:rsidRDefault="00C04937" w:rsidP="009667EA">
      <w:pPr>
        <w:pStyle w:val="Normlnweb"/>
        <w:jc w:val="both"/>
        <w:rPr>
          <w:rStyle w:val="with-background"/>
        </w:rPr>
      </w:pPr>
      <w:r>
        <w:rPr>
          <w:rStyle w:val="with-background"/>
        </w:rPr>
        <w:t>I</w:t>
      </w:r>
      <w:r w:rsidR="00792F1E">
        <w:rPr>
          <w:rStyle w:val="with-background"/>
        </w:rPr>
        <w:t>nventarizace p</w:t>
      </w:r>
      <w:r>
        <w:rPr>
          <w:rStyle w:val="with-background"/>
        </w:rPr>
        <w:t xml:space="preserve">ohledávek ze dne 9.2.2023 </w:t>
      </w:r>
      <w:r w:rsidR="00792F1E" w:rsidRPr="00656CBB">
        <w:rPr>
          <w:rStyle w:val="with-background"/>
        </w:rPr>
        <w:t>je</w:t>
      </w:r>
      <w:r w:rsidRPr="00656CBB">
        <w:rPr>
          <w:rStyle w:val="with-background"/>
        </w:rPr>
        <w:t xml:space="preserve"> nedílnou součástí této dohody jako příloha č. 1.</w:t>
      </w:r>
      <w:r w:rsidR="00792F1E">
        <w:rPr>
          <w:rStyle w:val="with-background"/>
        </w:rPr>
        <w:t xml:space="preserve"> </w:t>
      </w:r>
    </w:p>
    <w:p w:rsidR="009901D6" w:rsidRDefault="00901155" w:rsidP="00901155">
      <w:pPr>
        <w:pStyle w:val="Normlnweb"/>
        <w:jc w:val="both"/>
        <w:rPr>
          <w:rStyle w:val="with-background"/>
        </w:rPr>
      </w:pPr>
      <w:r>
        <w:rPr>
          <w:rStyle w:val="with-background"/>
        </w:rPr>
        <w:t>Ke dni podpisu této dohody</w:t>
      </w:r>
      <w:r w:rsidR="009901D6">
        <w:rPr>
          <w:rStyle w:val="with-background"/>
        </w:rPr>
        <w:t xml:space="preserve"> </w:t>
      </w:r>
      <w:proofErr w:type="gramStart"/>
      <w:r w:rsidR="009901D6">
        <w:rPr>
          <w:rStyle w:val="with-background"/>
        </w:rPr>
        <w:t>byl  dluh</w:t>
      </w:r>
      <w:proofErr w:type="gramEnd"/>
      <w:r w:rsidR="009901D6">
        <w:rPr>
          <w:rStyle w:val="with-background"/>
        </w:rPr>
        <w:t xml:space="preserve"> částečně uhrazen, a to ve výši</w:t>
      </w:r>
      <w:r w:rsidR="00656CBB">
        <w:rPr>
          <w:rStyle w:val="with-background"/>
        </w:rPr>
        <w:t xml:space="preserve"> 66.110</w:t>
      </w:r>
      <w:r w:rsidR="009901D6">
        <w:rPr>
          <w:rStyle w:val="with-background"/>
        </w:rPr>
        <w:t xml:space="preserve"> Kč dne </w:t>
      </w:r>
      <w:r w:rsidR="00656CBB">
        <w:rPr>
          <w:rStyle w:val="with-background"/>
        </w:rPr>
        <w:t>6.4.2023</w:t>
      </w:r>
    </w:p>
    <w:p w:rsidR="006F757D" w:rsidRDefault="006F757D" w:rsidP="00901155">
      <w:pPr>
        <w:pStyle w:val="Normlnweb"/>
        <w:spacing w:line="360" w:lineRule="auto"/>
        <w:jc w:val="both"/>
        <w:rPr>
          <w:rStyle w:val="with-background"/>
          <w:b/>
          <w:highlight w:val="yellow"/>
        </w:rPr>
      </w:pPr>
    </w:p>
    <w:p w:rsidR="00901155" w:rsidRPr="00901155" w:rsidRDefault="00792F1E" w:rsidP="00901155">
      <w:pPr>
        <w:pStyle w:val="Normlnweb"/>
        <w:spacing w:line="360" w:lineRule="auto"/>
        <w:jc w:val="both"/>
        <w:rPr>
          <w:rStyle w:val="with-background"/>
          <w:b/>
        </w:rPr>
      </w:pPr>
      <w:r w:rsidRPr="00B907A5">
        <w:rPr>
          <w:rStyle w:val="with-background"/>
          <w:b/>
        </w:rPr>
        <w:t xml:space="preserve">Dlužník </w:t>
      </w:r>
      <w:r w:rsidR="00C04937" w:rsidRPr="00B907A5">
        <w:rPr>
          <w:rStyle w:val="with-background"/>
          <w:b/>
        </w:rPr>
        <w:t xml:space="preserve">tímto </w:t>
      </w:r>
      <w:r w:rsidRPr="00B907A5">
        <w:rPr>
          <w:rStyle w:val="with-background"/>
          <w:b/>
        </w:rPr>
        <w:t xml:space="preserve">uznává </w:t>
      </w:r>
      <w:r w:rsidR="00C04937" w:rsidRPr="00B907A5">
        <w:rPr>
          <w:rStyle w:val="with-background"/>
          <w:b/>
        </w:rPr>
        <w:t xml:space="preserve">ve smyslu § 2053 a násl. s účinky dle </w:t>
      </w:r>
      <w:proofErr w:type="gramStart"/>
      <w:r w:rsidR="00C04937" w:rsidRPr="00B907A5">
        <w:rPr>
          <w:rStyle w:val="with-background"/>
          <w:b/>
        </w:rPr>
        <w:t>ustanovení  §</w:t>
      </w:r>
      <w:proofErr w:type="gramEnd"/>
      <w:r w:rsidR="00C04937" w:rsidRPr="00B907A5">
        <w:rPr>
          <w:rStyle w:val="with-background"/>
          <w:b/>
        </w:rPr>
        <w:t xml:space="preserve"> 639 Občanského zákoníku </w:t>
      </w:r>
      <w:r w:rsidRPr="00B907A5">
        <w:rPr>
          <w:rStyle w:val="with-background"/>
          <w:b/>
        </w:rPr>
        <w:t>tento dluh</w:t>
      </w:r>
      <w:r w:rsidR="00901155" w:rsidRPr="00B907A5">
        <w:rPr>
          <w:rStyle w:val="with-background"/>
          <w:b/>
        </w:rPr>
        <w:t xml:space="preserve"> </w:t>
      </w:r>
      <w:r w:rsidR="006F757D" w:rsidRPr="00B907A5">
        <w:rPr>
          <w:rStyle w:val="with-background"/>
          <w:b/>
        </w:rPr>
        <w:t xml:space="preserve"> v částce 195.275,-- Kč </w:t>
      </w:r>
      <w:r w:rsidR="00901155" w:rsidRPr="00B907A5">
        <w:rPr>
          <w:rStyle w:val="with-background"/>
          <w:b/>
        </w:rPr>
        <w:t>jak co do výše, tak co do důvodu jeho vzniku, a zavazuje se dluh zaplatit v souladu ujednáními uvedenými v čl. II této Dohody.</w:t>
      </w:r>
    </w:p>
    <w:p w:rsidR="009901D6" w:rsidRPr="00B907A5" w:rsidRDefault="00792F1E" w:rsidP="009901D6">
      <w:pPr>
        <w:pStyle w:val="Nadpis4"/>
        <w:spacing w:before="0" w:beforeAutospacing="0" w:after="0" w:afterAutospacing="0"/>
        <w:jc w:val="center"/>
        <w:rPr>
          <w:rStyle w:val="Siln"/>
          <w:b/>
        </w:rPr>
      </w:pPr>
      <w:r w:rsidRPr="00B907A5">
        <w:rPr>
          <w:rStyle w:val="Siln"/>
          <w:b/>
        </w:rPr>
        <w:t>II.</w:t>
      </w:r>
    </w:p>
    <w:p w:rsidR="00792F1E" w:rsidRPr="00B907A5" w:rsidRDefault="009901D6" w:rsidP="009901D6">
      <w:pPr>
        <w:pStyle w:val="Nadpis4"/>
        <w:spacing w:before="0" w:beforeAutospacing="0" w:after="0" w:afterAutospacing="0"/>
        <w:jc w:val="center"/>
      </w:pPr>
      <w:r w:rsidRPr="00B907A5">
        <w:rPr>
          <w:rStyle w:val="Siln"/>
          <w:b/>
        </w:rPr>
        <w:t>Dohoda o úhradě dluhu ve splátkách</w:t>
      </w:r>
    </w:p>
    <w:p w:rsidR="00792F1E" w:rsidRPr="00B907A5" w:rsidRDefault="00792F1E" w:rsidP="000E2503">
      <w:pPr>
        <w:pStyle w:val="Normlnweb"/>
        <w:jc w:val="both"/>
      </w:pPr>
      <w:r w:rsidRPr="00B907A5">
        <w:t xml:space="preserve">Dlužník se zavazuje, že svůj dluh </w:t>
      </w:r>
      <w:r w:rsidR="009901D6" w:rsidRPr="00B907A5">
        <w:t xml:space="preserve">uznaný co do důvodu i výše v čl. I této dohody </w:t>
      </w:r>
      <w:r w:rsidRPr="00B907A5">
        <w:t>věřiteli splatí</w:t>
      </w:r>
      <w:r w:rsidR="009901D6" w:rsidRPr="00B907A5">
        <w:t xml:space="preserve"> řádně a </w:t>
      </w:r>
      <w:r w:rsidR="000E2503" w:rsidRPr="00B907A5">
        <w:t xml:space="preserve">nejpozději </w:t>
      </w:r>
      <w:r w:rsidRPr="00B907A5">
        <w:t>v následujících termínech:</w:t>
      </w:r>
    </w:p>
    <w:p w:rsidR="00792F1E" w:rsidRPr="00B907A5" w:rsidRDefault="00792F1E">
      <w:pPr>
        <w:numPr>
          <w:ilvl w:val="0"/>
          <w:numId w:val="1"/>
        </w:numPr>
        <w:spacing w:before="100" w:beforeAutospacing="1" w:after="100" w:afterAutospacing="1"/>
      </w:pPr>
      <w:r w:rsidRPr="00B907A5">
        <w:rPr>
          <w:rStyle w:val="with-background"/>
        </w:rPr>
        <w:lastRenderedPageBreak/>
        <w:t>splátka ve výši 66.110 Kč</w:t>
      </w:r>
      <w:r w:rsidR="000E2503" w:rsidRPr="00B907A5">
        <w:rPr>
          <w:rStyle w:val="with-background"/>
        </w:rPr>
        <w:t xml:space="preserve"> byla uhrazena již dne</w:t>
      </w:r>
      <w:r w:rsidR="00B907A5">
        <w:rPr>
          <w:rStyle w:val="with-background"/>
        </w:rPr>
        <w:t xml:space="preserve"> 6.4.2023</w:t>
      </w:r>
      <w:r w:rsidR="000E2503" w:rsidRPr="00B907A5">
        <w:rPr>
          <w:rStyle w:val="with-background"/>
        </w:rPr>
        <w:t>, tedy před podpisem této dohody;</w:t>
      </w:r>
    </w:p>
    <w:p w:rsidR="00792F1E" w:rsidRDefault="00792F1E" w:rsidP="000E2503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with-background"/>
        </w:rPr>
        <w:t>splátka ve výši 57.750 Kč</w:t>
      </w:r>
      <w:r w:rsidR="000E2503" w:rsidRPr="000E2503">
        <w:rPr>
          <w:rStyle w:val="with-background"/>
        </w:rPr>
        <w:t xml:space="preserve"> </w:t>
      </w:r>
      <w:proofErr w:type="gramStart"/>
      <w:r w:rsidR="000E2503">
        <w:rPr>
          <w:rStyle w:val="with-background"/>
        </w:rPr>
        <w:t>do  30.6.</w:t>
      </w:r>
      <w:proofErr w:type="gramEnd"/>
      <w:r w:rsidR="000E2503">
        <w:rPr>
          <w:rStyle w:val="with-background"/>
        </w:rPr>
        <w:t xml:space="preserve"> 2023</w:t>
      </w:r>
    </w:p>
    <w:p w:rsidR="00792F1E" w:rsidRDefault="00792F1E" w:rsidP="000E2503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with-background"/>
        </w:rPr>
        <w:t>splátka ve výši 71.415 Kč</w:t>
      </w:r>
      <w:r w:rsidR="000E2503" w:rsidRPr="000E2503">
        <w:rPr>
          <w:rStyle w:val="with-background"/>
        </w:rPr>
        <w:t xml:space="preserve"> </w:t>
      </w:r>
      <w:proofErr w:type="gramStart"/>
      <w:r w:rsidR="000E2503">
        <w:rPr>
          <w:rStyle w:val="with-background"/>
        </w:rPr>
        <w:t>do  30.9.</w:t>
      </w:r>
      <w:proofErr w:type="gramEnd"/>
      <w:r w:rsidR="000E2503">
        <w:rPr>
          <w:rStyle w:val="with-background"/>
        </w:rPr>
        <w:t xml:space="preserve"> 2023</w:t>
      </w:r>
    </w:p>
    <w:p w:rsidR="00792F1E" w:rsidRDefault="00792F1E">
      <w:pPr>
        <w:pStyle w:val="Normlnweb"/>
        <w:jc w:val="both"/>
        <w:rPr>
          <w:rStyle w:val="with-background"/>
        </w:rPr>
      </w:pPr>
      <w:r>
        <w:rPr>
          <w:rStyle w:val="with-background"/>
        </w:rPr>
        <w:t xml:space="preserve">Splátky </w:t>
      </w:r>
      <w:r w:rsidR="0002075B">
        <w:rPr>
          <w:rStyle w:val="with-background"/>
        </w:rPr>
        <w:t>dluhu</w:t>
      </w:r>
      <w:r>
        <w:rPr>
          <w:rStyle w:val="with-background"/>
        </w:rPr>
        <w:t xml:space="preserve"> budou poukazovány na účet </w:t>
      </w:r>
      <w:r w:rsidR="000E2503" w:rsidRPr="00B907A5">
        <w:rPr>
          <w:rStyle w:val="with-background"/>
        </w:rPr>
        <w:t>věřitele</w:t>
      </w:r>
      <w:r w:rsidR="000E2503">
        <w:rPr>
          <w:rStyle w:val="with-background"/>
        </w:rPr>
        <w:t xml:space="preserve"> </w:t>
      </w:r>
      <w:r>
        <w:rPr>
          <w:rStyle w:val="with-background"/>
        </w:rPr>
        <w:t>vedený u ČSOB, a.s.</w:t>
      </w:r>
      <w:r w:rsidR="002D24EA">
        <w:rPr>
          <w:rStyle w:val="with-background"/>
        </w:rPr>
        <w:t xml:space="preserve">,                                                                     </w:t>
      </w:r>
      <w:proofErr w:type="spellStart"/>
      <w:r w:rsidRPr="002D24EA">
        <w:rPr>
          <w:rStyle w:val="with-background"/>
          <w:b/>
        </w:rPr>
        <w:t>č.ú</w:t>
      </w:r>
      <w:proofErr w:type="spellEnd"/>
      <w:r w:rsidRPr="002D24EA">
        <w:rPr>
          <w:rStyle w:val="with-background"/>
          <w:b/>
        </w:rPr>
        <w:t>.</w:t>
      </w:r>
      <w:r w:rsidR="00413BB4" w:rsidRPr="002D24EA">
        <w:rPr>
          <w:rStyle w:val="with-background"/>
          <w:b/>
        </w:rPr>
        <w:t xml:space="preserve"> 198 783 329 /</w:t>
      </w:r>
      <w:proofErr w:type="gramStart"/>
      <w:r w:rsidR="00413BB4" w:rsidRPr="002D24EA">
        <w:rPr>
          <w:rStyle w:val="with-background"/>
          <w:b/>
        </w:rPr>
        <w:t xml:space="preserve">0300,  </w:t>
      </w:r>
      <w:proofErr w:type="spellStart"/>
      <w:r w:rsidR="00413BB4" w:rsidRPr="00B907A5">
        <w:rPr>
          <w:rStyle w:val="with-background"/>
          <w:b/>
        </w:rPr>
        <w:t>var</w:t>
      </w:r>
      <w:proofErr w:type="gramEnd"/>
      <w:r w:rsidR="00413BB4" w:rsidRPr="00B907A5">
        <w:rPr>
          <w:rStyle w:val="with-background"/>
          <w:b/>
        </w:rPr>
        <w:t>.symbol</w:t>
      </w:r>
      <w:proofErr w:type="spellEnd"/>
      <w:r w:rsidR="00413BB4" w:rsidRPr="00B907A5">
        <w:rPr>
          <w:rStyle w:val="with-background"/>
          <w:b/>
        </w:rPr>
        <w:t xml:space="preserve"> </w:t>
      </w:r>
      <w:r w:rsidR="00B907A5">
        <w:rPr>
          <w:rStyle w:val="with-background"/>
          <w:b/>
        </w:rPr>
        <w:t xml:space="preserve">dle čísla faktury. </w:t>
      </w:r>
    </w:p>
    <w:p w:rsidR="000E2503" w:rsidRPr="00B907A5" w:rsidRDefault="000E2503">
      <w:pPr>
        <w:pStyle w:val="Normlnweb"/>
        <w:jc w:val="both"/>
        <w:rPr>
          <w:rStyle w:val="with-background"/>
        </w:rPr>
      </w:pPr>
      <w:r w:rsidRPr="00B907A5">
        <w:rPr>
          <w:rStyle w:val="with-background"/>
        </w:rPr>
        <w:t>Věřitel  s úhradou dluhu ve splátkách tak</w:t>
      </w:r>
      <w:r w:rsidR="00413BB4" w:rsidRPr="00B907A5">
        <w:rPr>
          <w:rStyle w:val="with-background"/>
        </w:rPr>
        <w:t>, jak je výše uvedeno</w:t>
      </w:r>
      <w:r w:rsidR="006F757D" w:rsidRPr="00B907A5">
        <w:rPr>
          <w:rStyle w:val="with-background"/>
        </w:rPr>
        <w:t>,</w:t>
      </w:r>
      <w:r w:rsidR="00413BB4" w:rsidRPr="00B907A5">
        <w:rPr>
          <w:rStyle w:val="with-background"/>
        </w:rPr>
        <w:t xml:space="preserve"> souhlasí.</w:t>
      </w:r>
    </w:p>
    <w:p w:rsidR="00413BB4" w:rsidRPr="00B907A5" w:rsidRDefault="00413BB4">
      <w:pPr>
        <w:pStyle w:val="Normlnweb"/>
        <w:jc w:val="both"/>
        <w:rPr>
          <w:rStyle w:val="with-background"/>
        </w:rPr>
      </w:pPr>
      <w:r w:rsidRPr="00B907A5">
        <w:rPr>
          <w:rStyle w:val="with-background"/>
        </w:rPr>
        <w:t>Za den úhrady  splátky se považuje den, kdy bude platba připsána na účet věřitele.</w:t>
      </w:r>
    </w:p>
    <w:p w:rsidR="0002075B" w:rsidRDefault="00413BB4">
      <w:pPr>
        <w:pStyle w:val="Normlnweb"/>
        <w:jc w:val="both"/>
        <w:rPr>
          <w:rStyle w:val="with-background"/>
        </w:rPr>
      </w:pPr>
      <w:r w:rsidRPr="00B907A5">
        <w:rPr>
          <w:rStyle w:val="with-background"/>
        </w:rPr>
        <w:t>Dojde-l</w:t>
      </w:r>
      <w:r w:rsidR="0002075B" w:rsidRPr="00B907A5">
        <w:rPr>
          <w:rStyle w:val="with-background"/>
        </w:rPr>
        <w:t>i ze strany věřitele ke změně ba</w:t>
      </w:r>
      <w:r w:rsidRPr="00B907A5">
        <w:rPr>
          <w:rStyle w:val="with-background"/>
        </w:rPr>
        <w:t>nky nebo čísla účtu, je věřitel povinen dlužníka písemně vyrozumět. Po obdrže</w:t>
      </w:r>
      <w:r w:rsidR="0002075B" w:rsidRPr="00B907A5">
        <w:rPr>
          <w:rStyle w:val="with-background"/>
        </w:rPr>
        <w:t>ní písemného vyrozumění týkajícího se změny účtu je dlužník povinen platit další splátky na nově uvedený účet.</w:t>
      </w:r>
    </w:p>
    <w:p w:rsidR="0002075B" w:rsidRDefault="0002075B">
      <w:pPr>
        <w:pStyle w:val="Normlnweb"/>
        <w:jc w:val="both"/>
        <w:rPr>
          <w:rStyle w:val="with-background"/>
        </w:rPr>
      </w:pPr>
    </w:p>
    <w:p w:rsidR="0002075B" w:rsidRPr="00A055DF" w:rsidRDefault="00792F1E" w:rsidP="0002075B">
      <w:pPr>
        <w:pStyle w:val="Nadpis4"/>
        <w:spacing w:before="0" w:beforeAutospacing="0" w:after="0" w:afterAutospacing="0"/>
        <w:jc w:val="center"/>
        <w:rPr>
          <w:rStyle w:val="Siln"/>
          <w:b/>
        </w:rPr>
      </w:pPr>
      <w:r w:rsidRPr="00A055DF">
        <w:rPr>
          <w:rStyle w:val="Siln"/>
          <w:b/>
        </w:rPr>
        <w:t xml:space="preserve">III. </w:t>
      </w:r>
    </w:p>
    <w:p w:rsidR="00792F1E" w:rsidRPr="00A055DF" w:rsidRDefault="00792F1E" w:rsidP="0002075B">
      <w:pPr>
        <w:pStyle w:val="Nadpis4"/>
        <w:spacing w:before="0" w:beforeAutospacing="0" w:after="0" w:afterAutospacing="0"/>
        <w:jc w:val="center"/>
        <w:rPr>
          <w:rStyle w:val="Siln"/>
        </w:rPr>
      </w:pPr>
      <w:r w:rsidRPr="00A055DF">
        <w:rPr>
          <w:rStyle w:val="Siln"/>
          <w:b/>
        </w:rPr>
        <w:t>Smluvní pokuta</w:t>
      </w:r>
      <w:r w:rsidR="0002075B" w:rsidRPr="00A055DF">
        <w:rPr>
          <w:rStyle w:val="Siln"/>
          <w:b/>
        </w:rPr>
        <w:t xml:space="preserve"> a ztráta výhody splátek</w:t>
      </w:r>
    </w:p>
    <w:p w:rsidR="00792F1E" w:rsidRDefault="00792F1E">
      <w:pPr>
        <w:pStyle w:val="Normlnweb"/>
        <w:jc w:val="both"/>
      </w:pPr>
      <w:r>
        <w:rPr>
          <w:rStyle w:val="with-background"/>
        </w:rPr>
        <w:t>V případě, že se dlužník dostane do prodlení</w:t>
      </w:r>
      <w:r w:rsidR="0002075B">
        <w:rPr>
          <w:rStyle w:val="with-background"/>
        </w:rPr>
        <w:t xml:space="preserve"> s některou ze splátek</w:t>
      </w:r>
      <w:r>
        <w:rPr>
          <w:rStyle w:val="with-background"/>
        </w:rPr>
        <w:t>, je povinen zaplatit věřiteli smluvní pokutu ve výši 0,3 % denně z dlužné částky ode dne prodlení až do zaplacení. Smluvní pokuta je splatná následujícího dne po jejím vzniku</w:t>
      </w:r>
      <w:r w:rsidRPr="00B907A5">
        <w:t>.</w:t>
      </w:r>
      <w:r w:rsidR="00A055DF" w:rsidRPr="00B907A5">
        <w:t xml:space="preserve"> Zaplacením smluvní pokuty není omezena výše nároku na náhradu škody.</w:t>
      </w:r>
    </w:p>
    <w:p w:rsidR="0002075B" w:rsidRDefault="0002075B">
      <w:pPr>
        <w:pStyle w:val="Normlnweb"/>
        <w:jc w:val="both"/>
      </w:pPr>
      <w:r w:rsidRPr="00B907A5">
        <w:t>Smluvní strany sjednávají pro případ, že dlužník nesplní některou ze splátek řádně a včas</w:t>
      </w:r>
      <w:r w:rsidR="00E715CA" w:rsidRPr="00B907A5">
        <w:t>,</w:t>
      </w:r>
      <w:r w:rsidRPr="00B907A5">
        <w:t xml:space="preserve"> v souladu s ustanovením § 1931 občanského zákoníku právo věřitele na vyrovnání celé pohledávky (ztráta výhody splátek). Splatnost zbývajícího dluhu nastává prvním dnem prodlení</w:t>
      </w:r>
      <w:r w:rsidR="00A055DF" w:rsidRPr="00B907A5">
        <w:t xml:space="preserve"> se splátkou.</w:t>
      </w:r>
    </w:p>
    <w:p w:rsidR="00A055DF" w:rsidRPr="00A055DF" w:rsidRDefault="00792F1E" w:rsidP="00A055DF">
      <w:pPr>
        <w:pStyle w:val="Nadpis4"/>
        <w:spacing w:before="0" w:beforeAutospacing="0" w:after="0" w:afterAutospacing="0"/>
        <w:jc w:val="center"/>
        <w:rPr>
          <w:rStyle w:val="Siln"/>
          <w:b/>
        </w:rPr>
      </w:pPr>
      <w:r w:rsidRPr="00A055DF">
        <w:rPr>
          <w:rStyle w:val="Siln"/>
          <w:b/>
        </w:rPr>
        <w:t xml:space="preserve">IV. </w:t>
      </w:r>
    </w:p>
    <w:p w:rsidR="00792F1E" w:rsidRPr="00A055DF" w:rsidRDefault="00792F1E" w:rsidP="00A055DF">
      <w:pPr>
        <w:pStyle w:val="Nadpis4"/>
        <w:spacing w:before="0" w:beforeAutospacing="0" w:after="0" w:afterAutospacing="0"/>
        <w:jc w:val="center"/>
        <w:rPr>
          <w:rStyle w:val="Siln"/>
        </w:rPr>
      </w:pPr>
      <w:r w:rsidRPr="00A055DF">
        <w:rPr>
          <w:rStyle w:val="Siln"/>
          <w:b/>
        </w:rPr>
        <w:t>Závěrečná ustanovení</w:t>
      </w:r>
    </w:p>
    <w:p w:rsidR="00E715CA" w:rsidRDefault="00E715CA" w:rsidP="00A055DF">
      <w:pPr>
        <w:jc w:val="both"/>
        <w:rPr>
          <w:highlight w:val="yellow"/>
        </w:rPr>
      </w:pPr>
    </w:p>
    <w:p w:rsidR="00A055DF" w:rsidRPr="00B907A5" w:rsidRDefault="00A055DF" w:rsidP="00A055DF">
      <w:pPr>
        <w:jc w:val="both"/>
      </w:pPr>
      <w:r w:rsidRPr="00B907A5">
        <w:t>Tato dohoda je uzavřena a nabývá platnosti dnem jejího podpisu vše</w:t>
      </w:r>
      <w:r w:rsidR="00E715CA" w:rsidRPr="00B907A5">
        <w:t>mi účastníky dohody. Nebude-li d</w:t>
      </w:r>
      <w:r w:rsidRPr="00B907A5">
        <w:t>ohoda podepsána všemi účastníky dohody téhož dne, stává se platnou dnem podpisu pozdějšího.</w:t>
      </w:r>
    </w:p>
    <w:p w:rsidR="00A055DF" w:rsidRPr="00B907A5" w:rsidRDefault="00A055DF" w:rsidP="00A055DF">
      <w:pPr>
        <w:jc w:val="both"/>
      </w:pPr>
    </w:p>
    <w:p w:rsidR="00A055DF" w:rsidRPr="00B907A5" w:rsidRDefault="00A055DF" w:rsidP="00A055DF">
      <w:pPr>
        <w:jc w:val="both"/>
      </w:pPr>
      <w:r w:rsidRPr="00B907A5">
        <w:t>Tato dohoda nabývá účinnosti dnem jejího uveřejnění v registru smluv v souladu se zákonem č. 340/2015 Sb., o zvláštních podmínkách účinnosti některých smluv, uveřejňování těchto smluv a o registru smluv (zákon o registru smluv)</w:t>
      </w:r>
      <w:r w:rsidR="00E715CA" w:rsidRPr="00B907A5">
        <w:t>, ve znění pozdějších předpisů</w:t>
      </w:r>
      <w:r w:rsidRPr="00B907A5">
        <w:t xml:space="preserve">. </w:t>
      </w:r>
      <w:r w:rsidR="00E715CA" w:rsidRPr="00B907A5">
        <w:t>Věřitel zašle tuto d</w:t>
      </w:r>
      <w:r w:rsidRPr="00B907A5">
        <w:t xml:space="preserve">ohodu správci registru smluv k uveřejnění bez zbytečného odkladu, nejpozději však </w:t>
      </w:r>
      <w:r w:rsidR="00E715CA" w:rsidRPr="00B907A5">
        <w:t xml:space="preserve">                     </w:t>
      </w:r>
      <w:r w:rsidRPr="00B907A5">
        <w:t xml:space="preserve">do 15 (patnácti) dnů od </w:t>
      </w:r>
      <w:r w:rsidR="00E715CA" w:rsidRPr="00B907A5">
        <w:t xml:space="preserve">jejího </w:t>
      </w:r>
      <w:r w:rsidRPr="00B907A5">
        <w:t>uzavření</w:t>
      </w:r>
      <w:r w:rsidR="00E715CA" w:rsidRPr="00B907A5">
        <w:t xml:space="preserve">. </w:t>
      </w:r>
      <w:r w:rsidRPr="00B907A5">
        <w:t xml:space="preserve">Pro účely uveřejnění v registru smluv účastníci dohody navzájem prohlašují, že Dohoda neobsahuje žádné obchodní tajemství. </w:t>
      </w:r>
    </w:p>
    <w:p w:rsidR="00A055DF" w:rsidRPr="00B907A5" w:rsidRDefault="00A055DF" w:rsidP="00A055DF">
      <w:pPr>
        <w:jc w:val="both"/>
      </w:pPr>
    </w:p>
    <w:p w:rsidR="00A055DF" w:rsidRPr="00B907A5" w:rsidRDefault="00A055DF" w:rsidP="00A055DF">
      <w:pPr>
        <w:jc w:val="both"/>
      </w:pPr>
      <w:r w:rsidRPr="00B907A5">
        <w:t xml:space="preserve">Účastníci dohody berou na vědomí, že jsou svými projevy vázány od okamžiku podpisu Dohody. </w:t>
      </w:r>
    </w:p>
    <w:p w:rsidR="00A055DF" w:rsidRPr="00B907A5" w:rsidRDefault="00A055DF" w:rsidP="00A055DF">
      <w:pPr>
        <w:jc w:val="both"/>
      </w:pPr>
    </w:p>
    <w:p w:rsidR="00A055DF" w:rsidRPr="00B907A5" w:rsidRDefault="00A055DF" w:rsidP="00A055DF">
      <w:pPr>
        <w:jc w:val="both"/>
      </w:pPr>
      <w:r w:rsidRPr="00B907A5">
        <w:t xml:space="preserve">Účastníci dohody se dohodli, že jakékoli změny a doplňky Dohody jsou možné pouze písemnou formou, v podobě oboustranně uzavřených, vzestupně číslovaných dodatků Dohody. </w:t>
      </w:r>
    </w:p>
    <w:p w:rsidR="00A055DF" w:rsidRPr="00547321" w:rsidRDefault="00A055DF" w:rsidP="00A055DF">
      <w:pPr>
        <w:jc w:val="both"/>
        <w:rPr>
          <w:highlight w:val="yellow"/>
        </w:rPr>
      </w:pPr>
    </w:p>
    <w:p w:rsidR="00A055DF" w:rsidRPr="00B907A5" w:rsidRDefault="00A055DF" w:rsidP="00A055DF">
      <w:pPr>
        <w:jc w:val="both"/>
      </w:pPr>
      <w:r w:rsidRPr="00B907A5">
        <w:t>Dohoda je vyhotovena ve dvou stejnopisech s platností originálu, z nichž po jednom obdrží každá smluvní strana.</w:t>
      </w:r>
    </w:p>
    <w:p w:rsidR="00547321" w:rsidRPr="00B907A5" w:rsidRDefault="00547321" w:rsidP="00A055DF">
      <w:pPr>
        <w:jc w:val="both"/>
      </w:pPr>
    </w:p>
    <w:p w:rsidR="00547321" w:rsidRPr="00B907A5" w:rsidRDefault="00A055DF" w:rsidP="00A055DF">
      <w:pPr>
        <w:jc w:val="both"/>
      </w:pPr>
      <w:r w:rsidRPr="00B907A5">
        <w:t>Nedílnou součástí Dohody je</w:t>
      </w:r>
      <w:r w:rsidR="00547321" w:rsidRPr="00B907A5">
        <w:t xml:space="preserve"> příloha č. 1 – Inventarizace pohledávek z 09.02.2023.</w:t>
      </w:r>
    </w:p>
    <w:p w:rsidR="00547321" w:rsidRPr="00B907A5" w:rsidRDefault="00547321" w:rsidP="00A055DF">
      <w:pPr>
        <w:jc w:val="both"/>
      </w:pPr>
    </w:p>
    <w:p w:rsidR="00A055DF" w:rsidRDefault="00547321" w:rsidP="00A055DF">
      <w:pPr>
        <w:jc w:val="both"/>
      </w:pPr>
      <w:r w:rsidRPr="00B907A5">
        <w:t>Ú</w:t>
      </w:r>
      <w:r w:rsidR="00A055DF" w:rsidRPr="00B907A5">
        <w:t>častníci dohody s obsahem Dohody souhlasí, rozumí jí a zavazují se k jejímu plnění, připojují své podpisy a prohlašují, že Dohoda byla uzavřena podle jejich svobodné a vážné vůle.</w:t>
      </w:r>
    </w:p>
    <w:p w:rsidR="00A62975" w:rsidRDefault="00A62975" w:rsidP="00A055DF">
      <w:pPr>
        <w:jc w:val="both"/>
      </w:pPr>
    </w:p>
    <w:p w:rsidR="00A62975" w:rsidRDefault="00A62975" w:rsidP="00A055DF">
      <w:pPr>
        <w:jc w:val="both"/>
      </w:pPr>
    </w:p>
    <w:p w:rsidR="00A62975" w:rsidRDefault="00A62975" w:rsidP="00A055DF">
      <w:pPr>
        <w:jc w:val="both"/>
      </w:pPr>
    </w:p>
    <w:p w:rsidR="00A62975" w:rsidRPr="00B907A5" w:rsidRDefault="00A62975" w:rsidP="00A055DF">
      <w:pPr>
        <w:jc w:val="both"/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792F1E" w:rsidRPr="000108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CA" w:rsidRPr="00E715CA" w:rsidRDefault="00792F1E">
            <w:r w:rsidRPr="00E715CA">
              <w:t> </w:t>
            </w:r>
          </w:p>
          <w:p w:rsidR="00792F1E" w:rsidRPr="00E715CA" w:rsidRDefault="00792F1E">
            <w:r w:rsidRPr="00E715CA">
              <w:t xml:space="preserve">V Chrudimi, dne </w:t>
            </w:r>
            <w:r w:rsidRPr="00E715CA">
              <w:br/>
            </w:r>
            <w:r w:rsidRPr="00E715CA">
              <w:br/>
            </w:r>
            <w:r w:rsidRPr="00E715CA">
              <w:br/>
              <w:t xml:space="preserve">.................................................... </w:t>
            </w:r>
            <w:r w:rsidRPr="00E715CA">
              <w:br/>
              <w:t>Mgr. Luděk Marousek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CA" w:rsidRDefault="00E715CA"/>
          <w:p w:rsidR="00792F1E" w:rsidRDefault="00792F1E">
            <w:r w:rsidRPr="00E715CA">
              <w:t xml:space="preserve">V Chrudimi, dne </w:t>
            </w:r>
            <w:r w:rsidRPr="00E715CA">
              <w:br/>
            </w:r>
            <w:r w:rsidRPr="00E715CA">
              <w:br/>
            </w:r>
            <w:r w:rsidRPr="00E715CA">
              <w:br/>
              <w:t xml:space="preserve">.................................................... </w:t>
            </w:r>
            <w:r w:rsidRPr="00E715CA">
              <w:br/>
              <w:t>František Tichý</w:t>
            </w:r>
            <w:r>
              <w:t xml:space="preserve"> </w:t>
            </w:r>
          </w:p>
        </w:tc>
      </w:tr>
    </w:tbl>
    <w:p w:rsidR="00792F1E" w:rsidRDefault="00792F1E">
      <w:pPr>
        <w:spacing w:after="240"/>
      </w:pPr>
      <w:r>
        <w:br/>
      </w:r>
    </w:p>
    <w:p w:rsidR="00792F1E" w:rsidRDefault="00792F1E">
      <w:pPr>
        <w:spacing w:after="240"/>
      </w:pPr>
    </w:p>
    <w:p w:rsidR="00792F1E" w:rsidRDefault="00792F1E">
      <w:pPr>
        <w:pStyle w:val="Normlnweb"/>
      </w:pPr>
    </w:p>
    <w:sectPr w:rsidR="00792F1E" w:rsidSect="003C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0B35"/>
    <w:multiLevelType w:val="hybridMultilevel"/>
    <w:tmpl w:val="56F43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0731"/>
    <w:multiLevelType w:val="multilevel"/>
    <w:tmpl w:val="21F0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A500034"/>
    <w:multiLevelType w:val="hybridMultilevel"/>
    <w:tmpl w:val="BE24268C"/>
    <w:lvl w:ilvl="0" w:tplc="B7CA5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5208E"/>
    <w:multiLevelType w:val="multilevel"/>
    <w:tmpl w:val="352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55"/>
    <w:rsid w:val="0001085D"/>
    <w:rsid w:val="0002075B"/>
    <w:rsid w:val="00093217"/>
    <w:rsid w:val="000A017F"/>
    <w:rsid w:val="000E2503"/>
    <w:rsid w:val="000E6B61"/>
    <w:rsid w:val="00132D75"/>
    <w:rsid w:val="00241B28"/>
    <w:rsid w:val="002D24EA"/>
    <w:rsid w:val="003C709B"/>
    <w:rsid w:val="00413BB4"/>
    <w:rsid w:val="00547321"/>
    <w:rsid w:val="00571FA9"/>
    <w:rsid w:val="00601800"/>
    <w:rsid w:val="00656CBB"/>
    <w:rsid w:val="006F757D"/>
    <w:rsid w:val="00706D11"/>
    <w:rsid w:val="00792F1E"/>
    <w:rsid w:val="00815B55"/>
    <w:rsid w:val="008C0399"/>
    <w:rsid w:val="00901155"/>
    <w:rsid w:val="00962AB3"/>
    <w:rsid w:val="009667EA"/>
    <w:rsid w:val="009901D6"/>
    <w:rsid w:val="00A055DF"/>
    <w:rsid w:val="00A62975"/>
    <w:rsid w:val="00AA7DC7"/>
    <w:rsid w:val="00B7292E"/>
    <w:rsid w:val="00B907A5"/>
    <w:rsid w:val="00C04937"/>
    <w:rsid w:val="00C4746A"/>
    <w:rsid w:val="00D24C71"/>
    <w:rsid w:val="00E715CA"/>
    <w:rsid w:val="00E756C2"/>
    <w:rsid w:val="00E85DC0"/>
    <w:rsid w:val="00EF12EC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D941C"/>
  <w14:defaultImageDpi w14:val="0"/>
  <w15:docId w15:val="{824FEA3B-9C0B-4A26-ACF5-B422CD3A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link w:val="Nadpis4Char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 Light" w:hAnsi="Calibri Light"/>
      <w:i/>
      <w:color w:val="2F5496"/>
      <w:sz w:val="24"/>
    </w:rPr>
  </w:style>
  <w:style w:type="paragraph" w:customStyle="1" w:styleId="msonormal0">
    <w:name w:val="msonormal"/>
    <w:basedOn w:val="Normln"/>
    <w:uiPriority w:val="99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Pr>
      <w:rFonts w:cs="Times New Roman"/>
      <w:b/>
    </w:rPr>
  </w:style>
  <w:style w:type="character" w:customStyle="1" w:styleId="with-background">
    <w:name w:val="with-background"/>
    <w:basedOn w:val="Standardnpsmoodstavce"/>
    <w:uiPriority w:val="99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F7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57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locked/>
    <w:rsid w:val="000E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6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800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Půlpanová Dana</dc:creator>
  <cp:keywords/>
  <dc:description/>
  <cp:lastModifiedBy>Mzdovka</cp:lastModifiedBy>
  <cp:revision>2</cp:revision>
  <cp:lastPrinted>2023-05-18T08:13:00Z</cp:lastPrinted>
  <dcterms:created xsi:type="dcterms:W3CDTF">2023-05-18T08:16:00Z</dcterms:created>
  <dcterms:modified xsi:type="dcterms:W3CDTF">2023-05-18T08:16:00Z</dcterms:modified>
</cp:coreProperties>
</file>