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D930BBA" w14:textId="51DAC468" w:rsidR="00A36DBA" w:rsidRDefault="00F54B79" w:rsidP="00A36DBA">
      <w:pPr>
        <w:numPr>
          <w:ilvl w:val="0"/>
          <w:numId w:val="3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B79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7D35B0EA" w14:textId="0A5D80FB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se sídlem:</w:t>
      </w:r>
      <w:r w:rsidRPr="005E6D6A">
        <w:rPr>
          <w:rFonts w:ascii="Tahoma" w:hAnsi="Tahoma" w:cs="Tahoma"/>
          <w:sz w:val="22"/>
          <w:szCs w:val="22"/>
        </w:rPr>
        <w:tab/>
      </w:r>
      <w:r w:rsidR="00427DC4" w:rsidRPr="00427DC4">
        <w:rPr>
          <w:rFonts w:ascii="Tahoma" w:hAnsi="Tahoma" w:cs="Tahoma"/>
          <w:sz w:val="22"/>
          <w:szCs w:val="22"/>
        </w:rPr>
        <w:t>Ostrava, Mariánské Hory a Hulváky, Rybářská 1223/13</w:t>
      </w:r>
    </w:p>
    <w:p w14:paraId="0FD0F2C1" w14:textId="7CA1B31E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zastoupena:</w:t>
      </w:r>
      <w:r w:rsidRPr="005E6D6A">
        <w:rPr>
          <w:rFonts w:ascii="Tahoma" w:hAnsi="Tahoma" w:cs="Tahoma"/>
          <w:sz w:val="22"/>
          <w:szCs w:val="22"/>
        </w:rPr>
        <w:tab/>
      </w:r>
      <w:r w:rsidR="00C752BC" w:rsidRPr="00C752BC">
        <w:rPr>
          <w:rFonts w:ascii="Tahoma" w:hAnsi="Tahoma" w:cs="Tahoma"/>
          <w:sz w:val="22"/>
          <w:szCs w:val="22"/>
        </w:rPr>
        <w:t>Mgr. Michal Mariánek- ředitel organizace</w:t>
      </w:r>
    </w:p>
    <w:p w14:paraId="5DFD7F66" w14:textId="460C43E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IČ:</w:t>
      </w:r>
      <w:r w:rsidRPr="005E6D6A">
        <w:rPr>
          <w:rFonts w:ascii="Tahoma" w:hAnsi="Tahoma" w:cs="Tahoma"/>
          <w:sz w:val="22"/>
          <w:szCs w:val="22"/>
        </w:rPr>
        <w:tab/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610D491D" w14:textId="4F61BC2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0C1FD7DD" w:rsidR="004A2DDB" w:rsidRPr="00A60B84" w:rsidRDefault="0036769B" w:rsidP="0036769B">
      <w:pPr>
        <w:spacing w:before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Pr="0036769B">
        <w:rPr>
          <w:rFonts w:ascii="Tahoma" w:hAnsi="Tahoma" w:cs="Tahoma"/>
          <w:b/>
          <w:sz w:val="22"/>
          <w:szCs w:val="22"/>
        </w:rPr>
        <w:t>Petr Svoboda</w:t>
      </w:r>
    </w:p>
    <w:p w14:paraId="6F68717E" w14:textId="1FB046D1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71507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71507B" w:rsidRPr="0071507B">
        <w:rPr>
          <w:rFonts w:ascii="Tahoma" w:hAnsi="Tahoma" w:cs="Tahoma"/>
          <w:sz w:val="22"/>
          <w:szCs w:val="22"/>
        </w:rPr>
        <w:t>Havířov, Dolní Datyně, Datyňská 220/2c</w:t>
      </w:r>
    </w:p>
    <w:p w14:paraId="1261982D" w14:textId="39B8126B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71507B">
        <w:rPr>
          <w:rFonts w:ascii="Tahoma" w:hAnsi="Tahoma" w:cs="Tahoma"/>
          <w:sz w:val="22"/>
          <w:szCs w:val="22"/>
        </w:rPr>
        <w:t>10034285</w:t>
      </w:r>
    </w:p>
    <w:p w14:paraId="4517BAAF" w14:textId="281CA866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436121">
        <w:rPr>
          <w:rFonts w:ascii="Tahoma" w:hAnsi="Tahoma" w:cs="Tahoma"/>
          <w:sz w:val="22"/>
          <w:szCs w:val="22"/>
        </w:rPr>
        <w:t>xxxxxxxxx</w:t>
      </w:r>
    </w:p>
    <w:p w14:paraId="3A61983A" w14:textId="4FDEFDB0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71507B">
        <w:rPr>
          <w:rFonts w:ascii="Tahoma" w:hAnsi="Tahoma" w:cs="Tahoma"/>
          <w:sz w:val="22"/>
          <w:szCs w:val="22"/>
        </w:rPr>
        <w:t xml:space="preserve">ČSOB a. s. </w:t>
      </w:r>
    </w:p>
    <w:p w14:paraId="4D19BBF1" w14:textId="3A59D2A3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436121">
        <w:rPr>
          <w:rFonts w:ascii="Tahoma" w:hAnsi="Tahoma" w:cs="Tahoma"/>
          <w:sz w:val="22"/>
          <w:szCs w:val="22"/>
        </w:rPr>
        <w:t>xxxxxxxxx</w:t>
      </w:r>
    </w:p>
    <w:p w14:paraId="5745EF4B" w14:textId="7F6ADCCC" w:rsidR="004A2DDB" w:rsidRPr="00A045E6" w:rsidRDefault="004A2DDB" w:rsidP="004F2D3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Zapsána v</w:t>
      </w:r>
      <w:r w:rsidR="004F2D34">
        <w:rPr>
          <w:rFonts w:ascii="Tahoma" w:hAnsi="Tahoma" w:cs="Tahoma"/>
          <w:sz w:val="22"/>
          <w:szCs w:val="22"/>
        </w:rPr>
        <w:t> Živnostenském rejstříku vedeném Magistrátem města Havířova, č. j. ŽU/18</w:t>
      </w:r>
      <w:r w:rsidR="0025137E">
        <w:rPr>
          <w:rFonts w:ascii="Tahoma" w:hAnsi="Tahoma" w:cs="Tahoma"/>
          <w:sz w:val="22"/>
          <w:szCs w:val="22"/>
        </w:rPr>
        <w:t>2/Kr/2020/3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lastRenderedPageBreak/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79843181" w:rsidR="004A2DDB" w:rsidRPr="000547C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Pr="00A045E6">
        <w:rPr>
          <w:rFonts w:ascii="Tahoma" w:hAnsi="Tahoma" w:cs="Tahoma"/>
          <w:sz w:val="22"/>
          <w:szCs w:val="22"/>
        </w:rPr>
        <w:t xml:space="preserve">stavbu </w:t>
      </w:r>
      <w:r w:rsidRPr="000547C0">
        <w:rPr>
          <w:rFonts w:ascii="Tahoma" w:hAnsi="Tahoma" w:cs="Tahoma"/>
          <w:sz w:val="22"/>
          <w:szCs w:val="22"/>
        </w:rPr>
        <w:t>„</w:t>
      </w:r>
      <w:r w:rsidR="00323AC2" w:rsidRPr="00323AC2">
        <w:rPr>
          <w:rFonts w:ascii="Tahoma" w:hAnsi="Tahoma" w:cs="Tahoma"/>
          <w:sz w:val="22"/>
          <w:szCs w:val="22"/>
        </w:rPr>
        <w:t>Rekonstrukce tepelného zdroje Domova Iris, příspěvková organizace</w:t>
      </w:r>
      <w:r w:rsidRPr="000547C0">
        <w:rPr>
          <w:rFonts w:ascii="Tahoma" w:hAnsi="Tahoma" w:cs="Tahoma"/>
          <w:sz w:val="22"/>
          <w:szCs w:val="22"/>
        </w:rPr>
        <w:t>“ (dále jen „stavba“) v rozsahu dle:</w:t>
      </w:r>
    </w:p>
    <w:p w14:paraId="7B29329F" w14:textId="0FBCA928" w:rsidR="004A2DDB" w:rsidRPr="003B7325" w:rsidRDefault="004A2DDB" w:rsidP="003B7325">
      <w:pPr>
        <w:numPr>
          <w:ilvl w:val="0"/>
          <w:numId w:val="25"/>
        </w:numPr>
        <w:tabs>
          <w:tab w:val="clear" w:pos="2520"/>
        </w:tabs>
        <w:spacing w:before="6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iCs/>
          <w:sz w:val="22"/>
          <w:szCs w:val="22"/>
        </w:rPr>
        <w:t>projektové</w:t>
      </w:r>
      <w:r w:rsidRPr="000547C0">
        <w:rPr>
          <w:rFonts w:ascii="Tahoma" w:hAnsi="Tahoma" w:cs="Tahoma"/>
          <w:sz w:val="22"/>
          <w:szCs w:val="22"/>
        </w:rPr>
        <w:t xml:space="preserve"> dokumentace stavby zpracované společností </w:t>
      </w:r>
      <w:r w:rsidR="003B7325" w:rsidRPr="003B7325">
        <w:rPr>
          <w:rFonts w:ascii="Tahoma" w:hAnsi="Tahoma" w:cs="Tahoma"/>
          <w:sz w:val="22"/>
          <w:szCs w:val="22"/>
        </w:rPr>
        <w:t>TERMIA K+Š s.r.o., se sídlem: 28.října 168, 709 00  Ostrava</w:t>
      </w:r>
      <w:r w:rsidR="003B7325">
        <w:rPr>
          <w:rFonts w:ascii="Tahoma" w:hAnsi="Tahoma" w:cs="Tahoma"/>
          <w:sz w:val="22"/>
          <w:szCs w:val="22"/>
        </w:rPr>
        <w:t xml:space="preserve">, </w:t>
      </w:r>
      <w:r w:rsidR="003B7325" w:rsidRPr="003B7325">
        <w:rPr>
          <w:rFonts w:ascii="Tahoma" w:hAnsi="Tahoma" w:cs="Tahoma"/>
          <w:sz w:val="22"/>
          <w:szCs w:val="22"/>
        </w:rPr>
        <w:t>IČ: 47985852</w:t>
      </w:r>
      <w:r w:rsidR="00C6092E" w:rsidRPr="003B7325">
        <w:rPr>
          <w:rFonts w:ascii="Tahoma" w:hAnsi="Tahoma" w:cs="Tahoma"/>
          <w:i/>
          <w:iCs/>
          <w:sz w:val="22"/>
          <w:szCs w:val="22"/>
        </w:rPr>
        <w:t>,</w:t>
      </w:r>
    </w:p>
    <w:p w14:paraId="7687F9B1" w14:textId="77777777" w:rsidR="00C6092E" w:rsidRPr="000547C0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77777777" w:rsidR="004A2DDB" w:rsidRPr="00A045E6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 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94F0EE7" w:rsidR="004A2DDB" w:rsidRPr="000547C0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zpracování dokumentace skutečného provedení stavby ve třech vyhotoveních</w:t>
      </w:r>
      <w:r w:rsidR="003B7325">
        <w:rPr>
          <w:rFonts w:ascii="Tahoma" w:hAnsi="Tahoma" w:cs="Tahoma"/>
          <w:sz w:val="22"/>
          <w:szCs w:val="22"/>
        </w:rPr>
        <w:t>.</w:t>
      </w:r>
    </w:p>
    <w:p w14:paraId="3297F9B1" w14:textId="248042A7" w:rsidR="004A2DDB" w:rsidRPr="000547C0" w:rsidRDefault="004A2DDB" w:rsidP="00CE0B3C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 w:rsidRPr="000547C0">
        <w:rPr>
          <w:rFonts w:ascii="Tahoma" w:hAnsi="Tahoma" w:cs="Tahoma"/>
          <w:sz w:val="22"/>
          <w:szCs w:val="22"/>
        </w:rPr>
        <w:t>nebo</w:t>
      </w:r>
      <w:r w:rsidRPr="000547C0">
        <w:rPr>
          <w:rFonts w:ascii="Tahoma" w:hAnsi="Tahoma" w:cs="Tahoma"/>
          <w:sz w:val="22"/>
          <w:szCs w:val="22"/>
        </w:rPr>
        <w:t> komunikací dle platných předpisů,</w:t>
      </w:r>
      <w:r w:rsidR="00CE0B3C" w:rsidRPr="000547C0">
        <w:rPr>
          <w:rFonts w:ascii="Tahoma" w:hAnsi="Tahoma" w:cs="Tahoma"/>
          <w:sz w:val="22"/>
          <w:szCs w:val="22"/>
        </w:rPr>
        <w:t xml:space="preserve"> v souladu s požadavky projektové dokumentace. Neprodleně po vydání souhlasu (rozhodnutí), předání úplné kopie souhlasu (rozhodnutí), včetně případných příloh (podmínek) objednateli,</w:t>
      </w:r>
    </w:p>
    <w:p w14:paraId="38F31746" w14:textId="53D9FF84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vybudování a zajištění zařízení </w:t>
      </w:r>
      <w:r w:rsidRPr="40A21B9B">
        <w:rPr>
          <w:rFonts w:ascii="Tahoma" w:hAnsi="Tahoma" w:cs="Tahoma"/>
          <w:sz w:val="22"/>
          <w:szCs w:val="22"/>
        </w:rPr>
        <w:t>staveniště a jeho provoz v souladu s </w:t>
      </w:r>
      <w:r w:rsidR="00B937D0" w:rsidRPr="40A21B9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40A21B9B">
        <w:rPr>
          <w:rFonts w:ascii="Tahoma" w:hAnsi="Tahoma" w:cs="Tahoma"/>
          <w:sz w:val="22"/>
          <w:szCs w:val="22"/>
        </w:rPr>
        <w:t>atelem, požadavky objednatele a </w:t>
      </w:r>
      <w:r w:rsidR="00B937D0" w:rsidRPr="40A21B9B">
        <w:rPr>
          <w:rFonts w:ascii="Tahoma" w:hAnsi="Tahoma" w:cs="Tahoma"/>
          <w:sz w:val="22"/>
          <w:szCs w:val="22"/>
        </w:rPr>
        <w:t>s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zákona č.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183/2006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Sb., o územním plánování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stavebním řádu</w:t>
      </w:r>
      <w:r w:rsidR="00281B1F" w:rsidRPr="40A21B9B">
        <w:rPr>
          <w:rFonts w:ascii="Tahoma" w:hAnsi="Tahoma" w:cs="Tahoma"/>
          <w:sz w:val="22"/>
          <w:szCs w:val="22"/>
        </w:rPr>
        <w:t xml:space="preserve"> (stavební zákon), ve </w:t>
      </w:r>
      <w:r w:rsidRPr="40A21B9B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14:paraId="60D0B1D2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vyt</w:t>
      </w:r>
      <w:r w:rsidR="00605799" w:rsidRPr="40A21B9B">
        <w:rPr>
          <w:rFonts w:ascii="Tahoma" w:hAnsi="Tahoma" w:cs="Tahoma"/>
          <w:sz w:val="22"/>
          <w:szCs w:val="22"/>
        </w:rPr>
        <w:t>y</w:t>
      </w:r>
      <w:r w:rsidRPr="40A21B9B">
        <w:rPr>
          <w:rFonts w:ascii="Tahoma" w:hAnsi="Tahoma" w:cs="Tahoma"/>
          <w:sz w:val="22"/>
          <w:szCs w:val="22"/>
        </w:rPr>
        <w:t>čení obvodu staveniště,</w:t>
      </w:r>
    </w:p>
    <w:p w14:paraId="35947301" w14:textId="658C7F04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 w:rsidRPr="002373DB">
        <w:rPr>
          <w:rFonts w:ascii="Tahoma" w:hAnsi="Tahoma" w:cs="Tahoma"/>
          <w:sz w:val="22"/>
          <w:szCs w:val="22"/>
        </w:rPr>
        <w:t xml:space="preserve"> včetně zajištění jejich případných aktualizací</w:t>
      </w:r>
      <w:r w:rsidRPr="002373DB">
        <w:rPr>
          <w:rFonts w:ascii="Tahoma" w:hAnsi="Tahoma" w:cs="Tahoma"/>
          <w:sz w:val="22"/>
          <w:szCs w:val="22"/>
        </w:rPr>
        <w:t>, a to před zahájením prací na staveništi včetně jejich zaměření a zakreslení dle</w:t>
      </w:r>
      <w:r w:rsidR="00281B1F" w:rsidRPr="002373DB">
        <w:rPr>
          <w:rFonts w:ascii="Tahoma" w:hAnsi="Tahoma" w:cs="Tahoma"/>
          <w:sz w:val="22"/>
          <w:szCs w:val="22"/>
        </w:rPr>
        <w:t> </w:t>
      </w:r>
      <w:r w:rsidRPr="002373DB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</w:t>
      </w:r>
    </w:p>
    <w:p w14:paraId="1B0CBA2B" w14:textId="2F79B1CA" w:rsidR="0048145D" w:rsidRPr="00AA3365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2373DB">
        <w:rPr>
          <w:rFonts w:ascii="Tahoma" w:hAnsi="Tahoma" w:cs="Tahoma"/>
          <w:sz w:val="22"/>
          <w:szCs w:val="22"/>
        </w:rPr>
        <w:t>541/2020</w:t>
      </w:r>
      <w:r w:rsidRPr="002373DB">
        <w:rPr>
          <w:rFonts w:ascii="Tahoma" w:hAnsi="Tahoma" w:cs="Tahoma"/>
          <w:sz w:val="22"/>
          <w:szCs w:val="22"/>
        </w:rPr>
        <w:t xml:space="preserve"> Sb., o odpadech, ve znění pozdějších </w:t>
      </w:r>
      <w:r w:rsidRPr="40A21B9B">
        <w:rPr>
          <w:rFonts w:ascii="Tahoma" w:hAnsi="Tahoma" w:cs="Tahoma"/>
          <w:sz w:val="22"/>
          <w:szCs w:val="22"/>
        </w:rPr>
        <w:t>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40A21B9B">
        <w:rPr>
          <w:rFonts w:ascii="Tahoma" w:hAnsi="Tahoma" w:cs="Tahoma"/>
          <w:sz w:val="22"/>
          <w:szCs w:val="22"/>
        </w:rPr>
        <w:t> stavebního zákona,</w:t>
      </w:r>
      <w:r w:rsidR="00C46182" w:rsidRPr="40A21B9B">
        <w:rPr>
          <w:rFonts w:ascii="Tahoma" w:hAnsi="Tahoma" w:cs="Tahoma"/>
          <w:sz w:val="22"/>
          <w:szCs w:val="22"/>
        </w:rPr>
        <w:t xml:space="preserve"> bude-li </w:t>
      </w:r>
      <w:r w:rsidR="00EE2A73" w:rsidRPr="40A21B9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40A21B9B">
        <w:rPr>
          <w:rFonts w:ascii="Tahoma" w:hAnsi="Tahoma" w:cs="Tahoma"/>
          <w:sz w:val="22"/>
          <w:szCs w:val="22"/>
        </w:rPr>
        <w:t>potřebné</w:t>
      </w:r>
      <w:r w:rsidR="00D2255A" w:rsidRPr="40A21B9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výjezdů </w:t>
      </w:r>
      <w:r w:rsidRPr="002373DB">
        <w:rPr>
          <w:rFonts w:ascii="Tahoma" w:hAnsi="Tahoma" w:cs="Tahoma"/>
          <w:sz w:val="22"/>
          <w:szCs w:val="22"/>
        </w:rPr>
        <w:t>ze staveniště v čistotě a jejich uvedení do původního stavu</w:t>
      </w:r>
      <w:r w:rsidR="00281B1F" w:rsidRPr="002373D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lastRenderedPageBreak/>
        <w:t>zajištění ochrany proti šíření prašnosti a nadměrného hluku,</w:t>
      </w:r>
    </w:p>
    <w:p w14:paraId="3717BB75" w14:textId="77777777" w:rsidR="00650B78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2373D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40808FC0" w14:textId="2E1C195C" w:rsidR="004A2DDB" w:rsidRDefault="00094510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provedení úklidu vnějších a vnitřních ploch dotčených stavbou</w:t>
      </w:r>
      <w:r w:rsidR="004A2DDB" w:rsidRPr="40A21B9B"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41F507CF" w:rsidR="004A2DDB" w:rsidRPr="00094510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plnit podmínky příslušných povolení</w:t>
      </w:r>
      <w:r w:rsidR="00BE1B34" w:rsidRPr="00094510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094510">
        <w:rPr>
          <w:rFonts w:ascii="Tahoma" w:hAnsi="Tahoma" w:cs="Tahoma"/>
          <w:sz w:val="22"/>
          <w:szCs w:val="22"/>
        </w:rPr>
        <w:t>a požadavky dotčených orgánů a</w:t>
      </w:r>
      <w:r w:rsidR="00281B1F" w:rsidRPr="00094510">
        <w:rPr>
          <w:rFonts w:ascii="Tahoma" w:hAnsi="Tahoma" w:cs="Tahoma"/>
          <w:sz w:val="22"/>
          <w:szCs w:val="22"/>
        </w:rPr>
        <w:t> </w:t>
      </w:r>
      <w:r w:rsidRPr="00094510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210117A6" w:rsidR="00E9200D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 w:rsidRPr="00094510">
        <w:rPr>
          <w:rFonts w:ascii="Tahoma" w:hAnsi="Tahoma" w:cs="Tahoma"/>
          <w:sz w:val="22"/>
          <w:szCs w:val="22"/>
        </w:rPr>
        <w:t xml:space="preserve"> související s realizací stavby</w:t>
      </w:r>
      <w:r w:rsidR="00C222B5">
        <w:rPr>
          <w:rFonts w:ascii="Tahoma" w:hAnsi="Tahoma" w:cs="Tahoma"/>
          <w:sz w:val="22"/>
          <w:szCs w:val="22"/>
        </w:rPr>
        <w:t>.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272E3036" w14:textId="77777777" w:rsidR="002110CE" w:rsidRDefault="002110CE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53A48C59" w14:textId="4C7E5FCE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300E65BB" w:rsidR="004A2DDB" w:rsidRPr="00EB57B9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DF525D">
        <w:rPr>
          <w:rFonts w:ascii="Tahoma" w:hAnsi="Tahoma" w:cs="Tahoma"/>
          <w:sz w:val="22"/>
          <w:szCs w:val="22"/>
        </w:rPr>
        <w:t>49</w:t>
      </w:r>
      <w:r w:rsidRPr="00A045E6">
        <w:rPr>
          <w:rFonts w:ascii="Tahoma" w:hAnsi="Tahoma" w:cs="Tahoma"/>
          <w:sz w:val="22"/>
          <w:szCs w:val="22"/>
        </w:rPr>
        <w:t xml:space="preserve"> dnů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  <w:r w:rsidR="00482A1E">
        <w:rPr>
          <w:rFonts w:ascii="Tahoma" w:hAnsi="Tahoma" w:cs="Tahoma"/>
          <w:sz w:val="22"/>
          <w:szCs w:val="22"/>
        </w:rPr>
        <w:t xml:space="preserve"> Dílo bude prováděno a provedeno mimo topnou sezónu.</w:t>
      </w:r>
    </w:p>
    <w:p w14:paraId="7102D423" w14:textId="129E7676" w:rsidR="00EF3B8F" w:rsidRPr="00FA0A57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 xml:space="preserve">Místem plnění je </w:t>
      </w:r>
      <w:r w:rsidR="00D30ED8" w:rsidRPr="00D30ED8">
        <w:rPr>
          <w:rFonts w:ascii="Tahoma" w:hAnsi="Tahoma" w:cs="Tahoma"/>
          <w:bCs/>
          <w:sz w:val="22"/>
          <w:szCs w:val="22"/>
        </w:rPr>
        <w:t>budova na adrese Rybářská 1223/13, 709 00 Ostrava - Mariánské Hory, parcela č. 1267, 3483 a 3484, kat. území: Mariánské Hory</w:t>
      </w:r>
      <w:r w:rsidR="00AC5F75">
        <w:rPr>
          <w:rFonts w:ascii="Tahoma" w:hAnsi="Tahoma" w:cs="Tahoma"/>
          <w:bCs/>
          <w:sz w:val="22"/>
          <w:szCs w:val="22"/>
        </w:rPr>
        <w:t>.</w:t>
      </w:r>
    </w:p>
    <w:p w14:paraId="3EA2664D" w14:textId="7BBACB90" w:rsidR="00DE6ED4" w:rsidRPr="00FA0A57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 </w:t>
      </w:r>
      <w:r w:rsidRPr="00FA0A57">
        <w:rPr>
          <w:rFonts w:ascii="Tahoma" w:hAnsi="Tahoma" w:cs="Tahoma"/>
          <w:bCs/>
          <w:sz w:val="22"/>
          <w:szCs w:val="22"/>
        </w:rPr>
        <w:t>souladu</w:t>
      </w:r>
      <w:r w:rsidRPr="00FA0A57">
        <w:rPr>
          <w:rFonts w:ascii="Tahoma" w:hAnsi="Tahoma" w:cs="Tahoma"/>
          <w:sz w:val="22"/>
          <w:szCs w:val="22"/>
        </w:rPr>
        <w:t xml:space="preserve"> s § 100 odst. 1 ZZVZ si objednatel vyhrazuje právo </w:t>
      </w:r>
      <w:r w:rsidR="00D23940" w:rsidRPr="00FA0A57">
        <w:rPr>
          <w:rFonts w:ascii="Tahoma" w:hAnsi="Tahoma" w:cs="Tahoma"/>
          <w:sz w:val="22"/>
          <w:szCs w:val="22"/>
        </w:rPr>
        <w:t xml:space="preserve">po dobu trvání překážky </w:t>
      </w:r>
      <w:r w:rsidRPr="00FA0A57">
        <w:rPr>
          <w:rFonts w:ascii="Tahoma" w:hAnsi="Tahoma" w:cs="Tahoma"/>
          <w:sz w:val="22"/>
          <w:szCs w:val="22"/>
        </w:rPr>
        <w:t>přerušit plnění předmětu této smlouvy a zastavit běh doby plnění dle odst. 1 tohoto článku smlouvy, a to v</w:t>
      </w:r>
      <w:r w:rsidR="00FA0A57" w:rsidRPr="00FA0A57">
        <w:rPr>
          <w:rFonts w:ascii="Tahoma" w:hAnsi="Tahoma" w:cs="Tahoma"/>
          <w:sz w:val="22"/>
          <w:szCs w:val="22"/>
        </w:rPr>
        <w:t> </w:t>
      </w:r>
      <w:r w:rsidR="00DE6ED4" w:rsidRPr="00FA0A57">
        <w:rPr>
          <w:rFonts w:ascii="Tahoma" w:hAnsi="Tahoma" w:cs="Tahoma"/>
          <w:sz w:val="22"/>
          <w:szCs w:val="22"/>
        </w:rPr>
        <w:t>těchto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E6ED4" w:rsidRPr="00FA0A57">
        <w:rPr>
          <w:rFonts w:ascii="Tahoma" w:hAnsi="Tahoma" w:cs="Tahoma"/>
          <w:sz w:val="22"/>
          <w:szCs w:val="22"/>
        </w:rPr>
        <w:t>případech:</w:t>
      </w:r>
    </w:p>
    <w:p w14:paraId="07BDDD70" w14:textId="6F6AE6C4" w:rsidR="00D23940" w:rsidRPr="00FA0A57" w:rsidRDefault="00F45279" w:rsidP="00A5613D">
      <w:pPr>
        <w:pStyle w:val="Smlouva-slo0"/>
        <w:widowControl/>
        <w:numPr>
          <w:ilvl w:val="0"/>
          <w:numId w:val="35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omezení postupu prací vlivem nepříznivých klimatických podmínek</w:t>
      </w:r>
      <w:r w:rsidR="00EB57B9" w:rsidRPr="00FA0A57">
        <w:rPr>
          <w:rFonts w:ascii="Tahoma" w:hAnsi="Tahoma" w:cs="Tahoma"/>
          <w:sz w:val="22"/>
          <w:szCs w:val="22"/>
        </w:rPr>
        <w:t>,</w:t>
      </w:r>
      <w:r w:rsidRPr="00FA0A57">
        <w:rPr>
          <w:rFonts w:ascii="Tahoma" w:hAnsi="Tahoma" w:cs="Tahoma"/>
          <w:sz w:val="22"/>
          <w:szCs w:val="22"/>
        </w:rPr>
        <w:t xml:space="preserve"> </w:t>
      </w:r>
      <w:r w:rsidR="00EB57B9" w:rsidRPr="00FA0A57">
        <w:rPr>
          <w:rFonts w:ascii="Tahoma" w:hAnsi="Tahoma" w:cs="Tahoma"/>
          <w:sz w:val="22"/>
          <w:szCs w:val="22"/>
        </w:rPr>
        <w:t>tj. v případě, že nebude zjevně možné vlivem klimatických podmínek pokračovat v pracích dle harmonogramu výstavby, aniž by došlo k porušení právních/bezpečnostních předpisů nebo technických/technologických norem</w:t>
      </w:r>
      <w:r w:rsidR="00107340" w:rsidRPr="00FA0A57">
        <w:rPr>
          <w:rFonts w:ascii="Tahoma" w:hAnsi="Tahoma" w:cs="Tahoma"/>
          <w:sz w:val="22"/>
          <w:szCs w:val="22"/>
        </w:rPr>
        <w:t>.</w:t>
      </w:r>
    </w:p>
    <w:p w14:paraId="79E2B408" w14:textId="77777777" w:rsidR="00D23940" w:rsidRPr="00FA0A57" w:rsidRDefault="00D23940" w:rsidP="00A5613D">
      <w:pPr>
        <w:pStyle w:val="Smlouva-slo0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 xml:space="preserve">v případě vzniku překážek ze strany dotčených orgánů státní správy, ze strany vlastníků dotčených a sousedních parcel, nebo vlastníků (správců) dopravní a technické </w:t>
      </w:r>
      <w:r w:rsidRPr="00FA0A57">
        <w:rPr>
          <w:rFonts w:ascii="Tahoma" w:hAnsi="Tahoma" w:cs="Tahoma"/>
          <w:sz w:val="22"/>
          <w:szCs w:val="22"/>
        </w:rPr>
        <w:lastRenderedPageBreak/>
        <w:t>infrastruktury, bránících zhotoviteli v plnění jeho závazků vyplývajících z této smlouvy, kterým zhotovitel jednající s náležitou péčí nemohl zabránit, </w:t>
      </w:r>
    </w:p>
    <w:p w14:paraId="149143AB" w14:textId="41F4EF0D" w:rsidR="00F45279" w:rsidRDefault="00107340" w:rsidP="00D23940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</w:t>
      </w:r>
      <w:r w:rsidR="00D23940" w:rsidRPr="00FA0A57">
        <w:rPr>
          <w:rFonts w:ascii="Tahoma" w:hAnsi="Tahoma" w:cs="Tahoma"/>
          <w:sz w:val="22"/>
          <w:szCs w:val="22"/>
        </w:rPr>
        <w:t> 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těchto</w:t>
      </w:r>
      <w:r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případech</w:t>
      </w:r>
      <w:r w:rsidR="00EB57B9" w:rsidRPr="00FA0A57">
        <w:rPr>
          <w:rFonts w:ascii="Tahoma" w:hAnsi="Tahoma" w:cs="Tahoma"/>
          <w:sz w:val="22"/>
          <w:szCs w:val="22"/>
        </w:rPr>
        <w:t xml:space="preserve"> bude se zhotovitelem jednáno o možnosti stavění běhu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 odst. 1 tohoto článku</w:t>
      </w:r>
      <w:r w:rsidR="005E0355" w:rsidRPr="00FA0A57">
        <w:rPr>
          <w:rFonts w:ascii="Tahoma" w:hAnsi="Tahoma" w:cs="Tahoma"/>
          <w:sz w:val="22"/>
          <w:szCs w:val="22"/>
        </w:rPr>
        <w:t xml:space="preserve"> smlouvy</w:t>
      </w:r>
      <w:r w:rsidR="00EB57B9" w:rsidRPr="00FA0A57">
        <w:rPr>
          <w:rFonts w:ascii="Tahoma" w:hAnsi="Tahoma" w:cs="Tahoma"/>
          <w:sz w:val="22"/>
          <w:szCs w:val="22"/>
        </w:rPr>
        <w:t xml:space="preserve">. </w:t>
      </w:r>
      <w:r w:rsidR="00D23940" w:rsidRPr="00FA0A57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Omezení postupu prací dle tohoto odstavce bude posuzováno ve vztahu k možnosti provádění díla dle předepsaných technologických postupů. </w:t>
      </w:r>
      <w:r w:rsidR="00EB57B9" w:rsidRPr="00FA0A57">
        <w:rPr>
          <w:rFonts w:ascii="Tahoma" w:hAnsi="Tahoma" w:cs="Tahoma"/>
          <w:sz w:val="22"/>
          <w:szCs w:val="22"/>
        </w:rPr>
        <w:t xml:space="preserve">Doba, na kterou se běh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</w:t>
      </w:r>
      <w:r w:rsidR="00EB57B9" w:rsidRPr="00EB57B9">
        <w:rPr>
          <w:rFonts w:ascii="Tahoma" w:hAnsi="Tahoma" w:cs="Tahoma"/>
          <w:sz w:val="22"/>
          <w:szCs w:val="22"/>
        </w:rPr>
        <w:t xml:space="preserve">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7C17C406" w14:textId="406F2D89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3A2DD76F" w14:textId="77777777" w:rsidR="002110CE" w:rsidRDefault="002110CE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23DDC1D4" w14:textId="31FC614F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33776870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F17E1E">
        <w:rPr>
          <w:rFonts w:ascii="Tahoma" w:hAnsi="Tahoma" w:cs="Tahoma"/>
          <w:sz w:val="22"/>
          <w:szCs w:val="22"/>
        </w:rPr>
        <w:t xml:space="preserve">    2 121 320,-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7D4D3771" w14:textId="1CDE2DFD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F17E1E">
        <w:rPr>
          <w:rFonts w:ascii="Tahoma" w:hAnsi="Tahoma" w:cs="Tahoma"/>
          <w:sz w:val="22"/>
          <w:szCs w:val="22"/>
        </w:rPr>
        <w:t xml:space="preserve">      445 477,20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1654F126" w14:textId="06EE67AF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17E1E">
        <w:rPr>
          <w:rFonts w:ascii="Tahoma" w:hAnsi="Tahoma" w:cs="Tahoma"/>
          <w:b/>
          <w:sz w:val="22"/>
          <w:szCs w:val="22"/>
        </w:rPr>
        <w:t>2 566 797,20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02A982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v projektové dokumentaci nebo soupisu prací. Cena za vícepráce bude stanovena </w:t>
      </w:r>
      <w:r w:rsidRPr="008C63A0">
        <w:rPr>
          <w:rFonts w:ascii="Tahoma" w:hAnsi="Tahoma" w:cs="Tahoma"/>
          <w:sz w:val="22"/>
          <w:szCs w:val="22"/>
        </w:rPr>
        <w:lastRenderedPageBreak/>
        <w:t>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2840E6C" w:rsidR="00CC1493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094CFC">
        <w:rPr>
          <w:rFonts w:ascii="Tahoma" w:hAnsi="Tahoma" w:cs="Tahoma"/>
          <w:snapToGrid w:val="0"/>
          <w:sz w:val="22"/>
          <w:szCs w:val="22"/>
        </w:rPr>
        <w:t>v níž je zpracována příslušná část výkazu výměr</w:t>
      </w:r>
      <w:r w:rsidR="00094CFC" w:rsidRPr="008C63A0">
        <w:rPr>
          <w:rFonts w:ascii="Tahoma" w:hAnsi="Tahoma" w:cs="Tahoma"/>
          <w:snapToGrid w:val="0"/>
          <w:sz w:val="22"/>
          <w:szCs w:val="22"/>
        </w:rPr>
        <w:t xml:space="preserve"> v její aktuální cenové úrovni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. </w:t>
      </w:r>
    </w:p>
    <w:p w14:paraId="39DD0027" w14:textId="76D897B1" w:rsid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F71FC70" w14:textId="77777777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>ZÁMĚNY POLOŽEK dle § 222 odst. 7 ZZVZ</w:t>
      </w:r>
    </w:p>
    <w:p w14:paraId="5A737E0F" w14:textId="10A6E66D" w:rsidR="00535787" w:rsidRPr="00535787" w:rsidRDefault="00535787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46381F48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36AB3A72" w:rsidR="004A2DDB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11EF1449" w:rsidR="004A2DDB" w:rsidRPr="00B04B16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předmět smlouvy, tj. text „zhotovení stavby - </w:t>
      </w:r>
      <w:r w:rsidR="00E46A13" w:rsidRPr="00E46A13">
        <w:rPr>
          <w:rFonts w:ascii="Tahoma" w:hAnsi="Tahoma" w:cs="Tahoma"/>
          <w:sz w:val="22"/>
          <w:szCs w:val="22"/>
        </w:rPr>
        <w:t>Rekonstrukce tepelného zdroje Domova Iris, příspěvková organizace</w:t>
      </w:r>
      <w:r w:rsidRPr="00B04B16">
        <w:rPr>
          <w:rFonts w:ascii="Tahoma" w:hAnsi="Tahoma" w:cs="Tahoma"/>
          <w:sz w:val="22"/>
          <w:szCs w:val="22"/>
        </w:rPr>
        <w:t>“,</w:t>
      </w:r>
    </w:p>
    <w:p w14:paraId="50892B53" w14:textId="77777777" w:rsidR="00D019D5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B04B16">
        <w:rPr>
          <w:rFonts w:ascii="Tahoma" w:hAnsi="Tahoma" w:cs="Tahoma"/>
          <w:sz w:val="22"/>
          <w:szCs w:val="22"/>
        </w:rPr>
        <w:t xml:space="preserve">zveřejněného </w:t>
      </w:r>
      <w:r w:rsidRPr="00B04B1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B04B16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597674F3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  <w:r w:rsidR="00B60C8E"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2A525D14" w14:textId="0A551155" w:rsidR="007B67B4" w:rsidRPr="0088498F" w:rsidRDefault="007B67B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>osoby vykonávající technický dozor stavebníka</w:t>
      </w:r>
      <w:r w:rsidRPr="0088498F">
        <w:rPr>
          <w:rFonts w:ascii="Tahoma" w:hAnsi="Tahoma" w:cs="Tahoma"/>
          <w:sz w:val="22"/>
          <w:szCs w:val="22"/>
        </w:rPr>
        <w:t xml:space="preserve">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58AE0EC" w14:textId="77777777" w:rsidR="00D019D5" w:rsidRPr="00B635CF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32DFB056" w:rsidR="004A2DDB" w:rsidRPr="00B04B16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lastRenderedPageBreak/>
        <w:t xml:space="preserve">Objednatel je oprávněn pozastavit financování v případě, že zhotovitel bezdůvodně přeruší </w:t>
      </w:r>
      <w:r w:rsidRPr="00B04B16">
        <w:rPr>
          <w:rFonts w:ascii="Tahoma" w:hAnsi="Tahoma" w:cs="Tahoma"/>
          <w:sz w:val="22"/>
          <w:szCs w:val="22"/>
        </w:rPr>
        <w:t xml:space="preserve">práce nebo práce bude provádět v rozporu s projektovou dokumentací, </w:t>
      </w:r>
      <w:r w:rsidR="00AE05FA" w:rsidRPr="00B04B16">
        <w:rPr>
          <w:rFonts w:ascii="Tahoma" w:hAnsi="Tahoma" w:cs="Tahoma"/>
          <w:sz w:val="22"/>
          <w:szCs w:val="22"/>
        </w:rPr>
        <w:t xml:space="preserve">touto </w:t>
      </w:r>
      <w:r w:rsidRPr="00B04B16">
        <w:rPr>
          <w:rFonts w:ascii="Tahoma" w:hAnsi="Tahoma" w:cs="Tahoma"/>
          <w:sz w:val="22"/>
          <w:szCs w:val="22"/>
        </w:rPr>
        <w:t>smlouvou nebo pokyny objednatele.</w:t>
      </w:r>
    </w:p>
    <w:p w14:paraId="4A7CB493" w14:textId="00E87F75" w:rsidR="004C4741" w:rsidRPr="00B04B16" w:rsidRDefault="004C4741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Style w:val="normaltextrun"/>
          <w:rFonts w:ascii="Tahoma" w:hAnsi="Tahoma" w:cs="Tahoma"/>
          <w:sz w:val="22"/>
          <w:szCs w:val="22"/>
        </w:rPr>
        <w:t>Objednatel, příjemce plnění, prohlašuje, že plnění, které je předmětem smlouvy, nepoužije pro svou ekonomickou činnost, ale výlučně pro účely související s jeho činností při výkonu veřejné správy, při níž se nepovažuje za osobu povinnou k dani (viz § 5 odst. 3 zákona o DPH). Z uvedeného důvodu se na toto plnění nevztahuje režim přenesení daňové povinnosti dle § 92e uvedeného zákona a zhotovitelem bude vystavena faktura za zdanitelné plnění včetně daně z přidané hodnoty.</w:t>
      </w:r>
    </w:p>
    <w:p w14:paraId="7B2001F6" w14:textId="77777777" w:rsidR="00546CB5" w:rsidRPr="00B04B16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4514EA7B" w14:textId="77777777" w:rsidR="002110CE" w:rsidRDefault="002110CE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07009FF9" w14:textId="0BAE9EF6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</w:t>
      </w:r>
      <w:r w:rsidRPr="00B04B16">
        <w:rPr>
          <w:rFonts w:ascii="Tahoma" w:hAnsi="Tahoma" w:cs="Tahoma"/>
          <w:bCs/>
          <w:sz w:val="22"/>
          <w:szCs w:val="22"/>
        </w:rPr>
        <w:t>hospodárnost, ochranu životního prostředí, požární bezpečnost, hygienické požadavky. Ty budou odpovídat platné právní úpravě, českým technickým normám, projektové dokumentaci, stavebnímu povolení, zadání veřejné zakázky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 xml:space="preserve">konstrukce vyhovující požadavkům kladeným </w:t>
      </w:r>
      <w:r w:rsidRPr="004F5D2D">
        <w:rPr>
          <w:rFonts w:ascii="Tahoma" w:hAnsi="Tahoma" w:cs="Tahoma"/>
          <w:bCs/>
          <w:sz w:val="22"/>
          <w:szCs w:val="22"/>
        </w:rPr>
        <w:t>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5D4D9482" w14:textId="77777777" w:rsidR="002110CE" w:rsidRDefault="002110CE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33A436C5" w14:textId="4E74437B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1BE9E527" w:rsidR="00D87FF3" w:rsidRPr="00E46A13" w:rsidRDefault="004A2DD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46A13">
        <w:rPr>
          <w:rFonts w:ascii="Tahoma" w:hAnsi="Tahoma" w:cs="Tahoma"/>
          <w:sz w:val="22"/>
          <w:szCs w:val="22"/>
        </w:rPr>
        <w:t>a </w:t>
      </w:r>
      <w:r w:rsidRPr="00E46A13">
        <w:rPr>
          <w:rFonts w:ascii="Tahoma" w:hAnsi="Tahoma" w:cs="Tahoma"/>
          <w:sz w:val="22"/>
          <w:szCs w:val="22"/>
        </w:rPr>
        <w:t>zhotovitel</w:t>
      </w:r>
      <w:r w:rsidR="001853A9" w:rsidRPr="00E46A13">
        <w:rPr>
          <w:rFonts w:ascii="Tahoma" w:hAnsi="Tahoma" w:cs="Tahoma"/>
          <w:sz w:val="22"/>
          <w:szCs w:val="22"/>
        </w:rPr>
        <w:t xml:space="preserve"> převezme</w:t>
      </w:r>
      <w:r w:rsidR="0051293B" w:rsidRPr="00E46A13">
        <w:rPr>
          <w:rFonts w:ascii="Tahoma" w:hAnsi="Tahoma" w:cs="Tahoma"/>
          <w:sz w:val="22"/>
          <w:szCs w:val="22"/>
        </w:rPr>
        <w:t xml:space="preserve"> staveniště nejpozději do </w:t>
      </w:r>
      <w:r w:rsidR="00B04B16" w:rsidRPr="00E46A13">
        <w:rPr>
          <w:rFonts w:ascii="Tahoma" w:hAnsi="Tahoma" w:cs="Tahoma"/>
          <w:sz w:val="22"/>
          <w:szCs w:val="22"/>
        </w:rPr>
        <w:t>5</w:t>
      </w:r>
      <w:r w:rsidR="00F73FEB" w:rsidRPr="00E46A13">
        <w:rPr>
          <w:rFonts w:ascii="Tahoma" w:hAnsi="Tahoma" w:cs="Tahoma"/>
          <w:sz w:val="22"/>
          <w:szCs w:val="22"/>
        </w:rPr>
        <w:t xml:space="preserve"> </w:t>
      </w:r>
      <w:r w:rsidRPr="00E46A13">
        <w:rPr>
          <w:rFonts w:ascii="Tahoma" w:hAnsi="Tahoma" w:cs="Tahoma"/>
          <w:sz w:val="22"/>
          <w:szCs w:val="22"/>
        </w:rPr>
        <w:t>kalendářních dnů o</w:t>
      </w:r>
      <w:r w:rsidR="00A26434" w:rsidRPr="00E46A13">
        <w:rPr>
          <w:rFonts w:ascii="Tahoma" w:hAnsi="Tahoma" w:cs="Tahoma"/>
          <w:sz w:val="22"/>
          <w:szCs w:val="22"/>
        </w:rPr>
        <w:t>d</w:t>
      </w:r>
      <w:r w:rsidR="0051293B" w:rsidRPr="00E46A13">
        <w:rPr>
          <w:rFonts w:ascii="Tahoma" w:hAnsi="Tahoma" w:cs="Tahoma"/>
          <w:sz w:val="22"/>
          <w:szCs w:val="22"/>
        </w:rPr>
        <w:t> </w:t>
      </w:r>
      <w:r w:rsidR="000158FF" w:rsidRPr="00E46A13">
        <w:rPr>
          <w:rFonts w:ascii="Tahoma" w:hAnsi="Tahoma" w:cs="Tahoma"/>
          <w:sz w:val="22"/>
          <w:szCs w:val="22"/>
        </w:rPr>
        <w:t xml:space="preserve">výzvy zaslané zhotoviteli, přičemž se předpokládá </w:t>
      </w:r>
      <w:r w:rsidR="00FF4AD3" w:rsidRPr="00E46A13">
        <w:rPr>
          <w:rFonts w:ascii="Tahoma" w:hAnsi="Tahoma" w:cs="Tahoma"/>
          <w:sz w:val="22"/>
          <w:szCs w:val="22"/>
        </w:rPr>
        <w:t xml:space="preserve">jeho </w:t>
      </w:r>
      <w:r w:rsidR="000158FF" w:rsidRPr="00E46A13">
        <w:rPr>
          <w:rFonts w:ascii="Tahoma" w:hAnsi="Tahoma" w:cs="Tahoma"/>
          <w:sz w:val="22"/>
          <w:szCs w:val="22"/>
        </w:rPr>
        <w:t>předání v</w:t>
      </w:r>
      <w:r w:rsidR="00E70874" w:rsidRPr="00E46A13">
        <w:rPr>
          <w:rFonts w:ascii="Tahoma" w:hAnsi="Tahoma" w:cs="Tahoma"/>
          <w:sz w:val="22"/>
          <w:szCs w:val="22"/>
        </w:rPr>
        <w:t> květnu/</w:t>
      </w:r>
      <w:r w:rsidR="007F4939" w:rsidRPr="00E46A13">
        <w:rPr>
          <w:rFonts w:ascii="Tahoma" w:hAnsi="Tahoma" w:cs="Tahoma"/>
          <w:sz w:val="22"/>
          <w:szCs w:val="22"/>
        </w:rPr>
        <w:t>červnu</w:t>
      </w:r>
      <w:r w:rsidR="00FF4AD3" w:rsidRPr="00E46A13">
        <w:rPr>
          <w:rFonts w:ascii="Tahoma" w:hAnsi="Tahoma" w:cs="Tahoma"/>
          <w:sz w:val="22"/>
          <w:szCs w:val="22"/>
        </w:rPr>
        <w:t xml:space="preserve"> </w:t>
      </w:r>
      <w:r w:rsidR="000158FF" w:rsidRPr="00E46A13">
        <w:rPr>
          <w:rFonts w:ascii="Tahoma" w:hAnsi="Tahoma" w:cs="Tahoma"/>
          <w:sz w:val="22"/>
          <w:szCs w:val="22"/>
        </w:rPr>
        <w:t>2023</w:t>
      </w:r>
      <w:r w:rsidR="0051293B" w:rsidRPr="00E46A13">
        <w:rPr>
          <w:rFonts w:ascii="Tahoma" w:hAnsi="Tahoma" w:cs="Tahoma"/>
          <w:sz w:val="22"/>
          <w:szCs w:val="22"/>
        </w:rPr>
        <w:t>, nedohodnou</w:t>
      </w:r>
      <w:r w:rsidR="0051293B" w:rsidRPr="00E46A13">
        <w:rPr>
          <w:rFonts w:ascii="Tahoma" w:hAnsi="Tahoma" w:cs="Tahoma"/>
          <w:sz w:val="22"/>
          <w:szCs w:val="22"/>
        </w:rPr>
        <w:noBreakHyphen/>
      </w:r>
      <w:r w:rsidR="00A44050" w:rsidRPr="00E46A13">
        <w:rPr>
          <w:rFonts w:ascii="Tahoma" w:hAnsi="Tahoma" w:cs="Tahoma"/>
          <w:sz w:val="22"/>
          <w:szCs w:val="22"/>
        </w:rPr>
        <w:t xml:space="preserve">li se </w:t>
      </w:r>
      <w:r w:rsidR="00C5674D" w:rsidRPr="00E46A13">
        <w:rPr>
          <w:rFonts w:ascii="Tahoma" w:hAnsi="Tahoma" w:cs="Tahoma"/>
          <w:sz w:val="22"/>
          <w:szCs w:val="22"/>
        </w:rPr>
        <w:t xml:space="preserve">smluvní </w:t>
      </w:r>
      <w:r w:rsidR="00A44050" w:rsidRPr="00E46A13">
        <w:rPr>
          <w:rFonts w:ascii="Tahoma" w:hAnsi="Tahoma" w:cs="Tahoma"/>
          <w:sz w:val="22"/>
          <w:szCs w:val="22"/>
        </w:rPr>
        <w:t>strany</w:t>
      </w:r>
      <w:r w:rsidR="002413EF" w:rsidRPr="00E46A13">
        <w:rPr>
          <w:rFonts w:ascii="Tahoma" w:hAnsi="Tahoma" w:cs="Tahoma"/>
          <w:sz w:val="22"/>
          <w:szCs w:val="22"/>
        </w:rPr>
        <w:t>, zejména s ohledem na klimatické podmínky</w:t>
      </w:r>
      <w:r w:rsidR="00FF4AD3" w:rsidRPr="00E46A13">
        <w:rPr>
          <w:rFonts w:ascii="Tahoma" w:hAnsi="Tahoma" w:cs="Tahoma"/>
          <w:sz w:val="22"/>
          <w:szCs w:val="22"/>
        </w:rPr>
        <w:t xml:space="preserve"> a provozní podmínky objednatele</w:t>
      </w:r>
      <w:r w:rsidR="002413EF" w:rsidRPr="00E46A13">
        <w:rPr>
          <w:rFonts w:ascii="Tahoma" w:hAnsi="Tahoma" w:cs="Tahoma"/>
          <w:sz w:val="22"/>
          <w:szCs w:val="22"/>
        </w:rPr>
        <w:t>,</w:t>
      </w:r>
      <w:r w:rsidR="00A44050" w:rsidRPr="00E46A13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46A13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E11701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>Dohoda o změně termínu předání</w:t>
      </w:r>
      <w:r w:rsidR="00D87FF3" w:rsidRPr="00E46A13">
        <w:rPr>
          <w:rFonts w:ascii="Tahoma" w:hAnsi="Tahoma" w:cs="Tahoma"/>
          <w:sz w:val="22"/>
          <w:szCs w:val="22"/>
        </w:rPr>
        <w:t xml:space="preserve"> a převzetí</w:t>
      </w:r>
      <w:r w:rsidRPr="00E46A13">
        <w:rPr>
          <w:rFonts w:ascii="Tahoma" w:hAnsi="Tahoma" w:cs="Tahoma"/>
          <w:sz w:val="22"/>
          <w:szCs w:val="22"/>
        </w:rPr>
        <w:t xml:space="preserve"> staveniště bude učiněna formou zápisu ve stavebním deníku nebo zápisu ze společného jednání smluvních stran v rámci přípravy</w:t>
      </w:r>
      <w:r w:rsidRPr="00BF22B0">
        <w:rPr>
          <w:rFonts w:ascii="Tahoma" w:hAnsi="Tahoma" w:cs="Tahoma"/>
          <w:sz w:val="22"/>
          <w:szCs w:val="22"/>
        </w:rPr>
        <w:t xml:space="preserve"> realizace stavby</w:t>
      </w:r>
      <w:r w:rsidRPr="002A1A93">
        <w:rPr>
          <w:rFonts w:ascii="Tahoma" w:hAnsi="Tahoma" w:cs="Tahoma"/>
          <w:sz w:val="22"/>
          <w:szCs w:val="22"/>
        </w:rPr>
        <w:t>,</w:t>
      </w:r>
      <w:r w:rsidRPr="002A1A93">
        <w:rPr>
          <w:rFonts w:ascii="Tahoma" w:hAnsi="Tahoma" w:cs="Tahoma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023D5064" w:rsidR="004A2DDB" w:rsidRPr="000158FF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>O </w:t>
      </w:r>
      <w:r w:rsidR="004A2DDB" w:rsidRPr="000158FF">
        <w:rPr>
          <w:rFonts w:ascii="Tahoma" w:hAnsi="Tahoma" w:cs="Tahoma"/>
          <w:sz w:val="22"/>
          <w:szCs w:val="22"/>
        </w:rPr>
        <w:t>předání a převzetí</w:t>
      </w:r>
      <w:r w:rsidR="00E11701" w:rsidRPr="000158FF">
        <w:rPr>
          <w:rFonts w:ascii="Tahoma" w:hAnsi="Tahoma" w:cs="Tahoma"/>
          <w:sz w:val="22"/>
          <w:szCs w:val="22"/>
        </w:rPr>
        <w:t xml:space="preserve"> staveniště</w:t>
      </w:r>
      <w:r w:rsidR="004A2DDB" w:rsidRPr="000158FF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0158FF">
        <w:rPr>
          <w:rFonts w:ascii="Tahoma" w:hAnsi="Tahoma" w:cs="Tahoma"/>
          <w:sz w:val="22"/>
          <w:szCs w:val="22"/>
        </w:rPr>
        <w:t xml:space="preserve"> </w:t>
      </w:r>
      <w:r w:rsidR="004A2DDB" w:rsidRPr="000158FF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0158FF">
        <w:rPr>
          <w:rFonts w:ascii="Tahoma" w:hAnsi="Tahoma" w:cs="Tahoma"/>
          <w:sz w:val="22"/>
          <w:szCs w:val="22"/>
        </w:rPr>
        <w:t xml:space="preserve">vyhotovení </w:t>
      </w:r>
      <w:r w:rsidR="004A2DDB" w:rsidRPr="000158FF">
        <w:rPr>
          <w:rFonts w:ascii="Tahoma" w:hAnsi="Tahoma" w:cs="Tahoma"/>
          <w:sz w:val="22"/>
          <w:szCs w:val="22"/>
        </w:rPr>
        <w:t>projektové dokumentace stavby.</w:t>
      </w:r>
    </w:p>
    <w:p w14:paraId="1D2B31D3" w14:textId="77777777" w:rsidR="004A2DDB" w:rsidRPr="000158FF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0158FF">
        <w:rPr>
          <w:rFonts w:ascii="Tahoma" w:hAnsi="Tahoma" w:cs="Tahoma"/>
          <w:sz w:val="22"/>
          <w:szCs w:val="22"/>
        </w:rPr>
        <w:t>náklady a </w:t>
      </w:r>
      <w:r w:rsidRPr="000158FF">
        <w:rPr>
          <w:rFonts w:ascii="Tahoma" w:hAnsi="Tahoma" w:cs="Tahoma"/>
          <w:sz w:val="22"/>
          <w:szCs w:val="22"/>
        </w:rPr>
        <w:t>vlastním jménem.</w:t>
      </w:r>
      <w:r w:rsidR="00F73FEB" w:rsidRPr="000158FF">
        <w:rPr>
          <w:rFonts w:ascii="Tahoma" w:hAnsi="Tahoma" w:cs="Tahoma"/>
          <w:sz w:val="22"/>
          <w:szCs w:val="22"/>
        </w:rPr>
        <w:t xml:space="preserve"> </w:t>
      </w:r>
      <w:r w:rsidRPr="000158FF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>Vodné, stočné, elektrickou energii a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další média odebraná při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 xml:space="preserve">provádění díla hradí </w:t>
      </w:r>
      <w:r w:rsidRPr="004F5D2D">
        <w:rPr>
          <w:rFonts w:ascii="Tahoma" w:hAnsi="Tahoma" w:cs="Tahoma"/>
          <w:sz w:val="22"/>
          <w:szCs w:val="22"/>
        </w:rPr>
        <w:t>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14:paraId="59BB6544" w14:textId="77777777" w:rsidR="004A2DDB" w:rsidRPr="000158FF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Pr="000158FF">
        <w:rPr>
          <w:rFonts w:ascii="Tahoma" w:hAnsi="Tahoma" w:cs="Tahoma"/>
          <w:sz w:val="22"/>
          <w:szCs w:val="22"/>
        </w:rPr>
        <w:t>staveniště do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FC596E" w:rsidRPr="000158FF">
        <w:rPr>
          <w:rFonts w:ascii="Tahoma" w:hAnsi="Tahoma" w:cs="Tahoma"/>
          <w:sz w:val="22"/>
          <w:szCs w:val="22"/>
        </w:rPr>
        <w:t>14</w:t>
      </w:r>
      <w:r w:rsidRPr="000158FF">
        <w:rPr>
          <w:rFonts w:ascii="Tahoma" w:hAnsi="Tahoma" w:cs="Tahoma"/>
          <w:sz w:val="22"/>
          <w:szCs w:val="22"/>
        </w:rPr>
        <w:t xml:space="preserve"> dnů od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1F6E09" w:rsidRPr="000158FF">
        <w:rPr>
          <w:rFonts w:ascii="Tahoma" w:hAnsi="Tahoma" w:cs="Tahoma"/>
          <w:sz w:val="22"/>
          <w:szCs w:val="22"/>
        </w:rPr>
        <w:t>provedení</w:t>
      </w:r>
      <w:r w:rsidR="00F73FEB" w:rsidRPr="000158FF">
        <w:rPr>
          <w:rFonts w:ascii="Tahoma" w:hAnsi="Tahoma" w:cs="Tahoma"/>
          <w:sz w:val="22"/>
          <w:szCs w:val="22"/>
        </w:rPr>
        <w:t xml:space="preserve"> díla</w:t>
      </w:r>
      <w:r w:rsidRPr="000158FF">
        <w:rPr>
          <w:rFonts w:ascii="Tahoma" w:hAnsi="Tahoma" w:cs="Tahoma"/>
          <w:sz w:val="22"/>
          <w:szCs w:val="22"/>
        </w:rPr>
        <w:t>. Při</w:t>
      </w:r>
      <w:r w:rsidR="00A26434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škody</w:t>
      </w:r>
      <w:r w:rsidR="0051293B" w:rsidRPr="000158FF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3717ED28" w14:textId="77777777" w:rsidR="002110CE" w:rsidRDefault="002110CE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12C94B65" w14:textId="04471C5E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58CEA7F1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4621B1B1" w:rsidR="001727EA" w:rsidRPr="00557806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4D35D7">
        <w:rPr>
          <w:rFonts w:ascii="Tahoma" w:hAnsi="Tahoma" w:cs="Tahoma"/>
          <w:sz w:val="22"/>
          <w:szCs w:val="22"/>
        </w:rPr>
        <w:t>skutečnostech majících vliv na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plnění </w:t>
      </w:r>
      <w:r w:rsidR="00A26434" w:rsidRPr="004D35D7">
        <w:rPr>
          <w:rFonts w:ascii="Tahoma" w:hAnsi="Tahoma" w:cs="Tahoma"/>
          <w:sz w:val="22"/>
          <w:szCs w:val="22"/>
        </w:rPr>
        <w:t xml:space="preserve">této </w:t>
      </w:r>
      <w:r w:rsidRPr="004D35D7">
        <w:rPr>
          <w:rFonts w:ascii="Tahoma" w:hAnsi="Tahoma" w:cs="Tahoma"/>
          <w:sz w:val="22"/>
          <w:szCs w:val="22"/>
        </w:rPr>
        <w:t>smlouvy, 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to neprodleně, nejpozději následující </w:t>
      </w:r>
      <w:r w:rsidRPr="00557806">
        <w:rPr>
          <w:rFonts w:ascii="Tahoma" w:hAnsi="Tahoma" w:cs="Tahoma"/>
          <w:sz w:val="22"/>
          <w:szCs w:val="22"/>
        </w:rPr>
        <w:t>pracovní den poté, kdy příslušná skutečnost nastane nebo zhotovitel zjistí, že by nastat mohla. Informace dle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557806">
        <w:rPr>
          <w:rFonts w:ascii="Tahoma" w:hAnsi="Tahoma" w:cs="Tahoma"/>
          <w:sz w:val="22"/>
          <w:szCs w:val="22"/>
        </w:rPr>
        <w:t xml:space="preserve">objednateli </w:t>
      </w:r>
      <w:r w:rsidRPr="00557806">
        <w:rPr>
          <w:rFonts w:ascii="Tahoma" w:hAnsi="Tahoma" w:cs="Tahoma"/>
          <w:sz w:val="22"/>
          <w:szCs w:val="22"/>
        </w:rPr>
        <w:t>zaslány elektronickou poštou na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adresu: </w:t>
      </w:r>
      <w:hyperlink r:id="rId11" w:history="1">
        <w:r w:rsidR="007E7708">
          <w:rPr>
            <w:rStyle w:val="Hypertextovodkaz"/>
            <w:rFonts w:ascii="Tahoma" w:hAnsi="Tahoma" w:cs="Tahoma"/>
            <w:sz w:val="22"/>
            <w:szCs w:val="22"/>
          </w:rPr>
          <w:t>xxxxxxxxx</w:t>
        </w:r>
      </w:hyperlink>
      <w:r w:rsidR="00557806" w:rsidRPr="00557806">
        <w:rPr>
          <w:rFonts w:ascii="Tahoma" w:hAnsi="Tahoma" w:cs="Tahoma"/>
          <w:sz w:val="22"/>
          <w:szCs w:val="22"/>
        </w:rPr>
        <w:t xml:space="preserve"> </w:t>
      </w:r>
      <w:r w:rsidR="004D35D7" w:rsidRPr="00557806">
        <w:rPr>
          <w:rFonts w:ascii="Tahoma" w:hAnsi="Tahoma" w:cs="Tahoma"/>
          <w:sz w:val="22"/>
          <w:szCs w:val="22"/>
        </w:rPr>
        <w:t xml:space="preserve">. </w:t>
      </w:r>
      <w:r w:rsidRPr="00557806">
        <w:rPr>
          <w:rFonts w:ascii="Tahoma" w:hAnsi="Tahoma" w:cs="Tahoma"/>
          <w:sz w:val="22"/>
          <w:szCs w:val="22"/>
        </w:rPr>
        <w:t>Zhotovitel je povinen i</w:t>
      </w:r>
      <w:r w:rsidR="008563D6" w:rsidRPr="00557806">
        <w:rPr>
          <w:rFonts w:ascii="Tahoma" w:hAnsi="Tahoma" w:cs="Tahoma"/>
          <w:sz w:val="22"/>
          <w:szCs w:val="22"/>
        </w:rPr>
        <w:t>nformovat objednatele</w:t>
      </w:r>
      <w:r w:rsidR="00672EAB" w:rsidRPr="00557806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557806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557806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57806">
        <w:rPr>
          <w:rFonts w:ascii="Tahoma" w:hAnsi="Tahoma" w:cs="Tahoma"/>
          <w:sz w:val="22"/>
          <w:szCs w:val="22"/>
        </w:rPr>
        <w:t>zjistí</w:t>
      </w:r>
      <w:r w:rsidRPr="00557806">
        <w:rPr>
          <w:rFonts w:ascii="Tahoma" w:hAnsi="Tahoma" w:cs="Tahoma"/>
          <w:sz w:val="22"/>
          <w:szCs w:val="22"/>
        </w:rPr>
        <w:noBreakHyphen/>
      </w:r>
      <w:r w:rsidR="004A2DDB" w:rsidRPr="00557806">
        <w:rPr>
          <w:rFonts w:ascii="Tahoma" w:hAnsi="Tahoma" w:cs="Tahoma"/>
          <w:sz w:val="22"/>
          <w:szCs w:val="22"/>
        </w:rPr>
        <w:t>li při</w:t>
      </w:r>
      <w:r w:rsidRPr="00557806">
        <w:rPr>
          <w:rFonts w:ascii="Tahoma" w:hAnsi="Tahoma" w:cs="Tahoma"/>
          <w:sz w:val="22"/>
          <w:szCs w:val="22"/>
        </w:rPr>
        <w:t> </w:t>
      </w:r>
      <w:r w:rsidR="004A2DDB" w:rsidRPr="00557806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4D35D7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 xml:space="preserve">nejpozději před zahájením prací na příslušné části díla a upozornit objednatele </w:t>
      </w:r>
      <w:r w:rsidRPr="004D35D7">
        <w:rPr>
          <w:rFonts w:ascii="Tahoma" w:hAnsi="Tahoma" w:cs="Tahoma"/>
          <w:sz w:val="22"/>
          <w:szCs w:val="22"/>
        </w:rPr>
        <w:t>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35D7">
        <w:rPr>
          <w:rFonts w:ascii="Tahoma" w:hAnsi="Tahoma" w:cs="Tahoma"/>
          <w:sz w:val="22"/>
          <w:szCs w:val="22"/>
        </w:rPr>
        <w:t xml:space="preserve">Zhotovitel zajistí stavbu tak, aby nedošlo k ohrožování, nadměrnému nebo zbytečnému </w:t>
      </w:r>
      <w:r w:rsidRPr="004F5D2D">
        <w:rPr>
          <w:rFonts w:ascii="Tahoma" w:hAnsi="Tahoma" w:cs="Tahoma"/>
          <w:sz w:val="22"/>
          <w:szCs w:val="22"/>
        </w:rPr>
        <w:t>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F3026F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 xml:space="preserve">způsobené škody </w:t>
      </w:r>
      <w:r w:rsidRPr="00F3026F">
        <w:rPr>
          <w:rFonts w:ascii="Tahoma" w:hAnsi="Tahoma" w:cs="Tahoma"/>
          <w:sz w:val="22"/>
          <w:szCs w:val="22"/>
        </w:rPr>
        <w:t>a</w:t>
      </w:r>
      <w:r w:rsidR="003460A4" w:rsidRPr="00F3026F">
        <w:rPr>
          <w:rFonts w:ascii="Tahoma" w:hAnsi="Tahoma" w:cs="Tahoma"/>
          <w:sz w:val="22"/>
          <w:szCs w:val="22"/>
        </w:rPr>
        <w:t> </w:t>
      </w:r>
      <w:r w:rsidRPr="00F3026F">
        <w:rPr>
          <w:rFonts w:ascii="Tahoma" w:hAnsi="Tahoma" w:cs="Tahoma"/>
          <w:sz w:val="22"/>
          <w:szCs w:val="22"/>
        </w:rPr>
        <w:t>tyto škody uhradí.</w:t>
      </w:r>
    </w:p>
    <w:p w14:paraId="0827E6D2" w14:textId="01B64BCB" w:rsidR="003C67A8" w:rsidRPr="00F3026F" w:rsidRDefault="00E7364A" w:rsidP="003C67A8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Bourací práce a všechny práce způsobující hluk nebo prach budou realizovány pouze po předchozím oznámení objednateli a následném povolení objednatelem</w:t>
      </w:r>
      <w:r w:rsidR="003C67A8" w:rsidRPr="00F3026F">
        <w:rPr>
          <w:rFonts w:ascii="Tahoma" w:hAnsi="Tahoma" w:cs="Tahoma"/>
          <w:sz w:val="22"/>
          <w:szCs w:val="22"/>
        </w:rPr>
        <w:t>.</w:t>
      </w:r>
    </w:p>
    <w:p w14:paraId="0A048241" w14:textId="45DF9EFE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Zhotovitel je povinen umožnit výkon technického dozoru stavebníka, autorského dozoru</w:t>
      </w:r>
      <w:r w:rsidRPr="000873A3">
        <w:rPr>
          <w:rFonts w:ascii="Tahoma" w:hAnsi="Tahoma" w:cs="Tahoma"/>
          <w:sz w:val="22"/>
          <w:szCs w:val="22"/>
        </w:rPr>
        <w:t xml:space="preserve">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77777777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6EFC3E6D" w:rsidR="009A7419" w:rsidRPr="00724045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 xml:space="preserve">Přejímací řízení bude </w:t>
      </w:r>
      <w:r w:rsidRPr="00724045">
        <w:rPr>
          <w:rFonts w:ascii="Tahoma" w:hAnsi="Tahoma" w:cs="Tahoma"/>
          <w:sz w:val="22"/>
          <w:szCs w:val="22"/>
        </w:rPr>
        <w:t>objednatelem zahájeno do 5 pracovních dnů po obdržení písemné výzvy zhotovitele k převzetí dokončeného díla. Písemná výzva bude zaslána zhotovitelem také osobě vykonávající technický dozor stavebníka a autorskému dozoru projektanta.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724045">
        <w:rPr>
          <w:rFonts w:ascii="Tahoma" w:hAnsi="Tahoma" w:cs="Tahoma"/>
          <w:sz w:val="22"/>
          <w:szCs w:val="22"/>
        </w:rPr>
        <w:t xml:space="preserve">dokončené </w:t>
      </w:r>
      <w:r w:rsidRPr="0072404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724045">
        <w:rPr>
          <w:rFonts w:ascii="Tahoma" w:hAnsi="Tahoma" w:cs="Tahoma"/>
          <w:sz w:val="22"/>
          <w:szCs w:val="22"/>
        </w:rPr>
        <w:t>do </w:t>
      </w:r>
      <w:r w:rsidR="009B2259" w:rsidRPr="00724045">
        <w:rPr>
          <w:rFonts w:ascii="Tahoma" w:hAnsi="Tahoma" w:cs="Tahoma"/>
          <w:sz w:val="22"/>
          <w:szCs w:val="22"/>
        </w:rPr>
        <w:t xml:space="preserve">10 </w:t>
      </w:r>
      <w:r w:rsidR="00CF5F93" w:rsidRPr="00724045">
        <w:rPr>
          <w:rFonts w:ascii="Tahoma" w:hAnsi="Tahoma" w:cs="Tahoma"/>
          <w:sz w:val="22"/>
          <w:szCs w:val="22"/>
        </w:rPr>
        <w:t xml:space="preserve">pracovních </w:t>
      </w:r>
      <w:r w:rsidR="009B2259" w:rsidRPr="00724045">
        <w:rPr>
          <w:rFonts w:ascii="Tahoma" w:hAnsi="Tahoma" w:cs="Tahoma"/>
          <w:sz w:val="22"/>
          <w:szCs w:val="22"/>
        </w:rPr>
        <w:t>dnů od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="00543264" w:rsidRPr="00724045">
        <w:rPr>
          <w:rFonts w:ascii="Tahoma" w:hAnsi="Tahoma" w:cs="Tahoma"/>
          <w:sz w:val="22"/>
          <w:szCs w:val="22"/>
        </w:rPr>
        <w:t>doručení výzvy zhotovitele</w:t>
      </w:r>
      <w:r w:rsidR="00CF5F93" w:rsidRPr="00724045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724045">
        <w:rPr>
          <w:rFonts w:ascii="Tahoma" w:hAnsi="Tahoma" w:cs="Tahoma"/>
          <w:sz w:val="22"/>
          <w:szCs w:val="22"/>
        </w:rPr>
        <w:t>.</w:t>
      </w:r>
      <w:r w:rsidR="00543264" w:rsidRPr="00724045">
        <w:rPr>
          <w:rFonts w:ascii="Tahoma" w:hAnsi="Tahoma" w:cs="Tahoma"/>
          <w:sz w:val="22"/>
          <w:szCs w:val="22"/>
        </w:rPr>
        <w:t xml:space="preserve"> </w:t>
      </w:r>
      <w:r w:rsidR="00CF5F93" w:rsidRPr="00724045">
        <w:rPr>
          <w:rFonts w:ascii="Tahoma" w:hAnsi="Tahoma" w:cs="Tahoma"/>
          <w:sz w:val="22"/>
          <w:szCs w:val="22"/>
        </w:rPr>
        <w:t xml:space="preserve">Doba od zahájení přejímacího řízení do převzetí </w:t>
      </w:r>
      <w:r w:rsidR="00CF5F93" w:rsidRPr="40A21B9B">
        <w:rPr>
          <w:rFonts w:ascii="Tahoma" w:hAnsi="Tahoma" w:cs="Tahoma"/>
          <w:sz w:val="22"/>
          <w:szCs w:val="22"/>
        </w:rPr>
        <w:t>díla (případně nepřevzetí z důvodu vad nebo nedodělků bránících jeho řádnému užívání) se nepočítá do doby plnění dle čl. IV 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</w:t>
      </w:r>
      <w:r w:rsidR="00017CD9" w:rsidRPr="00724045">
        <w:rPr>
          <w:rFonts w:ascii="Tahoma" w:hAnsi="Tahoma" w:cs="Tahoma"/>
          <w:sz w:val="22"/>
          <w:szCs w:val="22"/>
        </w:rPr>
        <w:t>datum uzavření smlouvy o </w:t>
      </w:r>
      <w:r w:rsidRPr="00724045">
        <w:rPr>
          <w:rFonts w:ascii="Tahoma" w:hAnsi="Tahoma" w:cs="Tahoma"/>
          <w:sz w:val="22"/>
          <w:szCs w:val="22"/>
        </w:rPr>
        <w:t>dílo včetně čísel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724045">
        <w:rPr>
          <w:rFonts w:ascii="Tahoma" w:hAnsi="Tahoma" w:cs="Tahoma"/>
          <w:snapToGrid/>
          <w:sz w:val="22"/>
          <w:szCs w:val="22"/>
        </w:rPr>
        <w:lastRenderedPageBreak/>
        <w:t>datum vydání a</w:t>
      </w:r>
      <w:r w:rsidR="00017CD9" w:rsidRPr="00724045">
        <w:rPr>
          <w:rFonts w:ascii="Tahoma" w:hAnsi="Tahoma" w:cs="Tahoma"/>
          <w:snapToGrid/>
          <w:sz w:val="22"/>
          <w:szCs w:val="22"/>
        </w:rPr>
        <w:t> </w:t>
      </w:r>
      <w:r w:rsidRPr="00724045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5DF3BCB4" w:rsidR="004A2DDB" w:rsidRPr="00724045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datum</w:t>
      </w:r>
      <w:r w:rsidR="004A2DDB" w:rsidRPr="00724045">
        <w:rPr>
          <w:rFonts w:ascii="Tahoma" w:hAnsi="Tahoma" w:cs="Tahoma"/>
          <w:sz w:val="22"/>
          <w:szCs w:val="22"/>
        </w:rPr>
        <w:t xml:space="preserve"> vyklizení staveniště,</w:t>
      </w:r>
    </w:p>
    <w:p w14:paraId="0D14F885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724045">
        <w:rPr>
          <w:rFonts w:ascii="Tahoma" w:hAnsi="Tahoma" w:cs="Tahoma"/>
          <w:sz w:val="22"/>
          <w:szCs w:val="22"/>
        </w:rPr>
        <w:t>za </w:t>
      </w:r>
      <w:r w:rsidR="00D627E7" w:rsidRPr="00724045">
        <w:rPr>
          <w:rFonts w:ascii="Tahoma" w:hAnsi="Tahoma" w:cs="Tahoma"/>
          <w:sz w:val="22"/>
          <w:szCs w:val="22"/>
        </w:rPr>
        <w:t xml:space="preserve">jakost </w:t>
      </w:r>
      <w:r w:rsidRPr="00724045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soupis nákladů </w:t>
      </w:r>
      <w:r>
        <w:rPr>
          <w:rFonts w:ascii="Tahoma" w:hAnsi="Tahoma" w:cs="Tahoma"/>
          <w:sz w:val="22"/>
          <w:szCs w:val="22"/>
        </w:rPr>
        <w:t>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724045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 xml:space="preserve">podpisy </w:t>
      </w:r>
      <w:r w:rsidR="004A2DDB" w:rsidRPr="00724045">
        <w:rPr>
          <w:rFonts w:ascii="Tahoma" w:hAnsi="Tahoma" w:cs="Tahoma"/>
          <w:sz w:val="22"/>
          <w:szCs w:val="22"/>
        </w:rPr>
        <w:t>zástupců objednatele</w:t>
      </w:r>
      <w:r w:rsidR="00AD37BE" w:rsidRPr="00724045">
        <w:rPr>
          <w:rFonts w:ascii="Tahoma" w:hAnsi="Tahoma" w:cs="Tahoma"/>
          <w:sz w:val="22"/>
          <w:szCs w:val="22"/>
        </w:rPr>
        <w:t xml:space="preserve">, </w:t>
      </w:r>
      <w:r w:rsidR="004A2DDB" w:rsidRPr="00724045">
        <w:rPr>
          <w:rFonts w:ascii="Tahoma" w:hAnsi="Tahoma" w:cs="Tahoma"/>
          <w:sz w:val="22"/>
          <w:szCs w:val="22"/>
        </w:rPr>
        <w:t>zhotovitele</w:t>
      </w:r>
      <w:r w:rsidR="00AD37BE" w:rsidRPr="00724045">
        <w:rPr>
          <w:rFonts w:ascii="Tahoma" w:hAnsi="Tahoma" w:cs="Tahoma"/>
          <w:sz w:val="22"/>
          <w:szCs w:val="22"/>
        </w:rPr>
        <w:t xml:space="preserve"> a</w:t>
      </w:r>
      <w:r w:rsidRPr="00724045">
        <w:rPr>
          <w:rFonts w:ascii="Tahoma" w:hAnsi="Tahoma" w:cs="Tahoma"/>
          <w:sz w:val="22"/>
          <w:szCs w:val="22"/>
        </w:rPr>
        <w:t> </w:t>
      </w:r>
      <w:r w:rsidR="00AD37BE" w:rsidRPr="00724045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72404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724045">
        <w:rPr>
          <w:rFonts w:ascii="Tahoma" w:hAnsi="Tahoma" w:cs="Tahoma"/>
          <w:sz w:val="22"/>
          <w:szCs w:val="22"/>
        </w:rPr>
        <w:t xml:space="preserve">ní těchto zkoušek je podmínkou </w:t>
      </w:r>
      <w:r w:rsidRPr="00724045">
        <w:rPr>
          <w:rFonts w:ascii="Tahoma" w:hAnsi="Tahoma" w:cs="Tahoma"/>
          <w:sz w:val="22"/>
          <w:szCs w:val="22"/>
        </w:rPr>
        <w:t>převzetí díla.</w:t>
      </w:r>
    </w:p>
    <w:p w14:paraId="221F1955" w14:textId="09E66691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Doklady o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724045">
        <w:rPr>
          <w:rFonts w:ascii="Tahoma" w:hAnsi="Tahoma" w:cs="Tahoma"/>
          <w:sz w:val="22"/>
          <w:szCs w:val="22"/>
        </w:rPr>
        <w:t> předpisů, o </w:t>
      </w:r>
      <w:r w:rsidRPr="00724045">
        <w:rPr>
          <w:rFonts w:ascii="Tahoma" w:hAnsi="Tahoma" w:cs="Tahoma"/>
          <w:sz w:val="22"/>
          <w:szCs w:val="22"/>
        </w:rPr>
        <w:t>provedených zkouškách, atestech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další dokumentaci podle t</w:t>
      </w:r>
      <w:r w:rsidR="00017CD9" w:rsidRPr="00724045">
        <w:rPr>
          <w:rFonts w:ascii="Tahoma" w:hAnsi="Tahoma" w:cs="Tahoma"/>
          <w:sz w:val="22"/>
          <w:szCs w:val="22"/>
        </w:rPr>
        <w:t>éto smlouvy včetně prohlášení o </w:t>
      </w:r>
      <w:r w:rsidRPr="00724045">
        <w:rPr>
          <w:rFonts w:ascii="Tahoma" w:hAnsi="Tahoma" w:cs="Tahoma"/>
          <w:sz w:val="22"/>
          <w:szCs w:val="22"/>
        </w:rPr>
        <w:t>shodě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dokladů nutných k získání kolaudačního souhlasu</w:t>
      </w:r>
      <w:r w:rsidR="003E6642" w:rsidRPr="00724045">
        <w:rPr>
          <w:rFonts w:ascii="Tahoma" w:hAnsi="Tahoma" w:cs="Tahoma"/>
          <w:sz w:val="22"/>
          <w:szCs w:val="22"/>
        </w:rPr>
        <w:t>,</w:t>
      </w:r>
      <w:r w:rsidRPr="00724045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předchozí věty nepředá, objednatel dílo nepřevezme. </w:t>
      </w:r>
      <w:r w:rsidRPr="40A21B9B">
        <w:rPr>
          <w:rFonts w:ascii="Tahoma" w:hAnsi="Tahoma" w:cs="Tahoma"/>
          <w:sz w:val="22"/>
          <w:szCs w:val="22"/>
        </w:rPr>
        <w:t>Předáním díla objednateli není zhotovitel zbaven povinnosti doklady na výzvu objednatele doplnit.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0F270429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tímto vylučují aplikaci ust. § 2605 odst. 2 občanského zákoníku na svůj právní vztah založený touto smlouvou.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lastRenderedPageBreak/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4FC3CE64" w:rsidR="004A2DDB" w:rsidRPr="004F5D2D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F438FD">
        <w:rPr>
          <w:rFonts w:ascii="Tahoma" w:hAnsi="Tahoma" w:cs="Tahoma"/>
          <w:bCs/>
          <w:sz w:val="22"/>
          <w:szCs w:val="22"/>
        </w:rPr>
        <w:t>xxxxxxxxx</w:t>
      </w:r>
      <w:r w:rsidR="004A2DDB" w:rsidRPr="004F5D2D">
        <w:rPr>
          <w:rFonts w:ascii="Tahoma" w:hAnsi="Tahoma" w:cs="Tahoma"/>
          <w:bCs/>
          <w:sz w:val="22"/>
          <w:szCs w:val="22"/>
        </w:rPr>
        <w:t xml:space="preserve"> nebo</w:t>
      </w:r>
    </w:p>
    <w:p w14:paraId="0E4281D5" w14:textId="2AAA3BF9" w:rsidR="000B6113" w:rsidRPr="004F5D2D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430959">
        <w:rPr>
          <w:rFonts w:ascii="Tahoma" w:hAnsi="Tahoma" w:cs="Tahoma"/>
          <w:bCs/>
          <w:sz w:val="22"/>
          <w:szCs w:val="22"/>
        </w:rPr>
        <w:t>Datyňská 220/2C, Havířov, 736 01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3840A32B" w:rsidR="007828A4" w:rsidRPr="007828A4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2110CE">
        <w:rPr>
          <w:rFonts w:ascii="Tahoma" w:hAnsi="Tahoma" w:cs="Tahoma"/>
          <w:bCs/>
          <w:sz w:val="22"/>
          <w:szCs w:val="22"/>
        </w:rPr>
        <w:t>hiu4e4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291DAAF6" w:rsidR="004A2DDB" w:rsidRPr="00724045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 xml:space="preserve">realizace díla až do okamžiku převzetí díla objednatelem a odstranění případných vad a </w:t>
      </w:r>
      <w:r w:rsidR="002E2594" w:rsidRPr="00724045">
        <w:rPr>
          <w:rFonts w:ascii="Tahoma" w:hAnsi="Tahoma" w:cs="Tahoma"/>
          <w:sz w:val="22"/>
          <w:szCs w:val="22"/>
        </w:rPr>
        <w:t>nedodělků, s nimiž bylo dílo převzato,</w:t>
      </w:r>
      <w:r w:rsidRPr="00724045">
        <w:rPr>
          <w:rFonts w:ascii="Tahoma" w:hAnsi="Tahoma" w:cs="Tahoma"/>
          <w:sz w:val="22"/>
          <w:szCs w:val="22"/>
        </w:rPr>
        <w:t xml:space="preserve"> bude mít</w:t>
      </w:r>
      <w:r w:rsidR="00A44529" w:rsidRPr="00724045">
        <w:rPr>
          <w:rFonts w:ascii="Tahoma" w:hAnsi="Tahoma" w:cs="Tahoma"/>
          <w:sz w:val="22"/>
          <w:szCs w:val="22"/>
        </w:rPr>
        <w:t xml:space="preserve"> </w:t>
      </w:r>
      <w:r w:rsidR="00306FA6" w:rsidRPr="00724045">
        <w:rPr>
          <w:rFonts w:ascii="Tahoma" w:hAnsi="Tahoma" w:cs="Tahoma"/>
          <w:sz w:val="22"/>
          <w:szCs w:val="22"/>
        </w:rPr>
        <w:t>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306FA6" w:rsidRPr="00724045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724045">
        <w:rPr>
          <w:rFonts w:ascii="Tahoma" w:hAnsi="Tahoma" w:cs="Tahoma"/>
          <w:sz w:val="22"/>
          <w:szCs w:val="22"/>
        </w:rPr>
        <w:t>sjednáno</w:t>
      </w:r>
      <w:r w:rsidR="002B304E" w:rsidRPr="00724045">
        <w:rPr>
          <w:rFonts w:ascii="Tahoma" w:hAnsi="Tahoma" w:cs="Tahoma"/>
          <w:sz w:val="22"/>
          <w:szCs w:val="22"/>
        </w:rPr>
        <w:t xml:space="preserve"> </w:t>
      </w:r>
      <w:r w:rsidR="003C5DE1" w:rsidRPr="00724045">
        <w:rPr>
          <w:rFonts w:ascii="Tahoma" w:hAnsi="Tahoma" w:cs="Tahoma"/>
          <w:sz w:val="22"/>
          <w:szCs w:val="22"/>
        </w:rPr>
        <w:t>pojištění odpovědnosti za </w:t>
      </w:r>
      <w:r w:rsidR="00CF0249" w:rsidRPr="00724045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724045">
        <w:rPr>
          <w:rFonts w:ascii="Tahoma" w:hAnsi="Tahoma" w:cs="Tahoma"/>
          <w:sz w:val="22"/>
          <w:szCs w:val="22"/>
        </w:rPr>
        <w:t xml:space="preserve">min. </w:t>
      </w:r>
      <w:r w:rsidR="00724045" w:rsidRPr="00724045">
        <w:rPr>
          <w:rFonts w:ascii="Tahoma" w:hAnsi="Tahoma" w:cs="Tahoma"/>
          <w:sz w:val="22"/>
          <w:szCs w:val="22"/>
        </w:rPr>
        <w:t>10</w:t>
      </w:r>
      <w:r w:rsidR="00CF0249" w:rsidRPr="00724045">
        <w:rPr>
          <w:rFonts w:ascii="Tahoma" w:hAnsi="Tahoma" w:cs="Tahoma"/>
          <w:sz w:val="22"/>
          <w:szCs w:val="22"/>
        </w:rPr>
        <w:t xml:space="preserve"> </w:t>
      </w:r>
      <w:r w:rsidR="00F23DF3" w:rsidRPr="00724045">
        <w:rPr>
          <w:rFonts w:ascii="Tahoma" w:hAnsi="Tahoma" w:cs="Tahoma"/>
          <w:sz w:val="22"/>
          <w:szCs w:val="22"/>
        </w:rPr>
        <w:t>mil</w:t>
      </w:r>
      <w:r w:rsidR="00CF0249" w:rsidRPr="00724045">
        <w:rPr>
          <w:rFonts w:ascii="Tahoma" w:hAnsi="Tahoma" w:cs="Tahoma"/>
          <w:sz w:val="22"/>
          <w:szCs w:val="22"/>
        </w:rPr>
        <w:t>.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 xml:space="preserve">Kč. Pojištění musí </w:t>
      </w:r>
      <w:r w:rsidR="00CF0249" w:rsidRPr="00724045">
        <w:rPr>
          <w:rFonts w:ascii="Tahoma" w:hAnsi="Tahoma" w:cs="Tahoma"/>
          <w:sz w:val="22"/>
          <w:szCs w:val="22"/>
        </w:rPr>
        <w:lastRenderedPageBreak/>
        <w:t>obsahovat krytí škod způsobené 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majetku</w:t>
      </w:r>
      <w:r w:rsidR="002E2594" w:rsidRPr="00724045">
        <w:rPr>
          <w:rFonts w:ascii="Tahoma" w:hAnsi="Tahoma" w:cs="Tahoma"/>
          <w:sz w:val="22"/>
          <w:szCs w:val="22"/>
        </w:rPr>
        <w:t xml:space="preserve"> a</w:t>
      </w:r>
      <w:r w:rsidR="00CF0249" w:rsidRPr="00724045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724045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r w:rsidR="00EA3EBA" w:rsidRPr="004F5D2D">
        <w:rPr>
          <w:rFonts w:ascii="Tahoma" w:hAnsi="Tahoma" w:cs="Tahoma"/>
          <w:sz w:val="22"/>
          <w:szCs w:val="22"/>
        </w:rPr>
        <w:t xml:space="preserve">sublimity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724045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</w:t>
      </w:r>
      <w:r w:rsidR="009A5625" w:rsidRPr="00724045">
        <w:rPr>
          <w:rFonts w:ascii="Tahoma" w:hAnsi="Tahoma" w:cs="Tahoma"/>
          <w:sz w:val="22"/>
          <w:szCs w:val="22"/>
        </w:rPr>
        <w:t>provedením díla v době plnění dle čl. IV odst. 1 této smlouvy</w:t>
      </w:r>
      <w:r w:rsidRPr="00724045">
        <w:rPr>
          <w:rFonts w:ascii="Tahoma" w:hAnsi="Tahoma" w:cs="Tahoma"/>
          <w:sz w:val="22"/>
          <w:szCs w:val="22"/>
        </w:rPr>
        <w:t>,</w:t>
      </w:r>
      <w:r w:rsidR="00C36BE6" w:rsidRPr="00724045">
        <w:rPr>
          <w:rFonts w:ascii="Tahoma" w:hAnsi="Tahoma" w:cs="Tahoma"/>
          <w:sz w:val="22"/>
          <w:szCs w:val="22"/>
        </w:rPr>
        <w:t xml:space="preserve"> </w:t>
      </w:r>
      <w:r w:rsidR="004A2DDB" w:rsidRPr="00724045">
        <w:rPr>
          <w:rFonts w:ascii="Tahoma" w:hAnsi="Tahoma" w:cs="Tahoma"/>
          <w:sz w:val="22"/>
          <w:szCs w:val="22"/>
        </w:rPr>
        <w:t>je povinen zaplati</w:t>
      </w:r>
      <w:r w:rsidR="003C5DE1" w:rsidRPr="00724045">
        <w:rPr>
          <w:rFonts w:ascii="Tahoma" w:hAnsi="Tahoma" w:cs="Tahoma"/>
          <w:sz w:val="22"/>
          <w:szCs w:val="22"/>
        </w:rPr>
        <w:t>t objednateli smluvní pokutu ve </w:t>
      </w:r>
      <w:r w:rsidR="004A2DDB" w:rsidRPr="00724045">
        <w:rPr>
          <w:rFonts w:ascii="Tahoma" w:hAnsi="Tahoma" w:cs="Tahoma"/>
          <w:sz w:val="22"/>
          <w:szCs w:val="22"/>
        </w:rPr>
        <w:t>výši 0,05</w:t>
      </w:r>
      <w:r w:rsidR="001B4AF4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dílo </w:t>
      </w:r>
      <w:r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DPH za každý i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započatý den </w:t>
      </w:r>
      <w:r w:rsidRPr="00724045">
        <w:rPr>
          <w:rFonts w:ascii="Tahoma" w:hAnsi="Tahoma" w:cs="Tahoma"/>
          <w:sz w:val="22"/>
          <w:szCs w:val="22"/>
        </w:rPr>
        <w:t>prodlení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3003B41C" w14:textId="237DA15F" w:rsidR="002A0D8F" w:rsidRPr="00724045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</w:t>
      </w:r>
      <w:r w:rsidR="003C5DE1" w:rsidRPr="00724045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724045">
        <w:rPr>
          <w:rFonts w:ascii="Tahoma" w:hAnsi="Tahoma" w:cs="Tahoma"/>
          <w:sz w:val="22"/>
          <w:szCs w:val="22"/>
        </w:rPr>
        <w:t xml:space="preserve">všechny </w:t>
      </w:r>
      <w:r w:rsidR="009A5625" w:rsidRPr="00724045">
        <w:rPr>
          <w:rFonts w:ascii="Tahoma" w:hAnsi="Tahoma" w:cs="Tahoma"/>
          <w:sz w:val="22"/>
          <w:szCs w:val="22"/>
        </w:rPr>
        <w:t xml:space="preserve">drobné </w:t>
      </w:r>
      <w:r w:rsidR="003C5DE1" w:rsidRPr="00724045">
        <w:rPr>
          <w:rFonts w:ascii="Tahoma" w:hAnsi="Tahoma" w:cs="Tahoma"/>
          <w:sz w:val="22"/>
          <w:szCs w:val="22"/>
        </w:rPr>
        <w:t>vady a </w:t>
      </w:r>
      <w:r w:rsidRPr="00724045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724045">
        <w:rPr>
          <w:rFonts w:ascii="Tahoma" w:hAnsi="Tahoma" w:cs="Tahoma"/>
          <w:sz w:val="22"/>
          <w:szCs w:val="22"/>
        </w:rPr>
        <w:t>přev</w:t>
      </w:r>
      <w:r w:rsidRPr="00724045">
        <w:rPr>
          <w:rFonts w:ascii="Tahoma" w:hAnsi="Tahoma" w:cs="Tahoma"/>
          <w:sz w:val="22"/>
          <w:szCs w:val="22"/>
        </w:rPr>
        <w:t>zato</w:t>
      </w:r>
      <w:r w:rsidR="00856E9E" w:rsidRPr="00724045">
        <w:rPr>
          <w:rFonts w:ascii="Tahoma" w:hAnsi="Tahoma" w:cs="Tahoma"/>
          <w:sz w:val="22"/>
          <w:szCs w:val="22"/>
        </w:rPr>
        <w:t>,</w:t>
      </w:r>
      <w:r w:rsidR="003C5DE1" w:rsidRPr="00724045">
        <w:rPr>
          <w:rFonts w:ascii="Tahoma" w:hAnsi="Tahoma" w:cs="Tahoma"/>
          <w:sz w:val="22"/>
          <w:szCs w:val="22"/>
        </w:rPr>
        <w:t xml:space="preserve"> ve </w:t>
      </w:r>
      <w:r w:rsidRPr="00724045">
        <w:rPr>
          <w:rFonts w:ascii="Tahoma" w:hAnsi="Tahoma" w:cs="Tahoma"/>
          <w:sz w:val="22"/>
          <w:szCs w:val="22"/>
        </w:rPr>
        <w:t>lhůtě</w:t>
      </w:r>
      <w:r w:rsidR="009A5625" w:rsidRPr="00724045">
        <w:rPr>
          <w:rFonts w:ascii="Tahoma" w:hAnsi="Tahoma" w:cs="Tahoma"/>
          <w:sz w:val="22"/>
          <w:szCs w:val="22"/>
        </w:rPr>
        <w:t xml:space="preserve"> dle čl. XI odst. 6 této smlouvy</w:t>
      </w:r>
      <w:r w:rsidRPr="00724045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výši 0,0</w:t>
      </w:r>
      <w:r w:rsidR="007B5B9E" w:rsidRPr="00724045">
        <w:rPr>
          <w:rFonts w:ascii="Tahoma" w:hAnsi="Tahoma" w:cs="Tahoma"/>
          <w:sz w:val="22"/>
          <w:szCs w:val="22"/>
        </w:rPr>
        <w:t>1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dílo </w:t>
      </w:r>
      <w:r w:rsidR="00D7662D"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DPH za každý i </w:t>
      </w:r>
      <w:r w:rsidRPr="00724045">
        <w:rPr>
          <w:rFonts w:ascii="Tahoma" w:hAnsi="Tahoma" w:cs="Tahoma"/>
          <w:sz w:val="22"/>
          <w:szCs w:val="22"/>
        </w:rPr>
        <w:t>započatý den prodlení</w:t>
      </w:r>
      <w:r w:rsidR="003C5DE1" w:rsidRPr="00724045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72404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Pro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případ</w:t>
      </w:r>
      <w:r w:rsidR="003C5DE1" w:rsidRPr="00724045">
        <w:rPr>
          <w:rFonts w:ascii="Tahoma" w:hAnsi="Tahoma" w:cs="Tahoma"/>
          <w:sz w:val="22"/>
          <w:szCs w:val="22"/>
        </w:rPr>
        <w:t xml:space="preserve"> prodlení se zaplacením ceny za </w:t>
      </w:r>
      <w:r w:rsidRPr="00724045">
        <w:rPr>
          <w:rFonts w:ascii="Tahoma" w:hAnsi="Tahoma" w:cs="Tahoma"/>
          <w:sz w:val="22"/>
          <w:szCs w:val="22"/>
        </w:rPr>
        <w:t>dílo sjednávají sm</w:t>
      </w:r>
      <w:r w:rsidR="003C5DE1" w:rsidRPr="00724045">
        <w:rPr>
          <w:rFonts w:ascii="Tahoma" w:hAnsi="Tahoma" w:cs="Tahoma"/>
          <w:sz w:val="22"/>
          <w:szCs w:val="22"/>
        </w:rPr>
        <w:t>luvní strany úrok z prodlení ve </w:t>
      </w:r>
      <w:r w:rsidRPr="00724045">
        <w:rPr>
          <w:rFonts w:ascii="Tahoma" w:hAnsi="Tahoma" w:cs="Tahoma"/>
          <w:sz w:val="22"/>
          <w:szCs w:val="22"/>
        </w:rPr>
        <w:t>výši stanovené občanskoprávními předpisy.</w:t>
      </w:r>
    </w:p>
    <w:p w14:paraId="30DD9D0F" w14:textId="5EB0A80C" w:rsidR="00E0756F" w:rsidRPr="00724045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informace, </w:t>
      </w:r>
      <w:r w:rsidR="004D6269" w:rsidRPr="00724045">
        <w:rPr>
          <w:rFonts w:ascii="Tahoma" w:hAnsi="Tahoma" w:cs="Tahoma"/>
          <w:sz w:val="22"/>
          <w:szCs w:val="22"/>
        </w:rPr>
        <w:t>je povinen zaplatit objednateli</w:t>
      </w:r>
      <w:r w:rsidRPr="00724045">
        <w:rPr>
          <w:rFonts w:ascii="Tahoma" w:hAnsi="Tahoma" w:cs="Tahoma"/>
          <w:sz w:val="22"/>
          <w:szCs w:val="22"/>
        </w:rPr>
        <w:t xml:space="preserve"> smluvní pokut</w:t>
      </w:r>
      <w:r w:rsidR="004D6269" w:rsidRPr="00724045">
        <w:rPr>
          <w:rFonts w:ascii="Tahoma" w:hAnsi="Tahoma" w:cs="Tahoma"/>
          <w:sz w:val="22"/>
          <w:szCs w:val="22"/>
        </w:rPr>
        <w:t>u</w:t>
      </w:r>
      <w:r w:rsidRPr="00724045">
        <w:rPr>
          <w:rFonts w:ascii="Tahoma" w:hAnsi="Tahoma" w:cs="Tahoma"/>
          <w:sz w:val="22"/>
          <w:szCs w:val="22"/>
        </w:rPr>
        <w:t xml:space="preserve">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výši </w:t>
      </w:r>
      <w:r w:rsidR="006002AF" w:rsidRPr="00724045">
        <w:rPr>
          <w:rFonts w:ascii="Tahoma" w:hAnsi="Tahoma" w:cs="Tahoma"/>
          <w:sz w:val="22"/>
          <w:szCs w:val="22"/>
        </w:rPr>
        <w:t>2.000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Kč za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každý zjištěný případ</w:t>
      </w:r>
      <w:r w:rsidR="00CA3F12" w:rsidRPr="00724045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že závazek provést </w:t>
      </w:r>
      <w:r w:rsidRPr="40A21B9B">
        <w:rPr>
          <w:rFonts w:ascii="Tahoma" w:hAnsi="Tahoma" w:cs="Tahoma"/>
          <w:sz w:val="22"/>
          <w:szCs w:val="22"/>
        </w:rPr>
        <w:t>dílo zanikne před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40A21B9B">
        <w:rPr>
          <w:rFonts w:ascii="Tahoma" w:hAnsi="Tahoma" w:cs="Tahoma"/>
          <w:sz w:val="22"/>
          <w:szCs w:val="22"/>
        </w:rPr>
        <w:t>n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40A21B9B">
        <w:rPr>
          <w:rFonts w:ascii="Tahoma" w:hAnsi="Tahoma" w:cs="Tahoma"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5A0DCE66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lastRenderedPageBreak/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420917D1" w14:textId="39FD6A4F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 xml:space="preserve">Dojde-li k porušení pravidel </w:t>
      </w:r>
      <w:r w:rsidRPr="00724045">
        <w:rPr>
          <w:rFonts w:ascii="Tahoma" w:eastAsia="Tahoma" w:hAnsi="Tahoma" w:cs="Tahoma"/>
          <w:sz w:val="22"/>
          <w:szCs w:val="22"/>
        </w:rPr>
        <w:t>dle odst. 1 tohoto člá</w:t>
      </w:r>
      <w:r w:rsidR="00A767EB" w:rsidRPr="00724045">
        <w:rPr>
          <w:rFonts w:ascii="Tahoma" w:eastAsia="Tahoma" w:hAnsi="Tahoma" w:cs="Tahoma"/>
          <w:sz w:val="22"/>
          <w:szCs w:val="22"/>
        </w:rPr>
        <w:t>nku</w:t>
      </w:r>
      <w:r w:rsidRPr="00724045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724045">
        <w:rPr>
          <w:rFonts w:ascii="Tahoma" w:hAnsi="Tahoma" w:cs="Tahoma"/>
          <w:sz w:val="22"/>
          <w:szCs w:val="22"/>
        </w:rPr>
        <w:t>objednateli</w:t>
      </w:r>
      <w:r w:rsidRPr="00724045">
        <w:rPr>
          <w:rFonts w:ascii="Tahoma" w:eastAsia="Tahoma" w:hAnsi="Tahoma" w:cs="Tahoma"/>
          <w:sz w:val="22"/>
          <w:szCs w:val="22"/>
        </w:rPr>
        <w:t xml:space="preserve"> smluvní pokutu ve výši 250.000 Kč, a to za </w:t>
      </w:r>
      <w:r w:rsidRPr="40A21B9B">
        <w:rPr>
          <w:rFonts w:ascii="Tahoma" w:eastAsia="Tahoma" w:hAnsi="Tahoma" w:cs="Tahoma"/>
          <w:sz w:val="22"/>
          <w:szCs w:val="22"/>
        </w:rPr>
        <w:t>každý jednotlivý případ porušení.</w:t>
      </w: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pokynů </w:t>
      </w:r>
      <w:r w:rsidRPr="00724045">
        <w:rPr>
          <w:rFonts w:ascii="Tahoma" w:hAnsi="Tahoma" w:cs="Tahoma"/>
          <w:sz w:val="22"/>
          <w:szCs w:val="22"/>
        </w:rPr>
        <w:t>objednatele, právních předpisů nebo technických norem týkajících se provádění díla,</w:t>
      </w:r>
    </w:p>
    <w:p w14:paraId="5CD54BF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724045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neuhrazení ceny za </w:t>
      </w:r>
      <w:r w:rsidR="004A2DDB" w:rsidRPr="00724045">
        <w:rPr>
          <w:rFonts w:ascii="Tahoma" w:hAnsi="Tahoma" w:cs="Tahoma"/>
          <w:sz w:val="22"/>
          <w:szCs w:val="22"/>
        </w:rPr>
        <w:t>dílo objednatelem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dnů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doručení první výzvy,</w:t>
      </w:r>
    </w:p>
    <w:p w14:paraId="62220A25" w14:textId="2CB508A5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nedodržení </w:t>
      </w:r>
      <w:r w:rsidR="00F755E9" w:rsidRPr="00724045">
        <w:rPr>
          <w:rFonts w:ascii="Tahoma" w:hAnsi="Tahoma" w:cs="Tahoma"/>
          <w:sz w:val="22"/>
          <w:szCs w:val="22"/>
        </w:rPr>
        <w:t>jakéhokoliv smluvní</w:t>
      </w:r>
      <w:r w:rsidRPr="00724045">
        <w:rPr>
          <w:rFonts w:ascii="Tahoma" w:hAnsi="Tahoma" w:cs="Tahoma"/>
          <w:sz w:val="22"/>
          <w:szCs w:val="22"/>
        </w:rPr>
        <w:t>h</w:t>
      </w:r>
      <w:r w:rsidR="00F755E9" w:rsidRPr="00724045">
        <w:rPr>
          <w:rFonts w:ascii="Tahoma" w:hAnsi="Tahoma" w:cs="Tahoma"/>
          <w:sz w:val="22"/>
          <w:szCs w:val="22"/>
        </w:rPr>
        <w:t>o</w:t>
      </w:r>
      <w:r w:rsidRPr="00724045">
        <w:rPr>
          <w:rFonts w:ascii="Tahoma" w:hAnsi="Tahoma" w:cs="Tahoma"/>
          <w:sz w:val="22"/>
          <w:szCs w:val="22"/>
        </w:rPr>
        <w:t xml:space="preserve"> ujednání dle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čl.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B30124" w:rsidRPr="00724045">
        <w:rPr>
          <w:rFonts w:ascii="Tahoma" w:hAnsi="Tahoma" w:cs="Tahoma"/>
          <w:sz w:val="22"/>
          <w:szCs w:val="22"/>
        </w:rPr>
        <w:t>I</w:t>
      </w:r>
      <w:r w:rsidRPr="00724045">
        <w:rPr>
          <w:rFonts w:ascii="Tahoma" w:hAnsi="Tahoma" w:cs="Tahoma"/>
          <w:sz w:val="22"/>
          <w:szCs w:val="22"/>
        </w:rPr>
        <w:t>X odst.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1F3325" w:rsidRPr="00724045">
        <w:rPr>
          <w:rFonts w:ascii="Tahoma" w:hAnsi="Tahoma" w:cs="Tahoma"/>
          <w:sz w:val="22"/>
          <w:szCs w:val="22"/>
        </w:rPr>
        <w:t xml:space="preserve"> </w:t>
      </w:r>
      <w:r w:rsidRPr="00724045">
        <w:rPr>
          <w:rFonts w:ascii="Tahoma" w:hAnsi="Tahoma" w:cs="Tahoma"/>
          <w:sz w:val="22"/>
          <w:szCs w:val="22"/>
        </w:rPr>
        <w:t>této smlouvy.</w:t>
      </w:r>
    </w:p>
    <w:p w14:paraId="4EEC1F42" w14:textId="77777777" w:rsidR="009C04AC" w:rsidRPr="00724045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724045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dojde</w:t>
      </w:r>
      <w:r w:rsidR="000431D2" w:rsidRPr="00724045">
        <w:rPr>
          <w:rFonts w:ascii="Tahoma" w:hAnsi="Tahoma" w:cs="Tahoma"/>
          <w:sz w:val="22"/>
          <w:szCs w:val="22"/>
        </w:rPr>
        <w:noBreakHyphen/>
      </w:r>
      <w:r w:rsidRPr="00724045">
        <w:rPr>
          <w:rFonts w:ascii="Tahoma" w:hAnsi="Tahoma" w:cs="Tahoma"/>
          <w:sz w:val="22"/>
          <w:szCs w:val="22"/>
        </w:rPr>
        <w:t>li k neoprávněnému zastavení prací z rozhodnutí zhotovitele nebo zhotovitel postupuje při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provádění díla způsobem, který zjevně neodpo</w:t>
      </w:r>
      <w:r w:rsidR="000431D2" w:rsidRPr="00724045">
        <w:rPr>
          <w:rFonts w:ascii="Tahoma" w:hAnsi="Tahoma" w:cs="Tahoma"/>
          <w:sz w:val="22"/>
          <w:szCs w:val="22"/>
        </w:rPr>
        <w:t>vídá dohodnutému rozsahu díla a </w:t>
      </w:r>
      <w:r w:rsidRPr="00724045">
        <w:rPr>
          <w:rFonts w:ascii="Tahoma" w:hAnsi="Tahoma" w:cs="Tahoma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bylo</w:t>
      </w:r>
      <w:r w:rsidRPr="00724045">
        <w:rPr>
          <w:rFonts w:ascii="Tahoma" w:hAnsi="Tahoma" w:cs="Tahoma"/>
          <w:sz w:val="22"/>
          <w:szCs w:val="22"/>
        </w:rPr>
        <w:noBreakHyphen/>
      </w:r>
      <w:r w:rsidR="009C04AC" w:rsidRPr="00724045">
        <w:rPr>
          <w:rFonts w:ascii="Tahoma" w:hAnsi="Tahoma" w:cs="Tahoma"/>
          <w:sz w:val="22"/>
          <w:szCs w:val="22"/>
        </w:rPr>
        <w:t xml:space="preserve">li příslušným soudem rozhodnuto 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EEDDFC7" w:rsidR="004A2DDB" w:rsidRPr="00902592" w:rsidRDefault="00EA771A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</w:t>
      </w:r>
      <w:r w:rsidR="00902592" w:rsidRPr="00AA386F">
        <w:rPr>
          <w:rFonts w:ascii="Tahoma" w:hAnsi="Tahoma" w:cs="Tahoma"/>
          <w:sz w:val="22"/>
          <w:szCs w:val="22"/>
        </w:rPr>
        <w:t xml:space="preserve"> uveřejnění v registru smluv.</w:t>
      </w:r>
    </w:p>
    <w:p w14:paraId="6ACEA4DA" w14:textId="7FB3B2E8" w:rsidR="004A2DDB" w:rsidRPr="00AB082E" w:rsidRDefault="00EA771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724045">
        <w:rPr>
          <w:rFonts w:ascii="Tahoma" w:hAnsi="Tahoma" w:cs="Tahoma"/>
          <w:sz w:val="22"/>
          <w:szCs w:val="22"/>
        </w:rPr>
        <w:t xml:space="preserve">uzavírána </w:t>
      </w:r>
      <w:r w:rsidR="00E67CE3">
        <w:rPr>
          <w:rFonts w:ascii="Tahoma" w:hAnsi="Tahoma" w:cs="Tahoma"/>
          <w:sz w:val="22"/>
          <w:szCs w:val="22"/>
        </w:rPr>
        <w:t>ve 2 vyhotoveních podepsaných zástupci smluvních stran. Každá smluvní strana obdrží jedno vyhotovení smlouvy</w:t>
      </w:r>
      <w:r w:rsidR="00724045">
        <w:rPr>
          <w:rFonts w:ascii="Tahoma" w:hAnsi="Tahoma" w:cs="Tahoma"/>
          <w:sz w:val="22"/>
          <w:szCs w:val="22"/>
        </w:rPr>
        <w:t>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</w:t>
      </w:r>
      <w:r w:rsidRPr="006336DB">
        <w:rPr>
          <w:rFonts w:ascii="Tahoma" w:hAnsi="Tahoma" w:cs="Tahoma"/>
          <w:sz w:val="22"/>
          <w:szCs w:val="22"/>
        </w:rPr>
        <w:t>srozumitelně, nikoliv v</w:t>
      </w:r>
      <w:r w:rsidR="00EA771A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tísni nebo za</w:t>
      </w:r>
      <w:r w:rsidR="00EA771A" w:rsidRPr="006336DB">
        <w:rPr>
          <w:rFonts w:ascii="Tahoma" w:hAnsi="Tahoma" w:cs="Tahoma"/>
          <w:sz w:val="22"/>
          <w:szCs w:val="22"/>
        </w:rPr>
        <w:t> nápadně nevýhodných podmínek, a </w:t>
      </w:r>
      <w:r w:rsidRPr="006336D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336DB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reg</w:t>
      </w:r>
      <w:r w:rsidR="004D6269" w:rsidRPr="006336DB">
        <w:rPr>
          <w:rFonts w:ascii="Tahoma" w:hAnsi="Tahoma" w:cs="Tahoma"/>
          <w:sz w:val="22"/>
          <w:szCs w:val="22"/>
        </w:rPr>
        <w:t xml:space="preserve">istru smluv ve smyslu zákona </w:t>
      </w:r>
      <w:r w:rsidRPr="006336DB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39C29F48" w14:textId="77777777" w:rsidR="00EA771A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6336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bCs/>
          <w:sz w:val="22"/>
          <w:szCs w:val="22"/>
        </w:rPr>
        <w:t>Příloha č. 1:</w:t>
      </w:r>
      <w:r w:rsidRPr="006336DB">
        <w:rPr>
          <w:rFonts w:ascii="Tahoma" w:hAnsi="Tahoma" w:cs="Tahoma"/>
          <w:bCs/>
          <w:sz w:val="22"/>
          <w:szCs w:val="22"/>
        </w:rPr>
        <w:tab/>
      </w:r>
      <w:r w:rsidR="004A2DDB" w:rsidRPr="006336DB">
        <w:rPr>
          <w:rFonts w:ascii="Tahoma" w:hAnsi="Tahoma" w:cs="Tahoma"/>
          <w:sz w:val="22"/>
          <w:szCs w:val="22"/>
        </w:rPr>
        <w:t>Souhrnný rozpočet stavby</w:t>
      </w:r>
    </w:p>
    <w:p w14:paraId="1B953FB2" w14:textId="06AEDF3D" w:rsidR="00F1477D" w:rsidRPr="008551F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1E00B792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2110CE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50706B9" w:rsidR="00AB082E" w:rsidRPr="004F5D2D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1A2D0751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110CE">
              <w:rPr>
                <w:rFonts w:ascii="Tahoma" w:hAnsi="Tahoma" w:cs="Tahoma"/>
                <w:sz w:val="22"/>
                <w:szCs w:val="22"/>
              </w:rPr>
              <w:t>Havířově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827514" w14:textId="77777777" w:rsidR="000A4FF3" w:rsidRPr="004F5D2D" w:rsidRDefault="000A4FF3" w:rsidP="006336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6CA237D1" w:rsidR="00594679" w:rsidRDefault="00594679" w:rsidP="003B2480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3533FD3F" w14:textId="77777777" w:rsidR="002110CE" w:rsidRPr="002110CE" w:rsidRDefault="002110CE" w:rsidP="002110CE"/>
    <w:p w14:paraId="27AAE85A" w14:textId="77777777" w:rsidR="002110CE" w:rsidRPr="002110CE" w:rsidRDefault="002110CE" w:rsidP="002110CE"/>
    <w:p w14:paraId="46A402CE" w14:textId="77777777" w:rsidR="002110CE" w:rsidRPr="002110CE" w:rsidRDefault="002110CE" w:rsidP="002110CE"/>
    <w:p w14:paraId="00563702" w14:textId="77777777" w:rsidR="002110CE" w:rsidRPr="002110CE" w:rsidRDefault="002110CE" w:rsidP="002110CE"/>
    <w:p w14:paraId="50368A45" w14:textId="77777777" w:rsidR="002110CE" w:rsidRPr="002110CE" w:rsidRDefault="002110CE" w:rsidP="002110CE"/>
    <w:p w14:paraId="1A1942DF" w14:textId="77777777" w:rsidR="002110CE" w:rsidRPr="002110CE" w:rsidRDefault="002110CE" w:rsidP="002110CE"/>
    <w:p w14:paraId="38D9F76E" w14:textId="77777777" w:rsidR="002110CE" w:rsidRPr="002110CE" w:rsidRDefault="002110CE" w:rsidP="002110CE"/>
    <w:p w14:paraId="2753F59F" w14:textId="77777777" w:rsidR="002110CE" w:rsidRPr="002110CE" w:rsidRDefault="002110CE" w:rsidP="002110CE"/>
    <w:p w14:paraId="0C81AEB4" w14:textId="77777777" w:rsidR="002110CE" w:rsidRPr="002110CE" w:rsidRDefault="002110CE" w:rsidP="002110CE"/>
    <w:p w14:paraId="3FD13484" w14:textId="77777777" w:rsidR="002110CE" w:rsidRPr="002110CE" w:rsidRDefault="002110CE" w:rsidP="002110CE"/>
    <w:p w14:paraId="27F37588" w14:textId="77777777" w:rsidR="002110CE" w:rsidRPr="002110CE" w:rsidRDefault="002110CE" w:rsidP="002110CE"/>
    <w:p w14:paraId="4ADA356A" w14:textId="77777777" w:rsidR="002110CE" w:rsidRPr="002110CE" w:rsidRDefault="002110CE" w:rsidP="002110CE"/>
    <w:p w14:paraId="20128616" w14:textId="77777777" w:rsidR="002110CE" w:rsidRPr="002110CE" w:rsidRDefault="002110CE" w:rsidP="002110CE"/>
    <w:p w14:paraId="281EA54A" w14:textId="77777777" w:rsidR="002110CE" w:rsidRDefault="002110CE" w:rsidP="002110CE">
      <w:pPr>
        <w:rPr>
          <w:rFonts w:ascii="Tahoma" w:hAnsi="Tahoma" w:cs="Tahoma"/>
          <w:sz w:val="22"/>
          <w:szCs w:val="22"/>
        </w:rPr>
      </w:pPr>
    </w:p>
    <w:p w14:paraId="390859A7" w14:textId="77777777" w:rsidR="002110CE" w:rsidRDefault="002110CE" w:rsidP="002110CE">
      <w:pPr>
        <w:rPr>
          <w:rFonts w:ascii="Tahoma" w:hAnsi="Tahoma" w:cs="Tahoma"/>
          <w:sz w:val="22"/>
          <w:szCs w:val="22"/>
        </w:rPr>
      </w:pPr>
    </w:p>
    <w:p w14:paraId="6F544EAC" w14:textId="105B0E9A" w:rsidR="002110CE" w:rsidRDefault="002110CE">
      <w:r>
        <w:br w:type="page"/>
      </w:r>
    </w:p>
    <w:p w14:paraId="4D291F7D" w14:textId="77777777" w:rsidR="002110CE" w:rsidRDefault="002110CE" w:rsidP="002110CE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bCs/>
          <w:sz w:val="22"/>
          <w:szCs w:val="22"/>
        </w:rPr>
        <w:lastRenderedPageBreak/>
        <w:t>Příloha č. 1:</w:t>
      </w:r>
      <w:r w:rsidRPr="006336DB">
        <w:rPr>
          <w:rFonts w:ascii="Tahoma" w:hAnsi="Tahoma" w:cs="Tahoma"/>
          <w:bCs/>
          <w:sz w:val="22"/>
          <w:szCs w:val="22"/>
        </w:rPr>
        <w:tab/>
      </w:r>
      <w:r w:rsidRPr="006336DB">
        <w:rPr>
          <w:rFonts w:ascii="Tahoma" w:hAnsi="Tahoma" w:cs="Tahoma"/>
          <w:sz w:val="22"/>
          <w:szCs w:val="22"/>
        </w:rPr>
        <w:t>Souhrnný rozpočet stavby</w:t>
      </w:r>
    </w:p>
    <w:p w14:paraId="66E0750D" w14:textId="77777777" w:rsidR="00DA1C7F" w:rsidRPr="00DA1C7F" w:rsidRDefault="00DA1C7F" w:rsidP="002110CE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51"/>
        <w:gridCol w:w="3120"/>
        <w:gridCol w:w="1690"/>
        <w:gridCol w:w="2260"/>
      </w:tblGrid>
      <w:tr w:rsidR="00DA1C7F" w:rsidRPr="00DA1C7F" w14:paraId="1A1CB55E" w14:textId="77777777" w:rsidTr="00DA1C7F">
        <w:trPr>
          <w:gridAfter w:val="2"/>
          <w:wAfter w:w="3950" w:type="dxa"/>
          <w:trHeight w:val="649"/>
        </w:trPr>
        <w:tc>
          <w:tcPr>
            <w:tcW w:w="4265" w:type="dxa"/>
            <w:gridSpan w:val="3"/>
            <w:shd w:val="clear" w:color="auto" w:fill="auto"/>
            <w:noWrap/>
            <w:vAlign w:val="center"/>
            <w:hideMark/>
          </w:tcPr>
          <w:p w14:paraId="67292647" w14:textId="77777777" w:rsidR="00DA1C7F" w:rsidRPr="00DA1C7F" w:rsidRDefault="00DA1C7F">
            <w:pPr>
              <w:rPr>
                <w:rFonts w:ascii="Arial CE" w:hAnsi="Arial CE" w:cs="Arial CE"/>
                <w:b/>
                <w:bCs/>
              </w:rPr>
            </w:pPr>
            <w:r w:rsidRPr="00DA1C7F">
              <w:rPr>
                <w:rFonts w:ascii="Arial CE" w:hAnsi="Arial CE" w:cs="Arial CE"/>
                <w:b/>
                <w:bCs/>
              </w:rPr>
              <w:t>Náklady stavby celkem</w:t>
            </w:r>
          </w:p>
        </w:tc>
      </w:tr>
      <w:tr w:rsidR="00DA1C7F" w:rsidRPr="00DA1C7F" w14:paraId="488F1296" w14:textId="77777777" w:rsidTr="00DA1C7F">
        <w:trPr>
          <w:trHeight w:val="330"/>
        </w:trPr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F4ED4B1" w14:textId="15DFAE9B" w:rsidR="00DA1C7F" w:rsidRPr="00DA1C7F" w:rsidRDefault="00DA1C7F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b/>
                <w:bCs/>
                <w:sz w:val="22"/>
                <w:szCs w:val="22"/>
              </w:rPr>
              <w:t>SO01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14:paraId="5E4235AF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b/>
                <w:bCs/>
                <w:sz w:val="22"/>
                <w:szCs w:val="22"/>
              </w:rPr>
              <w:t>Hlavní kotelna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D125AEF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sz w:val="22"/>
                <w:szCs w:val="22"/>
              </w:rPr>
              <w:t>2 102 320,00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4374CEE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sz w:val="22"/>
                <w:szCs w:val="22"/>
              </w:rPr>
              <w:t>2 543 807,20</w:t>
            </w:r>
          </w:p>
        </w:tc>
      </w:tr>
      <w:tr w:rsidR="00DA1C7F" w:rsidRPr="00DA1C7F" w14:paraId="76ABC7D8" w14:textId="77777777" w:rsidTr="00DA1C7F">
        <w:trPr>
          <w:trHeight w:val="330"/>
        </w:trPr>
        <w:tc>
          <w:tcPr>
            <w:tcW w:w="994" w:type="dxa"/>
            <w:shd w:val="clear" w:color="auto" w:fill="auto"/>
            <w:vAlign w:val="center"/>
            <w:hideMark/>
          </w:tcPr>
          <w:p w14:paraId="721EAFFF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01_01</w:t>
            </w:r>
          </w:p>
        </w:tc>
        <w:tc>
          <w:tcPr>
            <w:tcW w:w="151" w:type="dxa"/>
            <w:shd w:val="clear" w:color="auto" w:fill="auto"/>
            <w:noWrap/>
            <w:vAlign w:val="center"/>
            <w:hideMark/>
          </w:tcPr>
          <w:p w14:paraId="1E52B40A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5D19469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Architektonicko - stavební řešení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4376380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40 068,19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4BF0F9CB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48 482,51</w:t>
            </w:r>
          </w:p>
        </w:tc>
      </w:tr>
      <w:tr w:rsidR="00DA1C7F" w:rsidRPr="00DA1C7F" w14:paraId="50EF4F21" w14:textId="77777777" w:rsidTr="00DA1C7F">
        <w:trPr>
          <w:trHeight w:val="330"/>
        </w:trPr>
        <w:tc>
          <w:tcPr>
            <w:tcW w:w="994" w:type="dxa"/>
            <w:shd w:val="clear" w:color="auto" w:fill="auto"/>
            <w:vAlign w:val="center"/>
            <w:hideMark/>
          </w:tcPr>
          <w:p w14:paraId="6AB5644A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01_02</w:t>
            </w:r>
          </w:p>
        </w:tc>
        <w:tc>
          <w:tcPr>
            <w:tcW w:w="151" w:type="dxa"/>
            <w:shd w:val="clear" w:color="auto" w:fill="auto"/>
            <w:noWrap/>
            <w:vAlign w:val="center"/>
            <w:hideMark/>
          </w:tcPr>
          <w:p w14:paraId="4BD54F5C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526C84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Plyn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219D39A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128 790,00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13D79802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155 835,90</w:t>
            </w:r>
          </w:p>
        </w:tc>
      </w:tr>
      <w:tr w:rsidR="00DA1C7F" w:rsidRPr="00DA1C7F" w14:paraId="5F78A7B2" w14:textId="77777777" w:rsidTr="00DA1C7F">
        <w:trPr>
          <w:trHeight w:val="330"/>
        </w:trPr>
        <w:tc>
          <w:tcPr>
            <w:tcW w:w="994" w:type="dxa"/>
            <w:shd w:val="clear" w:color="auto" w:fill="auto"/>
            <w:vAlign w:val="center"/>
            <w:hideMark/>
          </w:tcPr>
          <w:p w14:paraId="02D5D2AB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01_03</w:t>
            </w:r>
          </w:p>
        </w:tc>
        <w:tc>
          <w:tcPr>
            <w:tcW w:w="151" w:type="dxa"/>
            <w:shd w:val="clear" w:color="auto" w:fill="auto"/>
            <w:noWrap/>
            <w:vAlign w:val="center"/>
            <w:hideMark/>
          </w:tcPr>
          <w:p w14:paraId="5FFF8C10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9AD2684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Kotelna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2AB8B97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1 503 352,51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7A17006F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1 819 056,54</w:t>
            </w:r>
          </w:p>
        </w:tc>
      </w:tr>
      <w:tr w:rsidR="00DA1C7F" w:rsidRPr="00DA1C7F" w14:paraId="33A4AABF" w14:textId="77777777" w:rsidTr="00DA1C7F">
        <w:trPr>
          <w:trHeight w:val="330"/>
        </w:trPr>
        <w:tc>
          <w:tcPr>
            <w:tcW w:w="994" w:type="dxa"/>
            <w:shd w:val="clear" w:color="auto" w:fill="auto"/>
            <w:vAlign w:val="center"/>
            <w:hideMark/>
          </w:tcPr>
          <w:p w14:paraId="1F587E3B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01_04</w:t>
            </w:r>
          </w:p>
        </w:tc>
        <w:tc>
          <w:tcPr>
            <w:tcW w:w="151" w:type="dxa"/>
            <w:shd w:val="clear" w:color="auto" w:fill="auto"/>
            <w:noWrap/>
            <w:vAlign w:val="center"/>
            <w:hideMark/>
          </w:tcPr>
          <w:p w14:paraId="20EF5C73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9BA7867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b/>
                <w:bCs/>
                <w:sz w:val="20"/>
                <w:szCs w:val="20"/>
              </w:rPr>
              <w:t>Měření a regulace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1A9CBFB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430 109,30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0A031761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A1C7F">
              <w:rPr>
                <w:rFonts w:ascii="Arial CE" w:hAnsi="Arial CE" w:cs="Arial CE"/>
                <w:sz w:val="20"/>
                <w:szCs w:val="20"/>
              </w:rPr>
              <w:t>520 432,25</w:t>
            </w:r>
          </w:p>
        </w:tc>
      </w:tr>
      <w:tr w:rsidR="00DA1C7F" w:rsidRPr="00DA1C7F" w14:paraId="054FAAF7" w14:textId="77777777" w:rsidTr="00DA1C7F">
        <w:trPr>
          <w:trHeight w:val="330"/>
        </w:trPr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477BDAD" w14:textId="32FDA827" w:rsidR="00DA1C7F" w:rsidRPr="00DA1C7F" w:rsidRDefault="00DA1C7F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b/>
                <w:bCs/>
                <w:sz w:val="22"/>
                <w:szCs w:val="22"/>
              </w:rPr>
              <w:t>VRN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14:paraId="10B47BD4" w14:textId="77777777" w:rsidR="00DA1C7F" w:rsidRPr="00DA1C7F" w:rsidRDefault="00DA1C7F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b/>
                <w:bCs/>
                <w:sz w:val="22"/>
                <w:szCs w:val="22"/>
              </w:rPr>
              <w:t>Vedlejší rozpočtové náklady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6FF2FA8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sz w:val="22"/>
                <w:szCs w:val="22"/>
              </w:rPr>
              <w:t>19 000,00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14:paraId="36D4305A" w14:textId="77777777" w:rsidR="00DA1C7F" w:rsidRPr="00DA1C7F" w:rsidRDefault="00DA1C7F">
            <w:pPr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A1C7F">
              <w:rPr>
                <w:rFonts w:ascii="Arial CE" w:hAnsi="Arial CE" w:cs="Arial CE"/>
                <w:sz w:val="22"/>
                <w:szCs w:val="22"/>
              </w:rPr>
              <w:t>22 990,00</w:t>
            </w:r>
          </w:p>
        </w:tc>
      </w:tr>
    </w:tbl>
    <w:p w14:paraId="104BF600" w14:textId="77777777" w:rsidR="002110CE" w:rsidRPr="00DA1C7F" w:rsidRDefault="002110CE" w:rsidP="002110CE"/>
    <w:sectPr w:rsidR="002110CE" w:rsidRPr="00DA1C7F" w:rsidSect="007E27BE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2AF2" w14:textId="77777777" w:rsidR="00BE53BA" w:rsidRDefault="00BE53BA">
      <w:r>
        <w:separator/>
      </w:r>
    </w:p>
  </w:endnote>
  <w:endnote w:type="continuationSeparator" w:id="0">
    <w:p w14:paraId="4C5709C8" w14:textId="77777777" w:rsidR="00BE53BA" w:rsidRDefault="00BE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4FB16166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 w:rsidR="005C142E" w:rsidRPr="005C142E">
      <w:rPr>
        <w:rFonts w:ascii="Tahoma" w:hAnsi="Tahoma" w:cs="Tahoma"/>
        <w:sz w:val="18"/>
        <w:szCs w:val="18"/>
      </w:rPr>
      <w:t>Rekonstrukce tepelného zdroje Domova Iris, příspěvková organizace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7E50248A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 w:rsidR="005C142E" w:rsidRPr="005C142E">
      <w:rPr>
        <w:rFonts w:ascii="Tahoma" w:hAnsi="Tahoma" w:cs="Tahoma"/>
        <w:sz w:val="18"/>
        <w:szCs w:val="18"/>
      </w:rPr>
      <w:t>Rekonstrukce tepelného zdroje Domova Iris, příspěvková organizace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3C20" w14:textId="77777777" w:rsidR="00BE53BA" w:rsidRDefault="00BE53BA">
      <w:r>
        <w:separator/>
      </w:r>
    </w:p>
  </w:footnote>
  <w:footnote w:type="continuationSeparator" w:id="0">
    <w:p w14:paraId="5F5EC9AF" w14:textId="77777777" w:rsidR="00BE53BA" w:rsidRDefault="00BE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F390F45"/>
    <w:multiLevelType w:val="hybridMultilevel"/>
    <w:tmpl w:val="1FD69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4"/>
  </w:num>
  <w:num w:numId="2" w16cid:durableId="1895459987">
    <w:abstractNumId w:val="16"/>
  </w:num>
  <w:num w:numId="3" w16cid:durableId="971179551">
    <w:abstractNumId w:val="29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0"/>
  </w:num>
  <w:num w:numId="7" w16cid:durableId="2052678">
    <w:abstractNumId w:val="30"/>
  </w:num>
  <w:num w:numId="8" w16cid:durableId="956912769">
    <w:abstractNumId w:val="22"/>
  </w:num>
  <w:num w:numId="9" w16cid:durableId="907304088">
    <w:abstractNumId w:val="12"/>
  </w:num>
  <w:num w:numId="10" w16cid:durableId="1852835077">
    <w:abstractNumId w:val="31"/>
  </w:num>
  <w:num w:numId="11" w16cid:durableId="1441755681">
    <w:abstractNumId w:val="3"/>
  </w:num>
  <w:num w:numId="12" w16cid:durableId="1878469878">
    <w:abstractNumId w:val="19"/>
  </w:num>
  <w:num w:numId="13" w16cid:durableId="1301038098">
    <w:abstractNumId w:val="5"/>
  </w:num>
  <w:num w:numId="14" w16cid:durableId="1302883197">
    <w:abstractNumId w:val="23"/>
  </w:num>
  <w:num w:numId="15" w16cid:durableId="353263071">
    <w:abstractNumId w:val="4"/>
  </w:num>
  <w:num w:numId="16" w16cid:durableId="140006977">
    <w:abstractNumId w:val="9"/>
  </w:num>
  <w:num w:numId="17" w16cid:durableId="2109307921">
    <w:abstractNumId w:val="6"/>
  </w:num>
  <w:num w:numId="18" w16cid:durableId="1444299827">
    <w:abstractNumId w:val="34"/>
  </w:num>
  <w:num w:numId="19" w16cid:durableId="1064258209">
    <w:abstractNumId w:val="7"/>
  </w:num>
  <w:num w:numId="20" w16cid:durableId="52973640">
    <w:abstractNumId w:val="15"/>
  </w:num>
  <w:num w:numId="21" w16cid:durableId="2025744902">
    <w:abstractNumId w:val="21"/>
  </w:num>
  <w:num w:numId="22" w16cid:durableId="1811365322">
    <w:abstractNumId w:val="27"/>
  </w:num>
  <w:num w:numId="23" w16cid:durableId="1383209169">
    <w:abstractNumId w:val="28"/>
  </w:num>
  <w:num w:numId="24" w16cid:durableId="601106185">
    <w:abstractNumId w:val="35"/>
  </w:num>
  <w:num w:numId="25" w16cid:durableId="1759521374">
    <w:abstractNumId w:val="13"/>
  </w:num>
  <w:num w:numId="26" w16cid:durableId="402726658">
    <w:abstractNumId w:val="10"/>
  </w:num>
  <w:num w:numId="27" w16cid:durableId="956911087">
    <w:abstractNumId w:val="2"/>
  </w:num>
  <w:num w:numId="28" w16cid:durableId="1145319428">
    <w:abstractNumId w:val="33"/>
  </w:num>
  <w:num w:numId="29" w16cid:durableId="999499543">
    <w:abstractNumId w:val="14"/>
  </w:num>
  <w:num w:numId="30" w16cid:durableId="136651649">
    <w:abstractNumId w:val="17"/>
  </w:num>
  <w:num w:numId="31" w16cid:durableId="1737245906">
    <w:abstractNumId w:val="18"/>
  </w:num>
  <w:num w:numId="32" w16cid:durableId="24597606">
    <w:abstractNumId w:val="32"/>
  </w:num>
  <w:num w:numId="33" w16cid:durableId="1536653797">
    <w:abstractNumId w:val="26"/>
  </w:num>
  <w:num w:numId="34" w16cid:durableId="335573922">
    <w:abstractNumId w:val="8"/>
  </w:num>
  <w:num w:numId="35" w16cid:durableId="187372161">
    <w:abstractNumId w:val="11"/>
  </w:num>
  <w:num w:numId="36" w16cid:durableId="93987285">
    <w:abstractNumId w:val="25"/>
  </w:num>
  <w:num w:numId="37" w16cid:durableId="110206972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8FF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7C0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510"/>
    <w:rsid w:val="00094CF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7241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10CE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373DB"/>
    <w:rsid w:val="00240839"/>
    <w:rsid w:val="00240C4B"/>
    <w:rsid w:val="002413EF"/>
    <w:rsid w:val="002414A4"/>
    <w:rsid w:val="00245D06"/>
    <w:rsid w:val="002463E7"/>
    <w:rsid w:val="0025137E"/>
    <w:rsid w:val="00260A61"/>
    <w:rsid w:val="00260B2C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4C4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3AC2"/>
    <w:rsid w:val="0032693C"/>
    <w:rsid w:val="0033250F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6769B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480"/>
    <w:rsid w:val="003B2B60"/>
    <w:rsid w:val="003B547F"/>
    <w:rsid w:val="003B6721"/>
    <w:rsid w:val="003B7325"/>
    <w:rsid w:val="003C2252"/>
    <w:rsid w:val="003C275D"/>
    <w:rsid w:val="003C5858"/>
    <w:rsid w:val="003C5DE1"/>
    <w:rsid w:val="003C67A8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DC4"/>
    <w:rsid w:val="00430904"/>
    <w:rsid w:val="00430959"/>
    <w:rsid w:val="00432023"/>
    <w:rsid w:val="00433BF8"/>
    <w:rsid w:val="00434C0C"/>
    <w:rsid w:val="00436121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A1E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35D7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34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806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42E"/>
    <w:rsid w:val="005C1AF0"/>
    <w:rsid w:val="005C365A"/>
    <w:rsid w:val="005D2F87"/>
    <w:rsid w:val="005D34BD"/>
    <w:rsid w:val="005D4BC9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36DB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4C5E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507B"/>
    <w:rsid w:val="0071617E"/>
    <w:rsid w:val="00720017"/>
    <w:rsid w:val="00720A5A"/>
    <w:rsid w:val="00721000"/>
    <w:rsid w:val="00723DB5"/>
    <w:rsid w:val="0072404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708"/>
    <w:rsid w:val="007F36AC"/>
    <w:rsid w:val="007F4939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A79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D53A0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DBA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5F75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4B16"/>
    <w:rsid w:val="00B0545C"/>
    <w:rsid w:val="00B05F43"/>
    <w:rsid w:val="00B143FD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933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3B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22B5"/>
    <w:rsid w:val="00C225CA"/>
    <w:rsid w:val="00C26524"/>
    <w:rsid w:val="00C26BAC"/>
    <w:rsid w:val="00C312B9"/>
    <w:rsid w:val="00C33722"/>
    <w:rsid w:val="00C36291"/>
    <w:rsid w:val="00C36BE6"/>
    <w:rsid w:val="00C37A40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52BC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2DFC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0626"/>
    <w:rsid w:val="00D11268"/>
    <w:rsid w:val="00D16674"/>
    <w:rsid w:val="00D16837"/>
    <w:rsid w:val="00D2255A"/>
    <w:rsid w:val="00D235C6"/>
    <w:rsid w:val="00D23940"/>
    <w:rsid w:val="00D2420F"/>
    <w:rsid w:val="00D24AB4"/>
    <w:rsid w:val="00D24C13"/>
    <w:rsid w:val="00D30ED8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1C7F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25D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3E40"/>
    <w:rsid w:val="00E46A13"/>
    <w:rsid w:val="00E46A76"/>
    <w:rsid w:val="00E46F7B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67CE3"/>
    <w:rsid w:val="00E70142"/>
    <w:rsid w:val="00E70874"/>
    <w:rsid w:val="00E7364A"/>
    <w:rsid w:val="00E736F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518"/>
    <w:rsid w:val="00EB7C07"/>
    <w:rsid w:val="00EC312F"/>
    <w:rsid w:val="00EC4A03"/>
    <w:rsid w:val="00EC5E7B"/>
    <w:rsid w:val="00EC77B2"/>
    <w:rsid w:val="00ED0793"/>
    <w:rsid w:val="00ED438C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E1E"/>
    <w:rsid w:val="00F23DF3"/>
    <w:rsid w:val="00F27E9B"/>
    <w:rsid w:val="00F3026F"/>
    <w:rsid w:val="00F32081"/>
    <w:rsid w:val="00F323CB"/>
    <w:rsid w:val="00F32A16"/>
    <w:rsid w:val="00F34D81"/>
    <w:rsid w:val="00F361E3"/>
    <w:rsid w:val="00F41874"/>
    <w:rsid w:val="00F4369D"/>
    <w:rsid w:val="00F438FD"/>
    <w:rsid w:val="00F44B09"/>
    <w:rsid w:val="00F45279"/>
    <w:rsid w:val="00F54B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291C"/>
    <w:rsid w:val="00FA0A57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50D"/>
    <w:rsid w:val="00FE3477"/>
    <w:rsid w:val="00FE4C21"/>
    <w:rsid w:val="00FF2322"/>
    <w:rsid w:val="00FF4AD3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AD3"/>
    <w:rPr>
      <w:sz w:val="24"/>
      <w:szCs w:val="24"/>
    </w:rPr>
  </w:style>
  <w:style w:type="paragraph" w:customStyle="1" w:styleId="CharCharChar0">
    <w:name w:val="Char Char Char"/>
    <w:basedOn w:val="Normln"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is-ostrav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6106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Domov IRIS IRIS</cp:lastModifiedBy>
  <cp:revision>38</cp:revision>
  <cp:lastPrinted>2019-06-12T07:09:00Z</cp:lastPrinted>
  <dcterms:created xsi:type="dcterms:W3CDTF">2022-11-29T05:03:00Z</dcterms:created>
  <dcterms:modified xsi:type="dcterms:W3CDTF">2023-05-18T09:32:00Z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