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Info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Praha &lt;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 May 17, 2023 10:19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[EXT] objednávka č. 230131 na KS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Dobrý den,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Vaši objednávku 230131 MTZ A akceptujeme v plném rozsahu s celkovou výší plnění 75.092,- Kč bez DPH.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Děkujeme a přeji hezký den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Bahnschrift Light" w:hAnsi="Bahnschrift Light" w:cs="Calibri"/>
          <w:color w:val="2F5496"/>
          <w:sz w:val="20"/>
          <w:szCs w:val="20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…………………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Fakturant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Perfect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Distribution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a.s.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18"/>
          <w:szCs w:val="18"/>
        </w:rPr>
        <w:t>člen skupiny AGEL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areál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CTPark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Prague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Airport</w:t>
      </w:r>
      <w:proofErr w:type="spellEnd"/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16"/>
          <w:szCs w:val="16"/>
        </w:rPr>
        <w:t>Kněževes 185 </w:t>
      </w:r>
      <w:r>
        <w:rPr>
          <w:rFonts w:ascii="Calibri" w:hAnsi="Calibri" w:cs="Calibri"/>
          <w:color w:val="FF0000"/>
          <w:sz w:val="22"/>
          <w:szCs w:val="22"/>
        </w:rPr>
        <w:t>• </w:t>
      </w:r>
      <w:r>
        <w:rPr>
          <w:rFonts w:ascii="Calibri" w:hAnsi="Calibri" w:cs="Calibri"/>
          <w:color w:val="1F497D"/>
          <w:sz w:val="16"/>
          <w:szCs w:val="16"/>
        </w:rPr>
        <w:t>252 68 Kněževes, Praha západ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B0F0"/>
          <w:sz w:val="16"/>
          <w:szCs w:val="16"/>
        </w:rPr>
        <w:t> </w:t>
      </w:r>
    </w:p>
    <w:p w:rsidR="00F07A39" w:rsidRDefault="00F07A39" w:rsidP="00F07A39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B0F0"/>
          <w:sz w:val="16"/>
          <w:szCs w:val="16"/>
        </w:rPr>
        <w:t> </w:t>
      </w:r>
    </w:p>
    <w:p w:rsidR="00140211" w:rsidRDefault="00140211"/>
    <w:sectPr w:rsidR="0014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39"/>
    <w:rsid w:val="00140211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CE25"/>
  <w15:chartTrackingRefBased/>
  <w15:docId w15:val="{DB05777B-B42E-4DA6-96CF-C1ECEB9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F0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8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praha@pfd.ag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2023-05-17T11:05:00Z</dcterms:created>
  <dcterms:modified xsi:type="dcterms:W3CDTF">2023-05-17T11:05:00Z</dcterms:modified>
</cp:coreProperties>
</file>