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73D8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435F054D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F5B4107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>ve smyslu ust. § 2079 a násl. zákona č. 89/2012 Sb., občanský zákoník, v platném znění (dále jen „občanský zákoník“)</w:t>
      </w:r>
    </w:p>
    <w:p w14:paraId="5ADA6C27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4005E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653ED4B6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36733DA8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13350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70E1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74EA89BB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64B2CCEF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5734E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, ředitel</w:t>
      </w:r>
      <w:r w:rsidR="00C5734E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ka</w:t>
      </w:r>
      <w:r w:rsidR="008F6249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ve 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věcech smluvních </w:t>
      </w:r>
    </w:p>
    <w:p w14:paraId="3A6CCC5C" w14:textId="77777777" w:rsidR="007F5531" w:rsidRPr="005C48D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5C48D9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63666A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tel.: 737414579, </w:t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72064F" w:rsidRPr="005C48D9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7AE8AF99" w14:textId="77777777" w:rsidR="00613699" w:rsidRPr="00B65414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B654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4BA57A0A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2647BC68" w14:textId="77777777" w:rsidR="00D66F3A" w:rsidRPr="005C48D9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2913B567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654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422FF2A" w14:textId="77777777" w:rsidR="00D66F3A" w:rsidRPr="00B654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B65414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B654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7DA3EAC9" w14:textId="77777777" w:rsidR="00A67BEB" w:rsidRPr="005C48D9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14731D07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48D9">
        <w:rPr>
          <w:rFonts w:ascii="Times New Roman" w:hAnsi="Times New Roman"/>
          <w:iCs/>
          <w:sz w:val="24"/>
          <w:szCs w:val="24"/>
        </w:rPr>
        <w:t xml:space="preserve">(dále jen </w:t>
      </w:r>
      <w:r w:rsidRPr="005C48D9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5C48D9">
        <w:rPr>
          <w:rFonts w:ascii="Times New Roman" w:hAnsi="Times New Roman"/>
          <w:iCs/>
          <w:sz w:val="24"/>
          <w:szCs w:val="24"/>
        </w:rPr>
        <w:t xml:space="preserve">) </w:t>
      </w:r>
    </w:p>
    <w:p w14:paraId="1F2D60B3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14:paraId="2AE36D9F" w14:textId="77777777" w:rsidR="00D66F3A" w:rsidRPr="005C48D9" w:rsidRDefault="00570E19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="00D66F3A" w:rsidRPr="005C48D9">
        <w:rPr>
          <w:rFonts w:ascii="Times New Roman" w:hAnsi="Times New Roman"/>
          <w:b/>
          <w:bCs/>
          <w:sz w:val="24"/>
          <w:szCs w:val="24"/>
        </w:rPr>
        <w:tab/>
      </w:r>
      <w:r w:rsidR="0063666A">
        <w:rPr>
          <w:rFonts w:ascii="Times New Roman" w:hAnsi="Times New Roman"/>
          <w:b/>
          <w:sz w:val="24"/>
          <w:szCs w:val="24"/>
        </w:rPr>
        <w:t>Tomáš Strašík, KANTOR SPORT</w:t>
      </w:r>
    </w:p>
    <w:p w14:paraId="71F1483F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Sídlo: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63666A">
        <w:rPr>
          <w:rFonts w:ascii="Times New Roman" w:hAnsi="Times New Roman"/>
          <w:sz w:val="24"/>
          <w:szCs w:val="24"/>
          <w:lang w:eastAsia="en-US"/>
        </w:rPr>
        <w:t>Labská 13, 403 22 Ústí nad Labem</w:t>
      </w:r>
    </w:p>
    <w:p w14:paraId="506D90C5" w14:textId="77777777" w:rsidR="00D66F3A" w:rsidRPr="005C48D9" w:rsidRDefault="00C06A93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Zastoupený</w:t>
      </w:r>
      <w:r w:rsidR="00D66F3A" w:rsidRPr="005C48D9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D66F3A"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890B10" w:rsidRPr="00B65414">
        <w:rPr>
          <w:rFonts w:ascii="Times New Roman" w:hAnsi="Times New Roman"/>
          <w:sz w:val="24"/>
          <w:szCs w:val="24"/>
          <w:highlight w:val="black"/>
          <w:lang w:eastAsia="en-US"/>
        </w:rPr>
        <w:t>Mgr. Tomášem Strašíkem</w:t>
      </w:r>
    </w:p>
    <w:p w14:paraId="1657C763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IČ: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63666A">
        <w:rPr>
          <w:rFonts w:ascii="Times New Roman" w:hAnsi="Times New Roman"/>
          <w:sz w:val="24"/>
          <w:szCs w:val="24"/>
          <w:lang w:eastAsia="en-US"/>
        </w:rPr>
        <w:t>60227761</w:t>
      </w:r>
    </w:p>
    <w:p w14:paraId="4088D112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CZ</w:t>
      </w:r>
      <w:r w:rsidR="0063666A">
        <w:rPr>
          <w:rFonts w:ascii="Times New Roman" w:hAnsi="Times New Roman"/>
          <w:sz w:val="24"/>
          <w:szCs w:val="24"/>
          <w:lang w:eastAsia="en-US"/>
        </w:rPr>
        <w:t>60227761</w:t>
      </w:r>
    </w:p>
    <w:p w14:paraId="5BC96A8A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B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90B10" w:rsidRPr="00B654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Česká spořitelna</w:t>
      </w:r>
    </w:p>
    <w:p w14:paraId="59092984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90B10" w:rsidRPr="00B654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2330114093/0800</w:t>
      </w:r>
    </w:p>
    <w:p w14:paraId="4F8A90AF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společnost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a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1DD5A5A" w14:textId="77777777" w:rsidR="00D66F3A" w:rsidRPr="005C48D9" w:rsidRDefault="00890B10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90B10">
        <w:rPr>
          <w:rFonts w:ascii="Times New Roman" w:hAnsi="Times New Roman"/>
          <w:sz w:val="24"/>
          <w:szCs w:val="24"/>
          <w:lang w:eastAsia="cs-CZ"/>
        </w:rPr>
        <w:t>registrován u Krajského soudu v Ústí nad Labem, oddíl A, vložka 12965</w:t>
      </w:r>
    </w:p>
    <w:p w14:paraId="73DFDAD3" w14:textId="77777777" w:rsidR="00C06A93" w:rsidRPr="00B65414" w:rsidRDefault="00C06A93" w:rsidP="00C06A93">
      <w:pPr>
        <w:pStyle w:val="dajeOSmluvnStran"/>
        <w:tabs>
          <w:tab w:val="left" w:pos="360"/>
          <w:tab w:val="left" w:pos="2268"/>
        </w:tabs>
        <w:ind w:left="0"/>
        <w:rPr>
          <w:rFonts w:eastAsia="Calibri"/>
          <w:bCs/>
          <w:szCs w:val="24"/>
          <w:highlight w:val="black"/>
          <w:lang w:eastAsia="en-US"/>
        </w:rPr>
      </w:pPr>
      <w:r>
        <w:rPr>
          <w:rFonts w:eastAsia="Calibri"/>
          <w:bCs/>
          <w:szCs w:val="24"/>
          <w:lang w:eastAsia="en-US"/>
        </w:rPr>
        <w:t>Kontaktní osoby:</w:t>
      </w:r>
      <w:r>
        <w:rPr>
          <w:rFonts w:eastAsia="Calibri"/>
          <w:bCs/>
          <w:szCs w:val="24"/>
          <w:lang w:eastAsia="en-US"/>
        </w:rPr>
        <w:tab/>
      </w:r>
      <w:r w:rsidR="00890B10" w:rsidRPr="00B65414">
        <w:rPr>
          <w:rFonts w:eastAsia="Calibri"/>
          <w:bCs/>
          <w:szCs w:val="24"/>
          <w:highlight w:val="black"/>
          <w:lang w:eastAsia="en-US"/>
        </w:rPr>
        <w:t>Mgr. Tomáš Strašík</w:t>
      </w:r>
      <w:r w:rsidR="00570E19" w:rsidRPr="00B65414">
        <w:rPr>
          <w:rFonts w:eastAsia="Calibri"/>
          <w:bCs/>
          <w:szCs w:val="24"/>
          <w:highlight w:val="black"/>
          <w:lang w:eastAsia="en-US"/>
        </w:rPr>
        <w:t>, tel.</w:t>
      </w:r>
      <w:r w:rsidR="007F5531" w:rsidRPr="00B65414">
        <w:rPr>
          <w:rFonts w:eastAsia="Calibri"/>
          <w:bCs/>
          <w:szCs w:val="24"/>
          <w:highlight w:val="black"/>
          <w:lang w:eastAsia="en-US"/>
        </w:rPr>
        <w:t xml:space="preserve">: </w:t>
      </w:r>
      <w:r w:rsidR="00890B10" w:rsidRPr="00B65414">
        <w:rPr>
          <w:rFonts w:eastAsia="Calibri"/>
          <w:bCs/>
          <w:szCs w:val="24"/>
          <w:highlight w:val="black"/>
          <w:lang w:eastAsia="en-US"/>
        </w:rPr>
        <w:t>602-410-548</w:t>
      </w:r>
      <w:r w:rsidR="007F5531" w:rsidRPr="00B65414">
        <w:rPr>
          <w:rFonts w:eastAsia="Calibri"/>
          <w:bCs/>
          <w:szCs w:val="24"/>
          <w:highlight w:val="black"/>
          <w:lang w:eastAsia="en-US"/>
        </w:rPr>
        <w:t xml:space="preserve">, </w:t>
      </w:r>
    </w:p>
    <w:p w14:paraId="6DDAD054" w14:textId="77777777" w:rsidR="00D66F3A" w:rsidRPr="00B65414" w:rsidRDefault="00C06A93" w:rsidP="00C06A93">
      <w:pPr>
        <w:pStyle w:val="dajeOSmluvnStran"/>
        <w:tabs>
          <w:tab w:val="left" w:pos="360"/>
          <w:tab w:val="left" w:pos="2268"/>
        </w:tabs>
        <w:ind w:left="0"/>
        <w:rPr>
          <w:rFonts w:eastAsia="Calibri"/>
          <w:bCs/>
          <w:szCs w:val="24"/>
          <w:lang w:eastAsia="en-US"/>
        </w:rPr>
      </w:pPr>
      <w:r w:rsidRPr="00B65414">
        <w:rPr>
          <w:rFonts w:eastAsia="Calibri"/>
          <w:bCs/>
          <w:szCs w:val="24"/>
          <w:highlight w:val="black"/>
          <w:lang w:eastAsia="en-US"/>
        </w:rPr>
        <w:tab/>
      </w:r>
      <w:r w:rsidRPr="00B65414">
        <w:rPr>
          <w:rFonts w:eastAsia="Calibri"/>
          <w:bCs/>
          <w:szCs w:val="24"/>
          <w:highlight w:val="black"/>
          <w:lang w:eastAsia="en-US"/>
        </w:rPr>
        <w:tab/>
      </w:r>
      <w:r w:rsidR="007F5531" w:rsidRPr="00B65414">
        <w:rPr>
          <w:rFonts w:eastAsia="Calibri"/>
          <w:bCs/>
          <w:szCs w:val="24"/>
          <w:highlight w:val="black"/>
          <w:lang w:eastAsia="en-US"/>
        </w:rPr>
        <w:t xml:space="preserve">e-mail: </w:t>
      </w:r>
      <w:hyperlink r:id="rId10" w:history="1">
        <w:r w:rsidR="00890B10" w:rsidRPr="00B65414">
          <w:rPr>
            <w:rStyle w:val="Hypertextovodkaz"/>
            <w:rFonts w:eastAsia="Calibri"/>
            <w:bCs/>
            <w:color w:val="auto"/>
            <w:szCs w:val="24"/>
            <w:highlight w:val="black"/>
            <w:lang w:eastAsia="en-US"/>
          </w:rPr>
          <w:t>kantor.sport@kantorsport.cz</w:t>
        </w:r>
      </w:hyperlink>
    </w:p>
    <w:p w14:paraId="7E771422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94C52A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400C1667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454AC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48F10980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6441F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5704430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5EF4A0A1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9C32D5B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C06A93">
        <w:rPr>
          <w:szCs w:val="24"/>
        </w:rPr>
        <w:t>,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7FAFF956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1CFD4D0F" w14:textId="77777777" w:rsidR="00D66F3A" w:rsidRPr="005C48D9" w:rsidRDefault="00D66F3A" w:rsidP="006D4121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5C48D9">
        <w:rPr>
          <w:szCs w:val="24"/>
        </w:rPr>
        <w:t xml:space="preserve">Účelem </w:t>
      </w:r>
      <w:r w:rsidR="00A67BEB" w:rsidRPr="005C48D9">
        <w:rPr>
          <w:szCs w:val="24"/>
        </w:rPr>
        <w:t xml:space="preserve">této </w:t>
      </w:r>
      <w:r w:rsidRPr="005C48D9">
        <w:rPr>
          <w:szCs w:val="24"/>
        </w:rPr>
        <w:t>smlouvy je</w:t>
      </w:r>
      <w:r w:rsidR="00613699" w:rsidRPr="005C48D9">
        <w:rPr>
          <w:szCs w:val="24"/>
        </w:rPr>
        <w:t xml:space="preserve"> realizace nákupu </w:t>
      </w:r>
      <w:r w:rsidR="0063666A">
        <w:t>sportovních potřeb</w:t>
      </w:r>
      <w:r w:rsidR="009118DF" w:rsidRPr="005C48D9">
        <w:rPr>
          <w:szCs w:val="24"/>
        </w:rPr>
        <w:t xml:space="preserve">. Nákup je financován </w:t>
      </w:r>
      <w:r w:rsidR="009118DF">
        <w:t>vlastní prostředky v rozpočtu zadavatele (dále jen „ONIV“) určené k pořízení vybavení pro výuku</w:t>
      </w:r>
      <w:r w:rsidR="0063666A">
        <w:t xml:space="preserve"> tělesné výchovy</w:t>
      </w:r>
      <w:r w:rsidR="009118DF">
        <w:t xml:space="preserve"> v souladu s podmínkami stanovenými zřizovatelem, tj. Ústeckým krajem.</w:t>
      </w:r>
      <w:r w:rsidR="009E5F0D">
        <w:t xml:space="preserve"> </w:t>
      </w:r>
      <w:r w:rsidR="00531C3B">
        <w:t xml:space="preserve"> </w:t>
      </w:r>
    </w:p>
    <w:p w14:paraId="3C81F2D2" w14:textId="77777777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604D28DF" w14:textId="77777777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0B25D0E7" w14:textId="77777777" w:rsidR="0019105C" w:rsidRDefault="0019105C" w:rsidP="005C48D9">
      <w:pPr>
        <w:pStyle w:val="OdstavecSmlouvy"/>
        <w:keepLines w:val="0"/>
        <w:tabs>
          <w:tab w:val="clear" w:pos="360"/>
        </w:tabs>
        <w:spacing w:after="0"/>
      </w:pPr>
    </w:p>
    <w:p w14:paraId="44CBD1E2" w14:textId="77777777" w:rsidR="0063666A" w:rsidRDefault="0063666A" w:rsidP="005C48D9">
      <w:pPr>
        <w:pStyle w:val="OdstavecSmlouvy"/>
        <w:keepLines w:val="0"/>
        <w:tabs>
          <w:tab w:val="clear" w:pos="360"/>
        </w:tabs>
        <w:spacing w:after="0"/>
      </w:pPr>
    </w:p>
    <w:p w14:paraId="5A3FAC22" w14:textId="77777777" w:rsidR="0063666A" w:rsidRDefault="0063666A" w:rsidP="005C48D9">
      <w:pPr>
        <w:pStyle w:val="OdstavecSmlouvy"/>
        <w:keepLines w:val="0"/>
        <w:tabs>
          <w:tab w:val="clear" w:pos="360"/>
        </w:tabs>
        <w:spacing w:after="0"/>
      </w:pPr>
    </w:p>
    <w:p w14:paraId="57BB76CE" w14:textId="77777777" w:rsidR="005C48D9" w:rsidRPr="005C48D9" w:rsidRDefault="005C48D9" w:rsidP="005C48D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4DC9B09A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4D88CFC6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1497B1E1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1A8FBB24" w14:textId="77777777" w:rsidR="001D57B9" w:rsidRPr="008D11D0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63666A">
        <w:rPr>
          <w:rFonts w:ascii="Times New Roman" w:hAnsi="Times New Roman"/>
          <w:sz w:val="24"/>
          <w:szCs w:val="24"/>
        </w:rPr>
        <w:t>sportovních potřeb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5C48D9">
        <w:rPr>
          <w:rFonts w:ascii="Times New Roman" w:hAnsi="Times New Roman"/>
          <w:sz w:val="24"/>
          <w:szCs w:val="24"/>
        </w:rPr>
        <w:t> </w:t>
      </w:r>
      <w:r w:rsidR="00AE5AF7" w:rsidRPr="008D11D0">
        <w:rPr>
          <w:rFonts w:ascii="Times New Roman" w:hAnsi="Times New Roman"/>
          <w:sz w:val="24"/>
          <w:szCs w:val="24"/>
        </w:rPr>
        <w:t>přílo</w:t>
      </w:r>
      <w:r w:rsidR="005C48D9">
        <w:rPr>
          <w:rFonts w:ascii="Times New Roman" w:hAnsi="Times New Roman"/>
          <w:sz w:val="24"/>
          <w:szCs w:val="24"/>
        </w:rPr>
        <w:t xml:space="preserve">ze č.1 </w:t>
      </w:r>
      <w:r w:rsidR="000F2E7F" w:rsidRPr="008D11D0">
        <w:rPr>
          <w:rFonts w:ascii="Times New Roman" w:hAnsi="Times New Roman"/>
          <w:sz w:val="24"/>
          <w:szCs w:val="24"/>
        </w:rPr>
        <w:t>„</w:t>
      </w:r>
      <w:r w:rsidR="00AE5AF7" w:rsidRPr="008D11D0">
        <w:rPr>
          <w:rFonts w:ascii="Times New Roman" w:hAnsi="Times New Roman"/>
          <w:sz w:val="24"/>
          <w:szCs w:val="24"/>
        </w:rPr>
        <w:t>ONIV</w:t>
      </w:r>
      <w:r w:rsidR="0063666A">
        <w:rPr>
          <w:rFonts w:ascii="Times New Roman" w:hAnsi="Times New Roman"/>
          <w:sz w:val="24"/>
          <w:szCs w:val="24"/>
        </w:rPr>
        <w:t xml:space="preserve"> – sportovní potřeby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="00005432">
        <w:rPr>
          <w:rFonts w:ascii="Times New Roman" w:hAnsi="Times New Roman"/>
          <w:sz w:val="24"/>
          <w:szCs w:val="24"/>
        </w:rPr>
        <w:t>, včetně cen za jednotlivé položky</w:t>
      </w:r>
      <w:r w:rsidR="00531C3B">
        <w:rPr>
          <w:rFonts w:ascii="Times New Roman" w:hAnsi="Times New Roman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sz w:val="24"/>
          <w:szCs w:val="24"/>
        </w:rPr>
        <w:t xml:space="preserve">a jsou ve shodě s </w:t>
      </w:r>
      <w:r w:rsidRPr="008D11D0">
        <w:rPr>
          <w:rFonts w:ascii="Times New Roman" w:hAnsi="Times New Roman"/>
          <w:sz w:val="24"/>
          <w:szCs w:val="24"/>
        </w:rPr>
        <w:t xml:space="preserve">nabídkou </w:t>
      </w:r>
      <w:r w:rsidR="00AE5AF7"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="00AE5AF7"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170B029D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1C6FECCC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0CDC0496" w14:textId="77777777" w:rsidR="00D66F3A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6FA8A3FD" w14:textId="77777777" w:rsidR="0091732C" w:rsidRPr="008D11D0" w:rsidRDefault="0091732C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3A81546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5244FBB7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3B797ACA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3E687305" w14:textId="77777777" w:rsidR="009118DF" w:rsidRPr="00166D03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6D03">
        <w:rPr>
          <w:rFonts w:ascii="Times New Roman" w:hAnsi="Times New Roman"/>
          <w:sz w:val="24"/>
          <w:szCs w:val="24"/>
        </w:rPr>
        <w:t xml:space="preserve">Prodávající </w:t>
      </w:r>
      <w:r w:rsidR="00334D09" w:rsidRPr="00166D03">
        <w:rPr>
          <w:rFonts w:ascii="Times New Roman" w:hAnsi="Times New Roman"/>
          <w:sz w:val="24"/>
          <w:szCs w:val="24"/>
        </w:rPr>
        <w:t xml:space="preserve">se zavazuje předat kupujícímu předmět koupě s veškerým příslušenstvím během </w:t>
      </w:r>
      <w:r w:rsidR="00B0011C" w:rsidRPr="00166D03">
        <w:rPr>
          <w:rFonts w:ascii="Times New Roman" w:hAnsi="Times New Roman"/>
          <w:sz w:val="24"/>
          <w:szCs w:val="24"/>
        </w:rPr>
        <w:t>20.-21.týdne 2023</w:t>
      </w:r>
      <w:r w:rsidR="00334D09" w:rsidRPr="00166D03">
        <w:rPr>
          <w:rFonts w:ascii="Times New Roman" w:hAnsi="Times New Roman"/>
          <w:sz w:val="24"/>
          <w:szCs w:val="24"/>
        </w:rPr>
        <w:t>, nejpozději však do 3</w:t>
      </w:r>
      <w:r w:rsidR="00B0011C" w:rsidRPr="00166D03">
        <w:rPr>
          <w:rFonts w:ascii="Times New Roman" w:hAnsi="Times New Roman"/>
          <w:sz w:val="24"/>
          <w:szCs w:val="24"/>
        </w:rPr>
        <w:t>0</w:t>
      </w:r>
      <w:r w:rsidR="00334D09" w:rsidRPr="00166D03">
        <w:rPr>
          <w:rFonts w:ascii="Times New Roman" w:hAnsi="Times New Roman"/>
          <w:sz w:val="24"/>
          <w:szCs w:val="24"/>
        </w:rPr>
        <w:t xml:space="preserve">. </w:t>
      </w:r>
      <w:r w:rsidR="00B0011C" w:rsidRPr="00166D03">
        <w:rPr>
          <w:rFonts w:ascii="Times New Roman" w:hAnsi="Times New Roman"/>
          <w:sz w:val="24"/>
          <w:szCs w:val="24"/>
        </w:rPr>
        <w:t>6</w:t>
      </w:r>
      <w:r w:rsidR="00334D09" w:rsidRPr="00166D03">
        <w:rPr>
          <w:rFonts w:ascii="Times New Roman" w:hAnsi="Times New Roman"/>
          <w:sz w:val="24"/>
          <w:szCs w:val="24"/>
        </w:rPr>
        <w:t>. 202</w:t>
      </w:r>
      <w:r w:rsidR="00B0011C" w:rsidRPr="00166D03">
        <w:rPr>
          <w:rFonts w:ascii="Times New Roman" w:hAnsi="Times New Roman"/>
          <w:sz w:val="24"/>
          <w:szCs w:val="24"/>
        </w:rPr>
        <w:t>3</w:t>
      </w:r>
      <w:r w:rsidR="00334D09" w:rsidRPr="00166D03">
        <w:rPr>
          <w:rFonts w:ascii="Times New Roman" w:hAnsi="Times New Roman"/>
          <w:sz w:val="24"/>
          <w:szCs w:val="24"/>
        </w:rPr>
        <w:t>.</w:t>
      </w:r>
    </w:p>
    <w:p w14:paraId="48116646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E8D7501" w14:textId="77777777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63666A">
        <w:rPr>
          <w:rFonts w:ascii="Times New Roman" w:hAnsi="Times New Roman"/>
          <w:sz w:val="24"/>
          <w:szCs w:val="24"/>
        </w:rPr>
        <w:t xml:space="preserve">Obchodní akademie, </w:t>
      </w:r>
      <w:r w:rsidR="004E4EB5">
        <w:rPr>
          <w:rFonts w:ascii="Times New Roman" w:hAnsi="Times New Roman"/>
          <w:sz w:val="24"/>
          <w:szCs w:val="24"/>
        </w:rPr>
        <w:t>Černovická 2901</w:t>
      </w:r>
      <w:r w:rsidR="00AE5AF7" w:rsidRPr="008D11D0">
        <w:rPr>
          <w:rFonts w:ascii="Times New Roman" w:hAnsi="Times New Roman"/>
          <w:sz w:val="24"/>
          <w:szCs w:val="24"/>
        </w:rPr>
        <w:t xml:space="preserve">, 430 03 Chomutov  </w:t>
      </w:r>
    </w:p>
    <w:p w14:paraId="73CE7E94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ADE17" w14:textId="77777777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</w:t>
      </w:r>
      <w:r w:rsidR="00334D09">
        <w:rPr>
          <w:rFonts w:ascii="Times New Roman" w:hAnsi="Times New Roman"/>
          <w:sz w:val="24"/>
          <w:szCs w:val="24"/>
        </w:rPr>
        <w:t>ze</w:t>
      </w:r>
      <w:r w:rsidR="00B627A5">
        <w:rPr>
          <w:rFonts w:ascii="Times New Roman" w:hAnsi="Times New Roman"/>
          <w:sz w:val="24"/>
          <w:szCs w:val="24"/>
        </w:rPr>
        <w:t xml:space="preserve">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0E86E89B" w14:textId="77777777" w:rsidR="00D66F3A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64A63" w14:textId="77777777" w:rsidR="0091732C" w:rsidRPr="0019105C" w:rsidRDefault="0091732C" w:rsidP="00101FC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8B0AE20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5D14EC9F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6C6784A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7017146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5D633B5B" w14:textId="77777777" w:rsidR="00F20114" w:rsidRPr="007F5531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2E9035A" w14:textId="77777777" w:rsidR="00D66F3A" w:rsidRPr="007F5531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cena bez DPH</w:t>
      </w:r>
      <w:r w:rsidRPr="007F5531">
        <w:rPr>
          <w:rFonts w:ascii="Times New Roman" w:hAnsi="Times New Roman" w:cs="Times New Roman"/>
        </w:rPr>
        <w:tab/>
      </w:r>
      <w:r w:rsidR="00DA7E7E">
        <w:rPr>
          <w:rFonts w:ascii="Times New Roman" w:hAnsi="Times New Roman" w:cs="Times New Roman"/>
        </w:rPr>
        <w:t>50.714,05</w:t>
      </w:r>
      <w:r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00325FC0" w14:textId="77777777" w:rsidR="00D66F3A" w:rsidRPr="007F5531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</w:t>
      </w:r>
      <w:r w:rsidR="00D66F3A" w:rsidRPr="007F5531">
        <w:rPr>
          <w:rFonts w:ascii="Times New Roman" w:hAnsi="Times New Roman" w:cs="Times New Roman"/>
        </w:rPr>
        <w:t xml:space="preserve">DPH </w:t>
      </w:r>
      <w:r w:rsidR="00D66F3A" w:rsidRPr="007F5531">
        <w:rPr>
          <w:rFonts w:ascii="Times New Roman" w:hAnsi="Times New Roman" w:cs="Times New Roman"/>
        </w:rPr>
        <w:tab/>
      </w:r>
      <w:r w:rsidR="00D94CA6">
        <w:rPr>
          <w:rFonts w:ascii="Times New Roman" w:hAnsi="Times New Roman" w:cs="Times New Roman"/>
        </w:rPr>
        <w:t>10.649,95</w:t>
      </w:r>
      <w:r w:rsidR="00D66F3A"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27900A3D" w14:textId="77777777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53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DA7E7E">
        <w:rPr>
          <w:rFonts w:ascii="Times New Roman" w:hAnsi="Times New Roman"/>
          <w:b/>
          <w:bCs/>
          <w:sz w:val="24"/>
          <w:szCs w:val="24"/>
        </w:rPr>
        <w:t xml:space="preserve">   61.364,00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BE5968F" w14:textId="77777777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r w:rsidR="00D94CA6">
        <w:rPr>
          <w:rFonts w:ascii="Times New Roman" w:hAnsi="Times New Roman"/>
          <w:b/>
          <w:sz w:val="24"/>
          <w:szCs w:val="24"/>
          <w:lang w:eastAsia="en-US"/>
        </w:rPr>
        <w:t>šedesátjedentísíctřistašedesátčtyřikoruny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11CDD05B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1FBEF5D2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BE94D0E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03E1523" w14:textId="77777777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Součástí sjednané ceny jsou veškeré práce a dodávky, poplatky, náklady prodávajícího nutné pro realizaci kompletní dodávky</w:t>
      </w:r>
      <w:r w:rsidR="004E4EB5">
        <w:rPr>
          <w:rFonts w:ascii="Times New Roman" w:hAnsi="Times New Roman"/>
          <w:sz w:val="24"/>
          <w:szCs w:val="24"/>
        </w:rPr>
        <w:t>, vč. dopravy na místo předání</w:t>
      </w:r>
      <w:r w:rsidRPr="00C15A5C">
        <w:rPr>
          <w:rFonts w:ascii="Times New Roman" w:hAnsi="Times New Roman"/>
          <w:sz w:val="24"/>
          <w:szCs w:val="24"/>
        </w:rPr>
        <w:t xml:space="preserve">. </w:t>
      </w:r>
    </w:p>
    <w:p w14:paraId="28BDADB8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FBE22B2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0C45B8A5" w14:textId="77777777" w:rsidR="000F2E7F" w:rsidRPr="0019105C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14:paraId="69C94B56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6A5C0153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66ABBA3F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514EEB5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F167E34" w14:textId="77777777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>převzetí předmětu koupě</w:t>
      </w:r>
      <w:r w:rsidR="00B627A5">
        <w:rPr>
          <w:rFonts w:ascii="Times New Roman" w:hAnsi="Times New Roman"/>
          <w:sz w:val="24"/>
          <w:szCs w:val="24"/>
        </w:rPr>
        <w:t xml:space="preserve">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4CF472AC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58E00BF8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263820FB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25608A3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49962BAF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116A394" w14:textId="77777777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7C8E37C8" w14:textId="77777777" w:rsidR="008C0482" w:rsidRPr="008D11D0" w:rsidRDefault="008C0482" w:rsidP="008C0482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</w:p>
    <w:p w14:paraId="76FEFDBF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F597F99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1780EA20" w14:textId="7777777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47A2836C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098B01C" w14:textId="77777777" w:rsidR="00D66F3A" w:rsidRPr="000267B3" w:rsidRDefault="0091732C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Fakturované</w:t>
      </w:r>
      <w:r w:rsidR="00D66F3A" w:rsidRPr="000267B3">
        <w:rPr>
          <w:rFonts w:ascii="Times New Roman" w:hAnsi="Times New Roman"/>
          <w:sz w:val="24"/>
          <w:szCs w:val="24"/>
        </w:rPr>
        <w:t xml:space="preserve"> částky (bez DPH i včetně DPH) nebudou na faktuře zaokrouhlovány a budou uváděny s přesností na haléře. </w:t>
      </w:r>
    </w:p>
    <w:p w14:paraId="3CA8EEE6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7E1C765" w14:textId="77777777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6BAB3F5C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3AAAC2D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659C08A5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E049B07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01BC2367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29A6E150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21E8B11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68C9BCDA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E5EE173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38FBB29F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B00604B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487AF19D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F94021B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5C219921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FFC603B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00477B8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2671C834" w14:textId="77777777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61A3E1E" w14:textId="77777777" w:rsidR="00412C5F" w:rsidRPr="00101FC0" w:rsidRDefault="00412C5F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7CDECD2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62033218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2FA59B96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7F4E8D4C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038FAB94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9B5EFC2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13BBB8A6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A7839C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6C70C033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C8A5E23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234A371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712F2C30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39BF234D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74BA102B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0B419A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47E06DB6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7DDC4E0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1D66C1C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9FE6AD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305610A0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70C8A576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5C8089D0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</w:t>
      </w:r>
      <w:r w:rsidR="00890B10">
        <w:rPr>
          <w:b w:val="0"/>
          <w:szCs w:val="24"/>
        </w:rPr>
        <w:t>0</w:t>
      </w:r>
      <w:r w:rsidR="00D13DC1" w:rsidRPr="00D13DC1">
        <w:rPr>
          <w:b w:val="0"/>
          <w:szCs w:val="24"/>
        </w:rPr>
        <w:t>1% z celkové kupní ceny s DPH</w:t>
      </w:r>
    </w:p>
    <w:p w14:paraId="4A33EAC5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44C26B39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71983382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890B10">
        <w:rPr>
          <w:rFonts w:ascii="Times New Roman" w:hAnsi="Times New Roman"/>
          <w:sz w:val="24"/>
          <w:szCs w:val="24"/>
        </w:rPr>
        <w:t>0</w:t>
      </w:r>
      <w:r w:rsidR="00D13DC1" w:rsidRPr="00D13DC1">
        <w:rPr>
          <w:rFonts w:ascii="Times New Roman" w:hAnsi="Times New Roman"/>
          <w:sz w:val="24"/>
          <w:szCs w:val="24"/>
        </w:rPr>
        <w:t>1% z celkové kupní ceny s DPH</w:t>
      </w:r>
    </w:p>
    <w:p w14:paraId="76FCFF34" w14:textId="77777777" w:rsidR="000267B3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62D76D31" w14:textId="77777777" w:rsidR="0019105C" w:rsidRPr="00FD16EF" w:rsidRDefault="0019105C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7D84E204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6DDF9EE6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36DFC9AD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4248CFE2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7E5BE95D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71493F1" w14:textId="77777777" w:rsidR="0019105C" w:rsidRPr="00101FC0" w:rsidRDefault="0019105C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B7C4177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48E865EB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169AD399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CB44549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AD2DDE8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697E5B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4C53C46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A20B4B" w14:textId="77777777" w:rsidR="00890B10" w:rsidRDefault="004D6F9D" w:rsidP="00890B10">
      <w:pPr>
        <w:pStyle w:val="Smlouva-slo0"/>
        <w:widowControl w:val="0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 w:rsidRPr="005C48D9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</w:t>
      </w:r>
      <w:r w:rsidRPr="005C48D9">
        <w:rPr>
          <w:rFonts w:ascii="Times New Roman" w:hAnsi="Times New Roman" w:cs="Times New Roman"/>
        </w:rPr>
        <w:lastRenderedPageBreak/>
        <w:t>uveřejnění této smlouvy byla zaslána prodávajícímu na e-</w:t>
      </w:r>
      <w:r w:rsidRPr="00B65414">
        <w:rPr>
          <w:rFonts w:ascii="Times New Roman" w:hAnsi="Times New Roman" w:cs="Times New Roman"/>
          <w:highlight w:val="black"/>
        </w:rPr>
        <w:t xml:space="preserve">mail </w:t>
      </w:r>
      <w:hyperlink r:id="rId11" w:history="1">
        <w:r w:rsidR="00890B10" w:rsidRPr="00B65414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kantor.sport@kantorsport.cz</w:t>
        </w:r>
      </w:hyperlink>
    </w:p>
    <w:p w14:paraId="1798035B" w14:textId="77777777" w:rsidR="004D6F9D" w:rsidRPr="005C48D9" w:rsidRDefault="004D6F9D" w:rsidP="00D94CA6">
      <w:pPr>
        <w:pStyle w:val="Smlouva-slo0"/>
        <w:widowControl w:val="0"/>
        <w:tabs>
          <w:tab w:val="clear" w:pos="720"/>
        </w:tabs>
        <w:spacing w:before="0" w:line="240" w:lineRule="auto"/>
        <w:ind w:left="357" w:firstLine="0"/>
        <w:rPr>
          <w:rFonts w:ascii="Times New Roman" w:hAnsi="Times New Roman" w:cs="Times New Roman"/>
        </w:rPr>
      </w:pPr>
      <w:r w:rsidRPr="005C48D9">
        <w:rPr>
          <w:rFonts w:ascii="Times New Roman" w:hAnsi="Times New Roman" w:cs="Times New Roman"/>
        </w:rPr>
        <w:t xml:space="preserve">či do datové schránky </w:t>
      </w:r>
      <w:r w:rsidR="00890B10" w:rsidRPr="00B65414">
        <w:rPr>
          <w:rFonts w:ascii="Times New Roman" w:hAnsi="Times New Roman" w:cs="Times New Roman"/>
          <w:highlight w:val="black"/>
        </w:rPr>
        <w:t>icckgjg</w:t>
      </w:r>
      <w:r w:rsidR="00690B74" w:rsidRPr="00B65414">
        <w:rPr>
          <w:rFonts w:ascii="Times New Roman" w:hAnsi="Times New Roman" w:cs="Times New Roman"/>
          <w:highlight w:val="black"/>
        </w:rPr>
        <w:t>.</w:t>
      </w:r>
      <w:r w:rsidRPr="005C48D9">
        <w:rPr>
          <w:rFonts w:ascii="Times New Roman" w:hAnsi="Times New Roman" w:cs="Times New Roman"/>
        </w:rPr>
        <w:t xml:space="preserve">  </w:t>
      </w:r>
    </w:p>
    <w:p w14:paraId="3DC57BFF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C32B97B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21028757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790EDE68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4A7738C3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AC969C7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7BEBE86E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2440CECE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54A7EA3" w14:textId="77777777" w:rsidR="004D6F9D" w:rsidRPr="0019105C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75E93031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0DEAC71B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02E521AA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2B493BD8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899315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3FDC4D4B" w14:textId="77777777" w:rsidR="00195DD9" w:rsidRDefault="004D6F9D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018E06B9" w14:textId="77777777" w:rsidR="00195DD9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40A49DD4" w14:textId="77777777" w:rsidR="00195DD9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87D05">
        <w:rPr>
          <w:rFonts w:ascii="Times New Roman" w:hAnsi="Times New Roman" w:cs="Times New Roman"/>
        </w:rPr>
        <w:t>Smluvní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obsahem </w:t>
      </w:r>
    </w:p>
    <w:p w14:paraId="0647B7D2" w14:textId="77777777" w:rsidR="00F87D05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08639E2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0B6EDBF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B9F57" w14:textId="77777777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2AC9644" w14:textId="77777777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20D5105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4E4EB5">
        <w:rPr>
          <w:rFonts w:ascii="Times New Roman" w:hAnsi="Times New Roman" w:cs="Times New Roman"/>
        </w:rPr>
        <w:t> Ústí nad Labem</w:t>
      </w:r>
    </w:p>
    <w:p w14:paraId="43EA0E0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27F709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93CD05C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D124D2F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27F64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721F61A5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prodávající </w:t>
      </w:r>
    </w:p>
    <w:p w14:paraId="38F1FA11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33338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4CA6" w:rsidRPr="00B65414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B65414">
        <w:rPr>
          <w:rFonts w:ascii="Times New Roman" w:hAnsi="Times New Roman"/>
          <w:sz w:val="24"/>
          <w:szCs w:val="24"/>
          <w:highlight w:val="black"/>
        </w:rPr>
        <w:tab/>
      </w:r>
      <w:r w:rsidRPr="00B65414">
        <w:rPr>
          <w:rFonts w:ascii="Times New Roman" w:hAnsi="Times New Roman"/>
          <w:sz w:val="24"/>
          <w:szCs w:val="24"/>
          <w:highlight w:val="black"/>
        </w:rPr>
        <w:tab/>
      </w:r>
      <w:r w:rsidRPr="00B65414">
        <w:rPr>
          <w:rFonts w:ascii="Times New Roman" w:hAnsi="Times New Roman"/>
          <w:sz w:val="24"/>
          <w:szCs w:val="24"/>
          <w:highlight w:val="black"/>
        </w:rPr>
        <w:tab/>
      </w:r>
      <w:r w:rsidRPr="00B65414">
        <w:rPr>
          <w:rFonts w:ascii="Times New Roman" w:hAnsi="Times New Roman"/>
          <w:sz w:val="24"/>
          <w:szCs w:val="24"/>
          <w:highlight w:val="black"/>
        </w:rPr>
        <w:tab/>
      </w:r>
      <w:r w:rsidR="00690B74" w:rsidRPr="00B65414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890B10" w:rsidRPr="00B65414">
        <w:rPr>
          <w:rFonts w:ascii="Times New Roman" w:hAnsi="Times New Roman"/>
          <w:sz w:val="24"/>
          <w:szCs w:val="24"/>
          <w:highlight w:val="black"/>
        </w:rPr>
        <w:t>Mgr.</w:t>
      </w:r>
      <w:r w:rsidR="00C06A93" w:rsidRPr="00B65414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890B10" w:rsidRPr="00B65414">
        <w:rPr>
          <w:rFonts w:ascii="Times New Roman" w:hAnsi="Times New Roman"/>
          <w:sz w:val="24"/>
          <w:szCs w:val="24"/>
          <w:highlight w:val="black"/>
        </w:rPr>
        <w:t>Tomáš Strašík</w:t>
      </w:r>
    </w:p>
    <w:p w14:paraId="19A0CB68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B74">
        <w:rPr>
          <w:rFonts w:ascii="Times New Roman" w:hAnsi="Times New Roman"/>
          <w:sz w:val="24"/>
          <w:szCs w:val="24"/>
        </w:rPr>
        <w:t xml:space="preserve">   </w:t>
      </w:r>
      <w:r w:rsidR="00890B10">
        <w:rPr>
          <w:rFonts w:ascii="Times New Roman" w:hAnsi="Times New Roman"/>
          <w:sz w:val="24"/>
          <w:szCs w:val="24"/>
        </w:rPr>
        <w:t xml:space="preserve">   majitel společnosti</w:t>
      </w:r>
    </w:p>
    <w:p w14:paraId="48A8030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866B3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BD8CE59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106C6" w14:textId="77777777" w:rsidR="007129E3" w:rsidRDefault="00BA53B6" w:rsidP="0000543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1: </w:t>
      </w:r>
      <w:r w:rsidR="0091732C">
        <w:rPr>
          <w:rFonts w:ascii="Times New Roman" w:hAnsi="Times New Roman"/>
          <w:sz w:val="24"/>
          <w:szCs w:val="24"/>
        </w:rPr>
        <w:t>ONIV</w:t>
      </w:r>
      <w:r w:rsidR="004E4EB5">
        <w:rPr>
          <w:rFonts w:ascii="Times New Roman" w:hAnsi="Times New Roman"/>
          <w:sz w:val="24"/>
          <w:szCs w:val="24"/>
        </w:rPr>
        <w:t xml:space="preserve"> – sportovní potřeby</w:t>
      </w:r>
    </w:p>
    <w:p w14:paraId="161D96A0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8308D" w14:textId="17AFAA77" w:rsidR="00D94CA6" w:rsidRDefault="00D94CA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B61B5" w14:textId="3063D1EF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984C9" w14:textId="7BF157F4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81DFA" w14:textId="2DE89889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078CA" w14:textId="02EA9540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C637B" w14:textId="56026291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C36FC" w14:textId="66112025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B146B" w14:textId="7CDD4D35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7E549" w14:textId="04283F4D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26BF" w14:textId="7B2AB574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011A9" w14:textId="09A51F92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B8D2DF" w14:textId="4C008296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E91DA" w14:textId="292A36CC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502D4" w14:textId="11BAF58C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AA525" w14:textId="515255DF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51FDB" w14:textId="44E82DAA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CA45B" w14:textId="3D40E531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55C0B" w14:textId="0016FC05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F0B5C" w14:textId="0C9CD4BB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9BA09" w14:textId="7FBC899C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8122A" w14:textId="402A9BC1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6200B" w14:textId="3A146F7A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5705D" w14:textId="5C551845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107C7" w14:textId="2F2D1628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7D8C4" w14:textId="6D0A5EA9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E78D9" w14:textId="5878281E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7F1D3" w14:textId="3B844459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EE631" w14:textId="61F96A19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č.1 – ONIV – sportovní potřeby</w:t>
      </w:r>
    </w:p>
    <w:p w14:paraId="73722444" w14:textId="4C17D118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D6C5F" w14:textId="32132DFF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10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080"/>
        <w:gridCol w:w="1040"/>
        <w:gridCol w:w="1026"/>
        <w:gridCol w:w="1540"/>
        <w:gridCol w:w="1540"/>
      </w:tblGrid>
      <w:tr w:rsidR="00B65414" w:rsidRPr="00B65414" w14:paraId="5E3902E5" w14:textId="77777777" w:rsidTr="00B65414">
        <w:trPr>
          <w:trHeight w:val="63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1643D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35CEC6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4A4DD5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98BE4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C91BE4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Kč/kus včetně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3FA8BD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41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Kč clk. vč. DPH</w:t>
            </w:r>
          </w:p>
        </w:tc>
      </w:tr>
      <w:tr w:rsidR="00B65414" w:rsidRPr="00B65414" w14:paraId="614BD0CF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0F9C9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EB71C2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Tatami podložka puzzle 100x100x4cm červenomodré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DBD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BCEC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B7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27E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9 480,00</w:t>
            </w:r>
          </w:p>
        </w:tc>
      </w:tr>
      <w:tr w:rsidR="00B65414" w:rsidRPr="00B65414" w14:paraId="14EBB960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8AC3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563475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Vibráční posilovací stroj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2946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21D2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265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8 990,00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CA6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8 990,00</w:t>
            </w:r>
          </w:p>
        </w:tc>
      </w:tr>
      <w:tr w:rsidR="00B65414" w:rsidRPr="00B65414" w14:paraId="4EF226C7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5847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CE670E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Hrudní pás TOORX bluetooth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82AD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60F60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84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9A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1 190,00</w:t>
            </w:r>
          </w:p>
        </w:tc>
      </w:tr>
      <w:tr w:rsidR="00B65414" w:rsidRPr="00B65414" w14:paraId="6DFD1881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692B6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F7119A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činka kettlebell 12kg plast.plášť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37B6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F0DA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35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1A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579,00</w:t>
            </w:r>
          </w:p>
        </w:tc>
      </w:tr>
      <w:tr w:rsidR="00B65414" w:rsidRPr="00B65414" w14:paraId="622CB59C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F637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6F5E71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oštěp Getra 400g závodní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F350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10ADF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971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1 599,00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20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1 599,00</w:t>
            </w:r>
          </w:p>
        </w:tc>
      </w:tr>
      <w:tr w:rsidR="00B65414" w:rsidRPr="00B65414" w14:paraId="5ED65488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F9B6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5BA55D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činka kettlebell 14kg plast.plášť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D05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F85D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08A9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56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619,00</w:t>
            </w:r>
          </w:p>
        </w:tc>
      </w:tr>
      <w:tr w:rsidR="00B65414" w:rsidRPr="00B65414" w14:paraId="0009835D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5DD5D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BA3192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činka nakládací 17kg/30mm/závit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806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2157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C7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6C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</w:tr>
      <w:tr w:rsidR="00B65414" w:rsidRPr="00B65414" w14:paraId="11527AE5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438E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895DFA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konstrukce závěsná pro boxovací pytel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A94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7077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0C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1 799,00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FE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1 799,00</w:t>
            </w:r>
          </w:p>
        </w:tc>
      </w:tr>
      <w:tr w:rsidR="00B65414" w:rsidRPr="00B65414" w14:paraId="30137BB4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503A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AF7AE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míč basketbal molten B7G2000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4589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9393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38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459,00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953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459,00</w:t>
            </w:r>
          </w:p>
        </w:tc>
      </w:tr>
      <w:tr w:rsidR="00B65414" w:rsidRPr="00B65414" w14:paraId="0C359218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D6860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1A2FB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míč futsal select mimas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A7F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A8AB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8974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F1C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569,00</w:t>
            </w:r>
          </w:p>
        </w:tc>
      </w:tr>
      <w:tr w:rsidR="00B65414" w:rsidRPr="00B65414" w14:paraId="1D64647D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49AE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41836E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míč volejbal Gala soft BV5681S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1077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8895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6F1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3DD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575,00</w:t>
            </w:r>
          </w:p>
        </w:tc>
      </w:tr>
      <w:tr w:rsidR="00B65414" w:rsidRPr="00B65414" w14:paraId="555EE05B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C2AA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8BB086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medicinální míč - 10kg, gumový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EA6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7193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F8A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1 699,00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037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1 699,00</w:t>
            </w:r>
          </w:p>
        </w:tc>
      </w:tr>
      <w:tr w:rsidR="00B65414" w:rsidRPr="00B65414" w14:paraId="408F7F08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1DEFF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564B19C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bradla - hrazda závěsná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6066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01C6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ECE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1 599,00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F50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1 599,00</w:t>
            </w:r>
          </w:p>
        </w:tc>
      </w:tr>
      <w:tr w:rsidR="00B65414" w:rsidRPr="00B65414" w14:paraId="0926A2AD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301E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87E36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badmintonový míček péřový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1E4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F35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77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BB5D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76,00</w:t>
            </w:r>
          </w:p>
        </w:tc>
      </w:tr>
      <w:tr w:rsidR="00B65414" w:rsidRPr="00B65414" w14:paraId="1428A7EF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69B1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452708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bosu ball - Dynaso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0B51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EA34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CD8C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1 999,00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2B1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1 999,00</w:t>
            </w:r>
          </w:p>
        </w:tc>
      </w:tr>
      <w:tr w:rsidR="00B65414" w:rsidRPr="00B65414" w14:paraId="361918C9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F482C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40C3B6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měřící pásmo 100m umělé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DD2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132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9D9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0A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</w:tr>
      <w:tr w:rsidR="00B65414" w:rsidRPr="00B65414" w14:paraId="68E2F5FD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9A01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99010A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balační a masážní podložka 55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AD07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E1ED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8A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A69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1 499,00</w:t>
            </w:r>
          </w:p>
        </w:tc>
      </w:tr>
      <w:tr w:rsidR="00B65414" w:rsidRPr="00B65414" w14:paraId="4CEED804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D0E3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71767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box hruška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C9E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D434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93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399,00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199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399,00</w:t>
            </w:r>
          </w:p>
        </w:tc>
      </w:tr>
      <w:tr w:rsidR="00B65414" w:rsidRPr="00B65414" w14:paraId="668988D2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FEB4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F4EC6C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lapa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CB7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A796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0C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AA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629,00</w:t>
            </w:r>
          </w:p>
        </w:tc>
      </w:tr>
      <w:tr w:rsidR="00B65414" w:rsidRPr="00B65414" w14:paraId="3CAC451B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D900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5BA061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lapa velká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8BC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B9CA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6A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799,00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F0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799,00</w:t>
            </w:r>
          </w:p>
        </w:tc>
      </w:tr>
      <w:tr w:rsidR="00B65414" w:rsidRPr="00B65414" w14:paraId="22C2AB76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ED6F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187FE2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Stopky mezičas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E2A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33E8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FBD7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0F3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149,00</w:t>
            </w:r>
          </w:p>
        </w:tc>
      </w:tr>
      <w:tr w:rsidR="00B65414" w:rsidRPr="00B65414" w14:paraId="45B22DAE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A47A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50AA604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Píšťalka kov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A06F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B4A1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4EAB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93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29,00</w:t>
            </w:r>
          </w:p>
        </w:tc>
      </w:tr>
      <w:tr w:rsidR="00B65414" w:rsidRPr="00B65414" w14:paraId="0C385456" w14:textId="77777777" w:rsidTr="00B65414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F38DC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854929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Měřící pásmo 50m umělé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5953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9E2B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95E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5B8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299,00</w:t>
            </w:r>
          </w:p>
        </w:tc>
      </w:tr>
      <w:tr w:rsidR="00B65414" w:rsidRPr="00B65414" w14:paraId="7015C7F2" w14:textId="77777777" w:rsidTr="00B65414">
        <w:trPr>
          <w:trHeight w:val="315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080D01" w14:textId="77777777" w:rsidR="00B65414" w:rsidRPr="00B65414" w:rsidRDefault="00B65414" w:rsidP="00B6541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17E7CE2F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doskočiště 3x2x0,4m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DAD5A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02C16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3265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23 331,00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FD78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23 331,00</w:t>
            </w:r>
          </w:p>
        </w:tc>
      </w:tr>
      <w:tr w:rsidR="00B65414" w:rsidRPr="00B65414" w14:paraId="452A19A7" w14:textId="77777777" w:rsidTr="00B65414">
        <w:trPr>
          <w:trHeight w:val="315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A48993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3E8D37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CENA CELKEM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BC5564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24B213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D04717" w14:textId="77777777" w:rsidR="00B65414" w:rsidRPr="00B65414" w:rsidRDefault="00B65414" w:rsidP="00B6541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43FC12" w14:textId="77777777" w:rsidR="00B65414" w:rsidRPr="00B65414" w:rsidRDefault="00B65414" w:rsidP="00B6541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65414">
              <w:rPr>
                <w:rFonts w:eastAsia="Times New Roman" w:cs="Calibri"/>
                <w:color w:val="000000"/>
                <w:lang w:eastAsia="cs-CZ"/>
              </w:rPr>
              <w:t>61 364,00</w:t>
            </w:r>
          </w:p>
        </w:tc>
      </w:tr>
    </w:tbl>
    <w:p w14:paraId="24D86A87" w14:textId="20533E73" w:rsidR="00B65414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F8224" w14:textId="77777777" w:rsidR="00B65414" w:rsidRPr="00101FC0" w:rsidRDefault="00B65414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5414" w:rsidRPr="00101FC0" w:rsidSect="0019105C"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AA66" w14:textId="77777777" w:rsidR="009A1E42" w:rsidRDefault="009A1E42">
      <w:pPr>
        <w:spacing w:after="0" w:line="240" w:lineRule="auto"/>
      </w:pPr>
      <w:r>
        <w:separator/>
      </w:r>
    </w:p>
  </w:endnote>
  <w:endnote w:type="continuationSeparator" w:id="0">
    <w:p w14:paraId="3BBADBF7" w14:textId="77777777" w:rsidR="009A1E42" w:rsidRDefault="009A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825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67C640" w14:textId="49FB1E71" w:rsidR="00412C5F" w:rsidRPr="00412C5F" w:rsidRDefault="00412C5F">
        <w:pPr>
          <w:pStyle w:val="Zpat"/>
          <w:jc w:val="right"/>
          <w:rPr>
            <w:sz w:val="16"/>
            <w:szCs w:val="16"/>
          </w:rPr>
        </w:pPr>
        <w:r w:rsidRPr="00412C5F">
          <w:rPr>
            <w:sz w:val="16"/>
            <w:szCs w:val="16"/>
          </w:rPr>
          <w:fldChar w:fldCharType="begin"/>
        </w:r>
        <w:r w:rsidRPr="00412C5F">
          <w:rPr>
            <w:sz w:val="16"/>
            <w:szCs w:val="16"/>
          </w:rPr>
          <w:instrText>PAGE   \* MERGEFORMAT</w:instrText>
        </w:r>
        <w:r w:rsidRPr="00412C5F">
          <w:rPr>
            <w:sz w:val="16"/>
            <w:szCs w:val="16"/>
          </w:rPr>
          <w:fldChar w:fldCharType="separate"/>
        </w:r>
        <w:r w:rsidR="00B65414">
          <w:rPr>
            <w:noProof/>
            <w:sz w:val="16"/>
            <w:szCs w:val="16"/>
          </w:rPr>
          <w:t>6</w:t>
        </w:r>
        <w:r w:rsidRPr="00412C5F">
          <w:rPr>
            <w:sz w:val="16"/>
            <w:szCs w:val="16"/>
          </w:rPr>
          <w:fldChar w:fldCharType="end"/>
        </w:r>
        <w:r w:rsidRPr="00412C5F">
          <w:rPr>
            <w:sz w:val="16"/>
            <w:szCs w:val="16"/>
          </w:rPr>
          <w:t>/6</w:t>
        </w:r>
      </w:p>
    </w:sdtContent>
  </w:sdt>
  <w:p w14:paraId="6B2D4D67" w14:textId="77777777" w:rsidR="00412C5F" w:rsidRDefault="00412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D3C9" w14:textId="77777777" w:rsidR="00412C5F" w:rsidRPr="00412C5F" w:rsidRDefault="00412C5F">
    <w:pPr>
      <w:pStyle w:val="Zpat"/>
      <w:rPr>
        <w:sz w:val="16"/>
        <w:szCs w:val="16"/>
      </w:rPr>
    </w:pPr>
    <w:r>
      <w:tab/>
    </w:r>
    <w:r>
      <w:tab/>
    </w:r>
    <w:r w:rsidRPr="00412C5F">
      <w:rPr>
        <w:sz w:val="16"/>
        <w:szCs w:val="16"/>
      </w:rPr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3C16" w14:textId="77777777" w:rsidR="009A1E42" w:rsidRDefault="009A1E42">
      <w:pPr>
        <w:spacing w:after="0" w:line="240" w:lineRule="auto"/>
      </w:pPr>
      <w:r>
        <w:separator/>
      </w:r>
    </w:p>
  </w:footnote>
  <w:footnote w:type="continuationSeparator" w:id="0">
    <w:p w14:paraId="62A112FD" w14:textId="77777777" w:rsidR="009A1E42" w:rsidRDefault="009A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92E3" w14:textId="77777777" w:rsidR="00730E17" w:rsidRDefault="00730E17">
    <w:pPr>
      <w:pStyle w:val="Zhlav"/>
    </w:pPr>
  </w:p>
  <w:p w14:paraId="49FADEF0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05432"/>
    <w:rsid w:val="000267B3"/>
    <w:rsid w:val="000D0EC3"/>
    <w:rsid w:val="000E266E"/>
    <w:rsid w:val="000F2E7F"/>
    <w:rsid w:val="00101FC0"/>
    <w:rsid w:val="00146014"/>
    <w:rsid w:val="00163A8C"/>
    <w:rsid w:val="00166D03"/>
    <w:rsid w:val="0019105C"/>
    <w:rsid w:val="00195DD9"/>
    <w:rsid w:val="001D4EA4"/>
    <w:rsid w:val="001D57B9"/>
    <w:rsid w:val="001F48BA"/>
    <w:rsid w:val="002417C5"/>
    <w:rsid w:val="00245688"/>
    <w:rsid w:val="00292804"/>
    <w:rsid w:val="00297672"/>
    <w:rsid w:val="002B737A"/>
    <w:rsid w:val="0030191B"/>
    <w:rsid w:val="00334D09"/>
    <w:rsid w:val="00390E1A"/>
    <w:rsid w:val="003C7BE1"/>
    <w:rsid w:val="003D2F32"/>
    <w:rsid w:val="003E6877"/>
    <w:rsid w:val="00412C5F"/>
    <w:rsid w:val="004D6F9D"/>
    <w:rsid w:val="004E453D"/>
    <w:rsid w:val="004E4EB5"/>
    <w:rsid w:val="00531C3B"/>
    <w:rsid w:val="00532E19"/>
    <w:rsid w:val="00570E19"/>
    <w:rsid w:val="005B5F95"/>
    <w:rsid w:val="005C48D9"/>
    <w:rsid w:val="005E3E33"/>
    <w:rsid w:val="005F16DB"/>
    <w:rsid w:val="00613699"/>
    <w:rsid w:val="0061466E"/>
    <w:rsid w:val="00631981"/>
    <w:rsid w:val="0063666A"/>
    <w:rsid w:val="0065264F"/>
    <w:rsid w:val="0065746F"/>
    <w:rsid w:val="0067623E"/>
    <w:rsid w:val="006851DD"/>
    <w:rsid w:val="00690B74"/>
    <w:rsid w:val="006B44A3"/>
    <w:rsid w:val="006D6D80"/>
    <w:rsid w:val="006E4143"/>
    <w:rsid w:val="006F015F"/>
    <w:rsid w:val="006F35D0"/>
    <w:rsid w:val="007129E3"/>
    <w:rsid w:val="0072064F"/>
    <w:rsid w:val="00722C9A"/>
    <w:rsid w:val="00730E17"/>
    <w:rsid w:val="0075532A"/>
    <w:rsid w:val="007856F2"/>
    <w:rsid w:val="00794596"/>
    <w:rsid w:val="007F2A3F"/>
    <w:rsid w:val="007F5531"/>
    <w:rsid w:val="00814FC2"/>
    <w:rsid w:val="0085756E"/>
    <w:rsid w:val="00876343"/>
    <w:rsid w:val="00882C2D"/>
    <w:rsid w:val="00890B10"/>
    <w:rsid w:val="008A73B2"/>
    <w:rsid w:val="008A73D8"/>
    <w:rsid w:val="008C0482"/>
    <w:rsid w:val="008D11D0"/>
    <w:rsid w:val="008F6249"/>
    <w:rsid w:val="009118DF"/>
    <w:rsid w:val="00916AB8"/>
    <w:rsid w:val="0091732C"/>
    <w:rsid w:val="009A1E42"/>
    <w:rsid w:val="009C5492"/>
    <w:rsid w:val="009E5F0D"/>
    <w:rsid w:val="00A01B3C"/>
    <w:rsid w:val="00A420CA"/>
    <w:rsid w:val="00A67BEB"/>
    <w:rsid w:val="00AE5AF7"/>
    <w:rsid w:val="00B0011C"/>
    <w:rsid w:val="00B44279"/>
    <w:rsid w:val="00B604E4"/>
    <w:rsid w:val="00B62414"/>
    <w:rsid w:val="00B627A5"/>
    <w:rsid w:val="00B65414"/>
    <w:rsid w:val="00BA2A64"/>
    <w:rsid w:val="00BA53B6"/>
    <w:rsid w:val="00C06A93"/>
    <w:rsid w:val="00C11AE8"/>
    <w:rsid w:val="00C15A5C"/>
    <w:rsid w:val="00C1692D"/>
    <w:rsid w:val="00C32122"/>
    <w:rsid w:val="00C52594"/>
    <w:rsid w:val="00C5734E"/>
    <w:rsid w:val="00C7320D"/>
    <w:rsid w:val="00C855C8"/>
    <w:rsid w:val="00D03D63"/>
    <w:rsid w:val="00D13DC1"/>
    <w:rsid w:val="00D66F3A"/>
    <w:rsid w:val="00D831A0"/>
    <w:rsid w:val="00D94CA6"/>
    <w:rsid w:val="00DA7E7E"/>
    <w:rsid w:val="00E01641"/>
    <w:rsid w:val="00E67861"/>
    <w:rsid w:val="00F13060"/>
    <w:rsid w:val="00F20114"/>
    <w:rsid w:val="00F61DA4"/>
    <w:rsid w:val="00F70EFC"/>
    <w:rsid w:val="00F87D05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448F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F553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5F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tor.sport@kantorsport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ntor.sport@kantorspor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F3410-9866-4C75-AF2D-C92DDC1AD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A045-3271-4CC7-B1D0-D203D0B4F1EE}">
  <ds:schemaRefs>
    <ds:schemaRef ds:uri="http://purl.org/dc/elements/1.1/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2043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4</cp:revision>
  <cp:lastPrinted>2020-09-04T08:08:00Z</cp:lastPrinted>
  <dcterms:created xsi:type="dcterms:W3CDTF">2023-05-12T07:01:00Z</dcterms:created>
  <dcterms:modified xsi:type="dcterms:W3CDTF">2023-05-15T12:39:00Z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