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1210400905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Chýšť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57,</w:t>
      </w:r>
      <w:r>
        <w:rPr>
          <w:spacing w:val="-4"/>
        </w:rPr>
        <w:t> </w:t>
      </w:r>
      <w:r>
        <w:rPr/>
        <w:t>53316 Chýšť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00273686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Miroslavem</w:t>
      </w:r>
      <w:r>
        <w:rPr>
          <w:spacing w:val="-6"/>
        </w:rPr>
        <w:t> </w:t>
      </w:r>
      <w:r>
        <w:rPr/>
        <w:t>Sirůčkem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94-7819561/0710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1210400905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73"/>
        <w:jc w:val="left"/>
      </w:pPr>
      <w:r>
        <w:rPr/>
        <w:t>„Výsadba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obci Chýšť“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546,67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546,67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5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27.06.2022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> </w:t>
      </w:r>
      <w:r>
        <w:rPr>
          <w:sz w:val="20"/>
        </w:rPr>
        <w:t>83</w:t>
      </w:r>
      <w:r>
        <w:rPr>
          <w:spacing w:val="54"/>
          <w:sz w:val="20"/>
        </w:rPr>
        <w:t> </w:t>
      </w:r>
      <w:r>
        <w:rPr>
          <w:sz w:val="20"/>
        </w:rPr>
        <w:t>ks</w:t>
      </w:r>
      <w:r>
        <w:rPr>
          <w:spacing w:val="53"/>
          <w:sz w:val="20"/>
        </w:rPr>
        <w:t> </w:t>
      </w:r>
      <w:r>
        <w:rPr>
          <w:sz w:val="20"/>
        </w:rPr>
        <w:t>stromů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kategorii</w:t>
      </w:r>
      <w:r>
        <w:rPr>
          <w:spacing w:val="53"/>
          <w:sz w:val="20"/>
        </w:rPr>
        <w:t> </w:t>
      </w:r>
      <w:r>
        <w:rPr>
          <w:sz w:val="20"/>
        </w:rPr>
        <w:t>„Listnatý/ovocný</w:t>
      </w:r>
      <w:r>
        <w:rPr>
          <w:spacing w:val="50"/>
          <w:sz w:val="20"/>
        </w:rPr>
        <w:t> </w:t>
      </w:r>
      <w:r>
        <w:rPr>
          <w:sz w:val="20"/>
        </w:rPr>
        <w:t>strom</w:t>
      </w:r>
      <w:r>
        <w:rPr>
          <w:spacing w:val="52"/>
          <w:sz w:val="20"/>
        </w:rPr>
        <w:t> </w:t>
      </w:r>
      <w:r>
        <w:rPr>
          <w:sz w:val="20"/>
        </w:rPr>
        <w:t>s</w:t>
      </w:r>
      <w:r>
        <w:rPr>
          <w:spacing w:val="49"/>
          <w:sz w:val="20"/>
        </w:rPr>
        <w:t> </w:t>
      </w:r>
      <w:r>
        <w:rPr>
          <w:sz w:val="20"/>
        </w:rPr>
        <w:t>obvodem</w:t>
      </w:r>
      <w:r>
        <w:rPr>
          <w:spacing w:val="52"/>
          <w:sz w:val="20"/>
        </w:rPr>
        <w:t> </w:t>
      </w:r>
      <w:r>
        <w:rPr>
          <w:sz w:val="20"/>
        </w:rPr>
        <w:t>kmínku</w:t>
      </w:r>
      <w:r>
        <w:rPr>
          <w:spacing w:val="53"/>
          <w:sz w:val="20"/>
        </w:rPr>
        <w:t> </w:t>
      </w:r>
      <w:r>
        <w:rPr>
          <w:sz w:val="20"/>
        </w:rPr>
        <w:t>v</w:t>
      </w:r>
      <w:r>
        <w:rPr>
          <w:spacing w:val="51"/>
          <w:sz w:val="20"/>
        </w:rPr>
        <w:t> </w:t>
      </w:r>
      <w:r>
        <w:rPr>
          <w:sz w:val="20"/>
        </w:rPr>
        <w:t>1</w:t>
      </w:r>
      <w:r>
        <w:rPr>
          <w:spacing w:val="50"/>
          <w:sz w:val="20"/>
        </w:rPr>
        <w:t> </w:t>
      </w:r>
      <w:r>
        <w:rPr>
          <w:sz w:val="20"/>
        </w:rPr>
        <w:t>metru</w:t>
      </w:r>
      <w:r>
        <w:rPr>
          <w:spacing w:val="51"/>
          <w:sz w:val="20"/>
        </w:rPr>
        <w:t> </w:t>
      </w:r>
      <w:r>
        <w:rPr>
          <w:sz w:val="20"/>
        </w:rPr>
        <w:t>8-10</w:t>
      </w:r>
      <w:r>
        <w:rPr>
          <w:spacing w:val="51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2023-04-27T08:12:22Z</dcterms:created>
  <dcterms:modified xsi:type="dcterms:W3CDTF">2023-04-27T08:12:22Z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2023-04-27T00:00:00Z</vt:filetime>
  </property>
</Properties>
</file>