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D1B7" w14:textId="77777777" w:rsidR="004F0647" w:rsidRPr="004F0647" w:rsidRDefault="004F0647" w:rsidP="004F0647">
      <w:pPr>
        <w:pStyle w:val="Nzev"/>
      </w:pPr>
      <w:r w:rsidRPr="004F0647">
        <w:t>KUPNÍ SMLOUVA</w:t>
      </w:r>
    </w:p>
    <w:p w14:paraId="29F40BFC" w14:textId="1D7FC579" w:rsidR="004F0647" w:rsidRPr="0051796C" w:rsidRDefault="00BD1C25" w:rsidP="0051796C">
      <w:pPr>
        <w:pStyle w:val="Nzev"/>
        <w:rPr>
          <w:sz w:val="32"/>
        </w:rPr>
      </w:pPr>
      <w:r>
        <w:rPr>
          <w:sz w:val="28"/>
          <w:szCs w:val="28"/>
        </w:rPr>
        <w:t xml:space="preserve"> </w:t>
      </w:r>
    </w:p>
    <w:p w14:paraId="4E3B50A9" w14:textId="77777777" w:rsidR="00A955BE" w:rsidRDefault="00A955BE" w:rsidP="00D940EF">
      <w:pPr>
        <w:pStyle w:val="Nadpis1"/>
        <w:numPr>
          <w:ilvl w:val="0"/>
          <w:numId w:val="4"/>
        </w:numPr>
      </w:pPr>
      <w:bookmarkStart w:id="0" w:name="_Toc175127067"/>
      <w:r w:rsidRPr="00501E6A">
        <w:t>Smluvní strany</w:t>
      </w:r>
      <w:bookmarkEnd w:id="0"/>
    </w:p>
    <w:p w14:paraId="54924A0C" w14:textId="1DDBF6A1" w:rsidR="00915ABC" w:rsidRPr="004D57AB" w:rsidRDefault="004D57AB" w:rsidP="00915ABC">
      <w:pPr>
        <w:rPr>
          <w:b/>
        </w:rPr>
      </w:pPr>
      <w:r w:rsidRPr="004D57AB">
        <w:rPr>
          <w:b/>
        </w:rPr>
        <w:t>Město Nový Bydžov</w:t>
      </w:r>
      <w:r w:rsidR="00915ABC" w:rsidRPr="004D57AB">
        <w:rPr>
          <w:b/>
        </w:rPr>
        <w:tab/>
      </w:r>
      <w:r w:rsidR="00915ABC" w:rsidRPr="004D57AB">
        <w:rPr>
          <w:b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915ABC" w:rsidRPr="003A7229" w14:paraId="394CE072" w14:textId="77777777">
        <w:trPr>
          <w:cantSplit/>
        </w:trPr>
        <w:tc>
          <w:tcPr>
            <w:tcW w:w="2628" w:type="dxa"/>
          </w:tcPr>
          <w:p w14:paraId="0B2F825C" w14:textId="77777777" w:rsidR="00915ABC" w:rsidRPr="002F5E62" w:rsidRDefault="00915ABC" w:rsidP="00D940EF">
            <w:r>
              <w:t>Sídlo</w:t>
            </w:r>
            <w:r w:rsidRPr="002F5E62">
              <w:t>:</w:t>
            </w:r>
          </w:p>
        </w:tc>
        <w:tc>
          <w:tcPr>
            <w:tcW w:w="6193" w:type="dxa"/>
            <w:gridSpan w:val="3"/>
          </w:tcPr>
          <w:p w14:paraId="38A8A84A" w14:textId="2BE16C7B" w:rsidR="00915ABC" w:rsidRPr="0051796C" w:rsidRDefault="004D57AB" w:rsidP="00D940EF">
            <w:r w:rsidRPr="0051796C">
              <w:t>Masarykovo náměstí 1, 504 01 Nový Bydžov</w:t>
            </w:r>
          </w:p>
        </w:tc>
      </w:tr>
      <w:tr w:rsidR="00915ABC" w:rsidRPr="003A7229" w14:paraId="16E41D85" w14:textId="77777777">
        <w:trPr>
          <w:cantSplit/>
        </w:trPr>
        <w:tc>
          <w:tcPr>
            <w:tcW w:w="2628" w:type="dxa"/>
          </w:tcPr>
          <w:p w14:paraId="554B4CC8" w14:textId="77777777" w:rsidR="00915ABC" w:rsidRPr="002F5E62" w:rsidRDefault="00915ABC" w:rsidP="00D940EF">
            <w:r>
              <w:t>Jednající</w:t>
            </w:r>
            <w:r w:rsidRPr="002F5E62">
              <w:t>:</w:t>
            </w:r>
          </w:p>
        </w:tc>
        <w:tc>
          <w:tcPr>
            <w:tcW w:w="6193" w:type="dxa"/>
            <w:gridSpan w:val="3"/>
          </w:tcPr>
          <w:p w14:paraId="44CD668E" w14:textId="002961AC" w:rsidR="00915ABC" w:rsidRPr="0051796C" w:rsidRDefault="004D57AB" w:rsidP="00D940EF">
            <w:r w:rsidRPr="0051796C">
              <w:t>Ing. Pavel Louda, starosta</w:t>
            </w:r>
          </w:p>
        </w:tc>
      </w:tr>
      <w:tr w:rsidR="00915ABC" w:rsidRPr="003A7229" w14:paraId="730D7246" w14:textId="77777777">
        <w:trPr>
          <w:cantSplit/>
        </w:trPr>
        <w:tc>
          <w:tcPr>
            <w:tcW w:w="2628" w:type="dxa"/>
          </w:tcPr>
          <w:p w14:paraId="484D392E" w14:textId="77777777" w:rsidR="00915ABC" w:rsidRPr="002F5E62" w:rsidRDefault="00915ABC" w:rsidP="00D940EF">
            <w:r w:rsidRPr="002F5E62">
              <w:t>bank. spojení:</w:t>
            </w:r>
          </w:p>
        </w:tc>
        <w:tc>
          <w:tcPr>
            <w:tcW w:w="2232" w:type="dxa"/>
          </w:tcPr>
          <w:p w14:paraId="55976696" w14:textId="77777777" w:rsidR="00915ABC" w:rsidRPr="004D57AB" w:rsidRDefault="00915ABC" w:rsidP="00D940EF">
            <w:pPr>
              <w:rPr>
                <w:i/>
                <w:iCs/>
              </w:rPr>
            </w:pPr>
            <w:r w:rsidRPr="004D57AB">
              <w:rPr>
                <w:i/>
                <w:iCs/>
              </w:rPr>
              <w:t xml:space="preserve">Banka </w:t>
            </w:r>
            <w:r w:rsidR="008E1686" w:rsidRPr="004D57AB">
              <w:rPr>
                <w:i/>
                <w:iCs/>
              </w:rPr>
              <w:t>Odběratel</w:t>
            </w:r>
            <w:r w:rsidRPr="004D57AB">
              <w:rPr>
                <w:i/>
                <w:iCs/>
              </w:rPr>
              <w:t>e</w:t>
            </w:r>
          </w:p>
        </w:tc>
        <w:tc>
          <w:tcPr>
            <w:tcW w:w="1948" w:type="dxa"/>
          </w:tcPr>
          <w:p w14:paraId="2C477045" w14:textId="77777777" w:rsidR="00915ABC" w:rsidRPr="004D57AB" w:rsidRDefault="00915ABC" w:rsidP="00D940EF">
            <w:r w:rsidRPr="004D57AB">
              <w:t>číslo účtu:</w:t>
            </w:r>
          </w:p>
        </w:tc>
        <w:tc>
          <w:tcPr>
            <w:tcW w:w="2013" w:type="dxa"/>
          </w:tcPr>
          <w:p w14:paraId="4BAAD07F" w14:textId="77777777" w:rsidR="00915ABC" w:rsidRPr="004D57AB" w:rsidRDefault="00915ABC" w:rsidP="00D940EF">
            <w:pPr>
              <w:rPr>
                <w:i/>
                <w:iCs/>
              </w:rPr>
            </w:pPr>
            <w:r w:rsidRPr="004D57AB">
              <w:rPr>
                <w:i/>
                <w:iCs/>
              </w:rPr>
              <w:t>číslo účtu</w:t>
            </w:r>
          </w:p>
        </w:tc>
      </w:tr>
      <w:tr w:rsidR="00915ABC" w:rsidRPr="003A7229" w14:paraId="5A9FBD7B" w14:textId="77777777">
        <w:trPr>
          <w:cantSplit/>
        </w:trPr>
        <w:tc>
          <w:tcPr>
            <w:tcW w:w="2628" w:type="dxa"/>
          </w:tcPr>
          <w:p w14:paraId="65E5D4F9" w14:textId="77777777" w:rsidR="00915ABC" w:rsidRPr="002F5E62" w:rsidRDefault="00915ABC" w:rsidP="00D940EF">
            <w:r w:rsidRPr="002F5E62">
              <w:t>IČ:</w:t>
            </w:r>
          </w:p>
        </w:tc>
        <w:tc>
          <w:tcPr>
            <w:tcW w:w="2232" w:type="dxa"/>
          </w:tcPr>
          <w:p w14:paraId="3D2843E0" w14:textId="2EF5F99F" w:rsidR="00915ABC" w:rsidRPr="004D57AB" w:rsidRDefault="004D57AB" w:rsidP="00D940EF">
            <w:pPr>
              <w:rPr>
                <w:i/>
                <w:iCs/>
              </w:rPr>
            </w:pPr>
            <w:r w:rsidRPr="004D57AB">
              <w:rPr>
                <w:i/>
                <w:iCs/>
              </w:rPr>
              <w:t>00269247</w:t>
            </w:r>
          </w:p>
        </w:tc>
        <w:tc>
          <w:tcPr>
            <w:tcW w:w="1948" w:type="dxa"/>
          </w:tcPr>
          <w:p w14:paraId="4CC0C609" w14:textId="77777777" w:rsidR="00915ABC" w:rsidRPr="004D57AB" w:rsidRDefault="00915ABC" w:rsidP="00D940EF">
            <w:r w:rsidRPr="004D57AB">
              <w:t>DIČ:</w:t>
            </w:r>
          </w:p>
        </w:tc>
        <w:tc>
          <w:tcPr>
            <w:tcW w:w="2013" w:type="dxa"/>
          </w:tcPr>
          <w:p w14:paraId="1A7A230F" w14:textId="6882D3AE" w:rsidR="00915ABC" w:rsidRPr="004D57AB" w:rsidRDefault="00A34A63" w:rsidP="00D940EF">
            <w:pPr>
              <w:rPr>
                <w:i/>
                <w:iCs/>
              </w:rPr>
            </w:pPr>
            <w:r>
              <w:rPr>
                <w:i/>
                <w:iCs/>
              </w:rPr>
              <w:t>CZ00269247</w:t>
            </w:r>
          </w:p>
        </w:tc>
      </w:tr>
    </w:tbl>
    <w:p w14:paraId="0827F77F" w14:textId="77777777" w:rsidR="00915ABC" w:rsidRDefault="00915ABC" w:rsidP="00915ABC">
      <w:r w:rsidRPr="002F5E62">
        <w:t xml:space="preserve">dále jen </w:t>
      </w:r>
      <w:r w:rsidR="003A6D9F" w:rsidRPr="003A6D9F">
        <w:rPr>
          <w:b/>
        </w:rPr>
        <w:t>Odběratel</w:t>
      </w:r>
      <w:r w:rsidR="00A308FD">
        <w:rPr>
          <w:b/>
        </w:rPr>
        <w:t xml:space="preserve"> </w:t>
      </w:r>
      <w:r w:rsidRPr="002F5E62">
        <w:t>na straně jedné</w:t>
      </w:r>
    </w:p>
    <w:p w14:paraId="004E8800" w14:textId="77777777" w:rsidR="006879EA" w:rsidRDefault="006879EA" w:rsidP="00915ABC"/>
    <w:p w14:paraId="1D7157A7" w14:textId="77777777" w:rsidR="00915ABC" w:rsidRPr="002F5E62" w:rsidRDefault="00915ABC" w:rsidP="00915ABC"/>
    <w:p w14:paraId="203C5931" w14:textId="03CD59E8" w:rsidR="00915ABC" w:rsidRPr="004D57AB" w:rsidRDefault="00915ABC" w:rsidP="00915ABC">
      <w:pPr>
        <w:rPr>
          <w:b/>
          <w:bCs/>
        </w:rPr>
      </w:pPr>
      <w:r w:rsidRPr="004D57AB">
        <w:rPr>
          <w:b/>
          <w:bCs/>
        </w:rPr>
        <w:t>A</w:t>
      </w:r>
      <w:r w:rsidR="03CD59E8" w:rsidRPr="004D57AB">
        <w:rPr>
          <w:b/>
          <w:bCs/>
        </w:rPr>
        <w:t>UTO</w:t>
      </w:r>
      <w:r w:rsidRPr="004D57AB">
        <w:rPr>
          <w:b/>
          <w:bCs/>
        </w:rPr>
        <w:t>C</w:t>
      </w:r>
      <w:r w:rsidR="03CD59E8" w:rsidRPr="004D57AB">
        <w:rPr>
          <w:b/>
          <w:bCs/>
        </w:rPr>
        <w:t>ONT a.s.</w:t>
      </w:r>
    </w:p>
    <w:tbl>
      <w:tblPr>
        <w:tblW w:w="157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372"/>
        <w:gridCol w:w="6552"/>
      </w:tblGrid>
      <w:tr w:rsidR="00915ABC" w:rsidRPr="003A7229" w14:paraId="3577B846" w14:textId="77777777" w:rsidTr="6597B588">
        <w:trPr>
          <w:gridAfter w:val="1"/>
          <w:wAfter w:w="6552" w:type="dxa"/>
          <w:cantSplit/>
        </w:trPr>
        <w:tc>
          <w:tcPr>
            <w:tcW w:w="2628" w:type="dxa"/>
          </w:tcPr>
          <w:p w14:paraId="46367721" w14:textId="77777777" w:rsidR="00915ABC" w:rsidRPr="002F5E62" w:rsidRDefault="00915ABC" w:rsidP="00D940EF">
            <w:r>
              <w:t>Sídlo</w:t>
            </w:r>
            <w:r w:rsidRPr="002F5E62">
              <w:t>:</w:t>
            </w:r>
          </w:p>
        </w:tc>
        <w:tc>
          <w:tcPr>
            <w:tcW w:w="6552" w:type="dxa"/>
            <w:gridSpan w:val="3"/>
          </w:tcPr>
          <w:p w14:paraId="32850E06" w14:textId="4E6083A1" w:rsidR="00915ABC" w:rsidRPr="001706E9" w:rsidRDefault="00D85865" w:rsidP="00D940EF">
            <w:pPr>
              <w:rPr>
                <w:i/>
              </w:rPr>
            </w:pPr>
            <w:r>
              <w:t xml:space="preserve">Hornopolní 3322/34, 702 00 </w:t>
            </w:r>
            <w:r w:rsidR="00915ABC" w:rsidRPr="002F5E62">
              <w:t>Ostrava</w:t>
            </w:r>
          </w:p>
        </w:tc>
      </w:tr>
      <w:tr w:rsidR="009012A3" w:rsidRPr="003A7229" w14:paraId="057EF134" w14:textId="77777777" w:rsidTr="6597B588">
        <w:trPr>
          <w:gridAfter w:val="1"/>
          <w:wAfter w:w="6552" w:type="dxa"/>
          <w:cantSplit/>
        </w:trPr>
        <w:tc>
          <w:tcPr>
            <w:tcW w:w="2628" w:type="dxa"/>
          </w:tcPr>
          <w:p w14:paraId="4CE522D5" w14:textId="77777777" w:rsidR="009012A3" w:rsidRDefault="009012A3" w:rsidP="00E83288">
            <w:r>
              <w:t xml:space="preserve">Obchodní </w:t>
            </w:r>
            <w:r w:rsidR="00E83288">
              <w:t>divize</w:t>
            </w:r>
            <w:r>
              <w:t>:</w:t>
            </w:r>
          </w:p>
        </w:tc>
        <w:tc>
          <w:tcPr>
            <w:tcW w:w="6552" w:type="dxa"/>
            <w:gridSpan w:val="3"/>
          </w:tcPr>
          <w:p w14:paraId="0D761136" w14:textId="4F4AAEDA" w:rsidR="009012A3" w:rsidRPr="00D329C7" w:rsidRDefault="006E33E2" w:rsidP="003048BE">
            <w:pPr>
              <w:rPr>
                <w:iCs/>
              </w:rPr>
            </w:pPr>
            <w:r>
              <w:rPr>
                <w:iCs/>
              </w:rPr>
              <w:t>d</w:t>
            </w:r>
            <w:r w:rsidR="00D329C7" w:rsidRPr="00D329C7">
              <w:rPr>
                <w:iCs/>
              </w:rPr>
              <w:t xml:space="preserve">ivize </w:t>
            </w:r>
            <w:r w:rsidR="003048BE">
              <w:rPr>
                <w:iCs/>
              </w:rPr>
              <w:t>MM</w:t>
            </w:r>
          </w:p>
        </w:tc>
      </w:tr>
      <w:tr w:rsidR="00915ABC" w:rsidRPr="003A7229" w14:paraId="0FD6017E" w14:textId="77777777" w:rsidTr="00A86C5E">
        <w:trPr>
          <w:gridAfter w:val="1"/>
          <w:wAfter w:w="6552" w:type="dxa"/>
          <w:cantSplit/>
        </w:trPr>
        <w:tc>
          <w:tcPr>
            <w:tcW w:w="2628" w:type="dxa"/>
          </w:tcPr>
          <w:p w14:paraId="71F80E49" w14:textId="77777777" w:rsidR="00915ABC" w:rsidRPr="002F5E62" w:rsidRDefault="00915ABC" w:rsidP="00D940EF">
            <w:r>
              <w:t>Jednající</w:t>
            </w:r>
            <w:r w:rsidRPr="002F5E62">
              <w:t>:</w:t>
            </w:r>
          </w:p>
        </w:tc>
        <w:tc>
          <w:tcPr>
            <w:tcW w:w="6552" w:type="dxa"/>
            <w:gridSpan w:val="3"/>
            <w:shd w:val="clear" w:color="auto" w:fill="auto"/>
          </w:tcPr>
          <w:p w14:paraId="23714003" w14:textId="2CA8D730" w:rsidR="003048BE" w:rsidRPr="00A86C5E" w:rsidRDefault="003048BE" w:rsidP="003048BE">
            <w:r w:rsidRPr="00A86C5E">
              <w:t xml:space="preserve">Ing. </w:t>
            </w:r>
            <w:r w:rsidR="004D57AB" w:rsidRPr="00A86C5E">
              <w:t>Josef Středa, ředitel RC</w:t>
            </w:r>
          </w:p>
          <w:p w14:paraId="544901C7" w14:textId="64541411" w:rsidR="00915ABC" w:rsidRPr="00A86C5E" w:rsidRDefault="003048BE" w:rsidP="003048BE">
            <w:r w:rsidRPr="00A86C5E">
              <w:t>na základě plné moci</w:t>
            </w:r>
          </w:p>
        </w:tc>
      </w:tr>
      <w:tr w:rsidR="00915ABC" w:rsidRPr="003A7229" w14:paraId="3394B906" w14:textId="77777777" w:rsidTr="6597B588">
        <w:trPr>
          <w:gridAfter w:val="1"/>
          <w:wAfter w:w="6552" w:type="dxa"/>
          <w:cantSplit/>
        </w:trPr>
        <w:tc>
          <w:tcPr>
            <w:tcW w:w="2628" w:type="dxa"/>
          </w:tcPr>
          <w:p w14:paraId="2003FC38" w14:textId="77777777" w:rsidR="00915ABC" w:rsidRPr="002F5E62" w:rsidRDefault="00AB6B77" w:rsidP="00D940EF">
            <w:r>
              <w:t>Bankovní</w:t>
            </w:r>
            <w:r w:rsidR="00915ABC" w:rsidRPr="002F5E62">
              <w:t xml:space="preserve"> spojení:</w:t>
            </w:r>
          </w:p>
        </w:tc>
        <w:tc>
          <w:tcPr>
            <w:tcW w:w="2232" w:type="dxa"/>
          </w:tcPr>
          <w:p w14:paraId="53EFA1B8" w14:textId="77777777" w:rsidR="00915ABC" w:rsidRPr="001706E9" w:rsidRDefault="00B40CD0" w:rsidP="00D940EF">
            <w:r w:rsidRPr="002211D3">
              <w:t>Česká spořitelna a.s.</w:t>
            </w:r>
          </w:p>
        </w:tc>
        <w:tc>
          <w:tcPr>
            <w:tcW w:w="1948" w:type="dxa"/>
          </w:tcPr>
          <w:p w14:paraId="2B1C0495" w14:textId="77777777" w:rsidR="00915ABC" w:rsidRPr="002F5E62" w:rsidRDefault="00915ABC" w:rsidP="00D940EF">
            <w:r w:rsidRPr="002F5E62">
              <w:t>číslo účtu:</w:t>
            </w:r>
          </w:p>
        </w:tc>
        <w:tc>
          <w:tcPr>
            <w:tcW w:w="2372" w:type="dxa"/>
          </w:tcPr>
          <w:p w14:paraId="6CE8A1D1" w14:textId="4E77184A" w:rsidR="00915ABC" w:rsidRPr="001706E9" w:rsidRDefault="4E77184A" w:rsidP="008F0811">
            <w:pPr>
              <w:rPr>
                <w:i/>
              </w:rPr>
            </w:pPr>
            <w:r w:rsidRPr="4E77184A">
              <w:rPr>
                <w:szCs w:val="22"/>
              </w:rPr>
              <w:t>6563752</w:t>
            </w:r>
            <w:r w:rsidR="00B40CD0" w:rsidRPr="002211D3">
              <w:t>/0800</w:t>
            </w:r>
          </w:p>
        </w:tc>
      </w:tr>
      <w:tr w:rsidR="00915ABC" w:rsidRPr="003A7229" w14:paraId="7E5FACEF" w14:textId="77777777" w:rsidTr="6597B588">
        <w:trPr>
          <w:gridAfter w:val="1"/>
          <w:wAfter w:w="6552" w:type="dxa"/>
          <w:cantSplit/>
        </w:trPr>
        <w:tc>
          <w:tcPr>
            <w:tcW w:w="2628" w:type="dxa"/>
          </w:tcPr>
          <w:p w14:paraId="6B8AFCCF" w14:textId="77777777" w:rsidR="00915ABC" w:rsidRPr="002F5E62" w:rsidRDefault="00915ABC" w:rsidP="00D940EF">
            <w:r w:rsidRPr="002F5E62">
              <w:t>IČ:</w:t>
            </w:r>
          </w:p>
        </w:tc>
        <w:tc>
          <w:tcPr>
            <w:tcW w:w="2232" w:type="dxa"/>
          </w:tcPr>
          <w:p w14:paraId="4E11850A" w14:textId="599F7541" w:rsidR="00915ABC" w:rsidRPr="001706E9" w:rsidRDefault="03CD59E8" w:rsidP="00D940EF">
            <w:pPr>
              <w:rPr>
                <w:i/>
              </w:rPr>
            </w:pPr>
            <w:r w:rsidRPr="002F5E62">
              <w:t>04308697</w:t>
            </w:r>
          </w:p>
        </w:tc>
        <w:tc>
          <w:tcPr>
            <w:tcW w:w="1948" w:type="dxa"/>
          </w:tcPr>
          <w:p w14:paraId="1129A395" w14:textId="77777777" w:rsidR="00915ABC" w:rsidRPr="002F5E62" w:rsidRDefault="00915ABC" w:rsidP="00D940EF">
            <w:r w:rsidRPr="002F5E62">
              <w:t>DIČ:</w:t>
            </w:r>
          </w:p>
        </w:tc>
        <w:tc>
          <w:tcPr>
            <w:tcW w:w="2372" w:type="dxa"/>
          </w:tcPr>
          <w:p w14:paraId="05754188" w14:textId="0E1A6C93" w:rsidR="00915ABC" w:rsidRPr="001706E9" w:rsidRDefault="00915ABC" w:rsidP="00D940EF">
            <w:pPr>
              <w:rPr>
                <w:i/>
              </w:rPr>
            </w:pPr>
            <w:r>
              <w:t>CZ</w:t>
            </w:r>
            <w:r w:rsidR="03CD59E8">
              <w:t>04308697</w:t>
            </w:r>
          </w:p>
        </w:tc>
      </w:tr>
      <w:tr w:rsidR="00915ABC" w:rsidRPr="003A7229" w14:paraId="6C9D97A1" w14:textId="77777777" w:rsidTr="6597B588">
        <w:trPr>
          <w:cantSplit/>
        </w:trPr>
        <w:tc>
          <w:tcPr>
            <w:tcW w:w="2628" w:type="dxa"/>
          </w:tcPr>
          <w:p w14:paraId="377A454F" w14:textId="77777777" w:rsidR="00915ABC" w:rsidRPr="002F5E62" w:rsidRDefault="00915ABC" w:rsidP="00D940EF">
            <w:r w:rsidRPr="002F5E62">
              <w:t>spisová značka OR:</w:t>
            </w:r>
          </w:p>
        </w:tc>
        <w:tc>
          <w:tcPr>
            <w:tcW w:w="13104" w:type="dxa"/>
            <w:gridSpan w:val="4"/>
          </w:tcPr>
          <w:p w14:paraId="68C1C489" w14:textId="3C3FCAA4" w:rsidR="00915ABC" w:rsidRPr="001706E9" w:rsidRDefault="005714F8" w:rsidP="00AB6B77">
            <w:pPr>
              <w:rPr>
                <w:i/>
              </w:rPr>
            </w:pPr>
            <w:r w:rsidRPr="005714F8">
              <w:t>B 11012 vedená u Krajského soudu v Ostravě</w:t>
            </w:r>
          </w:p>
        </w:tc>
      </w:tr>
    </w:tbl>
    <w:p w14:paraId="74CEEFD9" w14:textId="77777777" w:rsidR="00915ABC" w:rsidRPr="002F5E62" w:rsidRDefault="00915ABC" w:rsidP="00915ABC">
      <w:r w:rsidRPr="002F5E62">
        <w:t xml:space="preserve">dále jen </w:t>
      </w:r>
      <w:r w:rsidR="003A6D9F" w:rsidRPr="003A6D9F">
        <w:rPr>
          <w:b/>
        </w:rPr>
        <w:t>Dodavatel</w:t>
      </w:r>
      <w:r>
        <w:t xml:space="preserve"> </w:t>
      </w:r>
      <w:r w:rsidRPr="002F5E62">
        <w:t>na straně druhé,</w:t>
      </w:r>
    </w:p>
    <w:p w14:paraId="41D45B7B" w14:textId="77777777" w:rsidR="00A955BE" w:rsidRDefault="00A955BE" w:rsidP="00A955BE"/>
    <w:p w14:paraId="0AC65D12" w14:textId="77777777" w:rsidR="003126C0" w:rsidRDefault="003126C0" w:rsidP="003126C0">
      <w:r>
        <w:t xml:space="preserve">uzavírají níže psaného dne, měsíce a roku </w:t>
      </w:r>
      <w:r w:rsidRPr="003126C0">
        <w:t xml:space="preserve">ve smyslu </w:t>
      </w:r>
      <w:r w:rsidR="00B230CA" w:rsidRPr="00B230CA">
        <w:t>§ 2</w:t>
      </w:r>
      <w:r w:rsidR="00B230CA">
        <w:t>079</w:t>
      </w:r>
      <w:r w:rsidR="00B230CA" w:rsidRPr="00B230CA">
        <w:t xml:space="preserve"> občanského zákoníku </w:t>
      </w:r>
      <w:r>
        <w:t>tuto Smlouvu</w:t>
      </w:r>
    </w:p>
    <w:p w14:paraId="76ED37C7" w14:textId="77777777" w:rsidR="00D940EF" w:rsidRPr="00B149A5" w:rsidRDefault="00D940EF" w:rsidP="00D940EF">
      <w:pPr>
        <w:pStyle w:val="Nadpis1"/>
      </w:pPr>
      <w:bookmarkStart w:id="1" w:name="_Ref168477626"/>
      <w:bookmarkStart w:id="2" w:name="_Toc175127068"/>
      <w:r>
        <w:t>Všeo</w:t>
      </w:r>
      <w:r w:rsidRPr="000B038D">
        <w:t>becné obchodní</w:t>
      </w:r>
      <w:r>
        <w:t> </w:t>
      </w:r>
      <w:r w:rsidRPr="00B149A5">
        <w:t>podmínky</w:t>
      </w:r>
      <w:bookmarkEnd w:id="1"/>
      <w:bookmarkEnd w:id="2"/>
    </w:p>
    <w:p w14:paraId="0581CEFF" w14:textId="77777777" w:rsidR="00D940EF" w:rsidRDefault="00D940EF" w:rsidP="00D940EF">
      <w:pPr>
        <w:pStyle w:val="Nadpis2"/>
      </w:pPr>
      <w:bookmarkStart w:id="3" w:name="_Ref168477634"/>
      <w:r w:rsidRPr="009D7CC3">
        <w:t>Základní obchodní vztah mezi O</w:t>
      </w:r>
      <w:r w:rsidR="003A6D9F">
        <w:t xml:space="preserve">dběratelem </w:t>
      </w:r>
      <w:r w:rsidRPr="009D7CC3">
        <w:t xml:space="preserve">a </w:t>
      </w:r>
      <w:r w:rsidR="003A6D9F">
        <w:t xml:space="preserve">Dodavatelem </w:t>
      </w:r>
      <w:r w:rsidRPr="009D7CC3">
        <w:t xml:space="preserve">je vymezen </w:t>
      </w:r>
      <w:r w:rsidR="00E83288">
        <w:t>v</w:t>
      </w:r>
      <w:r>
        <w:t>šeo</w:t>
      </w:r>
      <w:r w:rsidRPr="009D7CC3">
        <w:t xml:space="preserve">becnými </w:t>
      </w:r>
      <w:r w:rsidR="003A6D9F">
        <w:t xml:space="preserve">obchodními </w:t>
      </w:r>
      <w:r w:rsidRPr="009D7CC3">
        <w:t xml:space="preserve">podmínkami, které jsou nedílnou součástí této </w:t>
      </w:r>
      <w:r>
        <w:t>S</w:t>
      </w:r>
      <w:r w:rsidRPr="009D7CC3">
        <w:t>mlouvy a jsou uvedeny v </w:t>
      </w:r>
      <w:r w:rsidRPr="00CB7755">
        <w:t xml:space="preserve">Příloze </w:t>
      </w:r>
      <w:r w:rsidR="00BF32DC">
        <w:t xml:space="preserve">č.1 </w:t>
      </w:r>
      <w:r>
        <w:t>S</w:t>
      </w:r>
      <w:r w:rsidRPr="009D7CC3">
        <w:t>mlouvy</w:t>
      </w:r>
      <w:r>
        <w:t>.</w:t>
      </w:r>
      <w:bookmarkEnd w:id="3"/>
    </w:p>
    <w:p w14:paraId="5FEED04C" w14:textId="77777777" w:rsidR="00D940EF" w:rsidRDefault="00D940EF" w:rsidP="00D940EF">
      <w:pPr>
        <w:pStyle w:val="Nadpis2"/>
      </w:pPr>
      <w:bookmarkStart w:id="4" w:name="_Ref168477641"/>
      <w:r>
        <w:t xml:space="preserve">Upravuje-li tato Smlouva některé otázky odlišně, mají přednost ustanovení této Smlouvy před ustanoveními </w:t>
      </w:r>
      <w:r w:rsidR="00E83288">
        <w:t>v</w:t>
      </w:r>
      <w:r>
        <w:t xml:space="preserve">šeobecných </w:t>
      </w:r>
      <w:r w:rsidR="003A6D9F">
        <w:t xml:space="preserve">obchodních </w:t>
      </w:r>
      <w:r>
        <w:t>podmínek.</w:t>
      </w:r>
      <w:bookmarkEnd w:id="4"/>
    </w:p>
    <w:p w14:paraId="357996EE" w14:textId="77777777" w:rsidR="00D940EF" w:rsidRDefault="00D940EF" w:rsidP="00D940EF">
      <w:pPr>
        <w:pStyle w:val="Nadpis1"/>
      </w:pPr>
      <w:bookmarkStart w:id="5" w:name="_Ref168282808"/>
      <w:bookmarkStart w:id="6" w:name="_Toc175127070"/>
      <w:r w:rsidRPr="004A07D9">
        <w:t>Předmět plnění</w:t>
      </w:r>
      <w:bookmarkEnd w:id="5"/>
      <w:bookmarkEnd w:id="6"/>
    </w:p>
    <w:p w14:paraId="149FF4F7" w14:textId="77777777" w:rsidR="00D940EF" w:rsidRDefault="00D940EF" w:rsidP="00D940EF">
      <w:pPr>
        <w:pStyle w:val="Nadpis2"/>
        <w:rPr>
          <w:rFonts w:cs="Tahoma"/>
        </w:rPr>
      </w:pPr>
      <w:bookmarkStart w:id="7" w:name="_Ref168374271"/>
      <w:r w:rsidRPr="002E459B">
        <w:t xml:space="preserve">Předmětem plnění této </w:t>
      </w:r>
      <w:r>
        <w:t>S</w:t>
      </w:r>
      <w:r w:rsidRPr="002E459B">
        <w:t xml:space="preserve">mlouvy je závazek </w:t>
      </w:r>
      <w:r w:rsidR="003A6D9F">
        <w:t xml:space="preserve">Dodavatele </w:t>
      </w:r>
      <w:r w:rsidRPr="00A308FD">
        <w:t>d</w:t>
      </w:r>
      <w:r w:rsidR="00A308FD" w:rsidRPr="00A308FD">
        <w:rPr>
          <w:rFonts w:cs="Tahoma"/>
        </w:rPr>
        <w:t>odat</w:t>
      </w:r>
      <w:r>
        <w:rPr>
          <w:rFonts w:cs="Tahoma"/>
        </w:rPr>
        <w:t xml:space="preserve"> </w:t>
      </w:r>
      <w:r w:rsidR="003A6D9F">
        <w:rPr>
          <w:rFonts w:cs="Tahoma"/>
        </w:rPr>
        <w:t xml:space="preserve">Odběrateli </w:t>
      </w:r>
      <w:r w:rsidRPr="00A308FD">
        <w:rPr>
          <w:rFonts w:cs="Tahoma"/>
        </w:rPr>
        <w:t>zboží</w:t>
      </w:r>
      <w:r>
        <w:rPr>
          <w:rFonts w:cs="Tahoma"/>
        </w:rPr>
        <w:t xml:space="preserve"> dle</w:t>
      </w:r>
      <w:bookmarkEnd w:id="7"/>
      <w:r>
        <w:rPr>
          <w:rFonts w:cs="Tahoma"/>
        </w:rPr>
        <w:t xml:space="preserve"> </w:t>
      </w:r>
    </w:p>
    <w:p w14:paraId="3D6A1D05" w14:textId="4F5C8612" w:rsidR="00E70122" w:rsidRPr="004D57AB" w:rsidRDefault="00D940EF" w:rsidP="004D57AB">
      <w:pPr>
        <w:pStyle w:val="Odrky"/>
        <w:numPr>
          <w:ilvl w:val="0"/>
          <w:numId w:val="0"/>
        </w:numPr>
        <w:ind w:left="907" w:hanging="340"/>
        <w:rPr>
          <w:iCs w:val="0"/>
        </w:rPr>
      </w:pPr>
      <w:r w:rsidRPr="002B3E0B">
        <w:rPr>
          <w:iCs w:val="0"/>
        </w:rPr>
        <w:t>Přílohy č.</w:t>
      </w:r>
      <w:r w:rsidR="002B3E0B" w:rsidRPr="002B3E0B">
        <w:rPr>
          <w:iCs w:val="0"/>
          <w:lang w:val="cs-CZ"/>
        </w:rPr>
        <w:t>2</w:t>
      </w:r>
      <w:r w:rsidRPr="002B3E0B">
        <w:rPr>
          <w:iCs w:val="0"/>
        </w:rPr>
        <w:t xml:space="preserve"> t</w:t>
      </w:r>
      <w:r w:rsidRPr="004D57AB">
        <w:rPr>
          <w:iCs w:val="0"/>
        </w:rPr>
        <w:t>éto kupní smlouvy</w:t>
      </w:r>
    </w:p>
    <w:p w14:paraId="1B16B70B" w14:textId="1F2CB669" w:rsidR="001C3231" w:rsidRPr="004D57AB" w:rsidRDefault="00A308FD" w:rsidP="00CE3B1D">
      <w:pPr>
        <w:pStyle w:val="Nadpis2"/>
      </w:pPr>
      <w:bookmarkStart w:id="8" w:name="_Ref168374311"/>
      <w:r w:rsidRPr="004D57AB">
        <w:t>Předmětem plnění této Smlouvy je závazek Dodavatele d</w:t>
      </w:r>
      <w:r w:rsidRPr="004D57AB">
        <w:rPr>
          <w:rFonts w:cs="Tahoma"/>
        </w:rPr>
        <w:t>odat Odběrateli služby spojené s dodáv</w:t>
      </w:r>
      <w:r w:rsidR="001C3231" w:rsidRPr="004D57AB">
        <w:rPr>
          <w:rFonts w:cs="Tahoma"/>
        </w:rPr>
        <w:t>k</w:t>
      </w:r>
      <w:r w:rsidRPr="004D57AB">
        <w:rPr>
          <w:rFonts w:cs="Tahoma"/>
        </w:rPr>
        <w:t>ou zboží v rozsahu dle</w:t>
      </w:r>
      <w:bookmarkEnd w:id="8"/>
      <w:r w:rsidRPr="004D57AB">
        <w:rPr>
          <w:rFonts w:cs="Tahoma"/>
        </w:rPr>
        <w:t xml:space="preserve"> </w:t>
      </w:r>
      <w:r w:rsidR="001C3231" w:rsidRPr="004D57AB">
        <w:t>následující specifikace</w:t>
      </w:r>
      <w:r w:rsidR="004D57AB">
        <w:rPr>
          <w:lang w:val="cs-CZ"/>
        </w:rPr>
        <w:t>:</w:t>
      </w:r>
    </w:p>
    <w:p w14:paraId="5178D705" w14:textId="77777777" w:rsidR="001C3231" w:rsidRPr="004D57AB" w:rsidRDefault="001C3231" w:rsidP="001C3231">
      <w:pPr>
        <w:pStyle w:val="Odrky"/>
        <w:tabs>
          <w:tab w:val="clear" w:pos="907"/>
          <w:tab w:val="num" w:pos="1260"/>
        </w:tabs>
        <w:ind w:left="1260" w:hanging="360"/>
        <w:rPr>
          <w:iCs w:val="0"/>
        </w:rPr>
      </w:pPr>
      <w:r w:rsidRPr="004D57AB">
        <w:rPr>
          <w:iCs w:val="0"/>
        </w:rPr>
        <w:t>Instalace</w:t>
      </w:r>
    </w:p>
    <w:p w14:paraId="23DDB33C" w14:textId="77777777" w:rsidR="001C3231" w:rsidRPr="004D57AB" w:rsidRDefault="001C3231" w:rsidP="001C3231">
      <w:pPr>
        <w:pStyle w:val="Odrky"/>
        <w:tabs>
          <w:tab w:val="clear" w:pos="907"/>
          <w:tab w:val="num" w:pos="1260"/>
        </w:tabs>
        <w:ind w:left="1260" w:hanging="360"/>
        <w:rPr>
          <w:iCs w:val="0"/>
        </w:rPr>
      </w:pPr>
      <w:r w:rsidRPr="004D57AB">
        <w:rPr>
          <w:iCs w:val="0"/>
        </w:rPr>
        <w:t>Doprava</w:t>
      </w:r>
    </w:p>
    <w:p w14:paraId="0B31C52A" w14:textId="61E4258E" w:rsidR="001C3231" w:rsidRPr="004D57AB" w:rsidRDefault="001C3231" w:rsidP="001C3231">
      <w:pPr>
        <w:pStyle w:val="Odrky"/>
        <w:tabs>
          <w:tab w:val="clear" w:pos="907"/>
          <w:tab w:val="num" w:pos="1260"/>
        </w:tabs>
        <w:ind w:left="1260" w:hanging="360"/>
        <w:rPr>
          <w:iCs w:val="0"/>
        </w:rPr>
      </w:pPr>
      <w:r w:rsidRPr="004D57AB">
        <w:rPr>
          <w:iCs w:val="0"/>
        </w:rPr>
        <w:t>Nastavení</w:t>
      </w:r>
      <w:r w:rsidR="004D57AB">
        <w:rPr>
          <w:iCs w:val="0"/>
          <w:lang w:val="cs-CZ"/>
        </w:rPr>
        <w:t xml:space="preserve"> konektivity k serverům Odběratele</w:t>
      </w:r>
    </w:p>
    <w:p w14:paraId="74E09D50" w14:textId="77777777" w:rsidR="00D940EF" w:rsidRDefault="00D940EF" w:rsidP="00D940EF">
      <w:pPr>
        <w:pStyle w:val="Nadpis1"/>
      </w:pPr>
      <w:bookmarkStart w:id="9" w:name="_Ref168282942"/>
      <w:bookmarkStart w:id="10" w:name="_Toc175127071"/>
      <w:r w:rsidRPr="00083251">
        <w:t>Termíny plnění</w:t>
      </w:r>
      <w:r>
        <w:t xml:space="preserve">, harmonogram </w:t>
      </w:r>
      <w:r w:rsidR="00B117F2">
        <w:t>dodávky</w:t>
      </w:r>
      <w:bookmarkEnd w:id="9"/>
      <w:bookmarkEnd w:id="10"/>
    </w:p>
    <w:p w14:paraId="67FFE9B7" w14:textId="77777777" w:rsidR="00D940EF" w:rsidRDefault="00D940EF" w:rsidP="00D940EF">
      <w:pPr>
        <w:pStyle w:val="Nadpis2"/>
      </w:pPr>
      <w:bookmarkStart w:id="11" w:name="_Ref168544297"/>
      <w:r>
        <w:t>Smluvní str</w:t>
      </w:r>
      <w:r w:rsidR="00B117F2">
        <w:t>any dohodly následující termíny pro dodání/předání Předmětu plnění</w:t>
      </w:r>
      <w:r w:rsidRPr="004C5F01">
        <w:t>:</w:t>
      </w:r>
      <w:bookmarkEnd w:id="11"/>
    </w:p>
    <w:p w14:paraId="5FB601CC" w14:textId="5B63BA4B" w:rsidR="00B117F2" w:rsidRPr="004D57AB" w:rsidRDefault="00064755" w:rsidP="002B3E0B">
      <w:pPr>
        <w:pStyle w:val="Odrky"/>
        <w:numPr>
          <w:ilvl w:val="0"/>
          <w:numId w:val="0"/>
        </w:numPr>
        <w:ind w:left="907" w:hanging="340"/>
        <w:rPr>
          <w:iCs w:val="0"/>
        </w:rPr>
      </w:pPr>
      <w:r w:rsidRPr="004D57AB">
        <w:rPr>
          <w:iCs w:val="0"/>
        </w:rPr>
        <w:t xml:space="preserve">Předmět plnění bude dodán v termínu do   </w:t>
      </w:r>
      <w:r w:rsidR="00B117F2" w:rsidRPr="004D57AB">
        <w:rPr>
          <w:iCs w:val="0"/>
        </w:rPr>
        <w:t xml:space="preserve">– </w:t>
      </w:r>
      <w:r w:rsidR="004D57AB" w:rsidRPr="004D57AB">
        <w:rPr>
          <w:iCs w:val="0"/>
          <w:lang w:val="cs-CZ"/>
        </w:rPr>
        <w:t>30. 6. 2023</w:t>
      </w:r>
      <w:r w:rsidR="00B117F2" w:rsidRPr="004D57AB">
        <w:rPr>
          <w:iCs w:val="0"/>
        </w:rPr>
        <w:t xml:space="preserve"> </w:t>
      </w:r>
    </w:p>
    <w:p w14:paraId="2D296FED" w14:textId="77777777" w:rsidR="00D940EF" w:rsidRPr="00FE4801" w:rsidRDefault="00D940EF" w:rsidP="00D940EF"/>
    <w:p w14:paraId="29B7B18A" w14:textId="7CF73BE3" w:rsidR="00D329C7" w:rsidRDefault="00D940EF" w:rsidP="00D940EF">
      <w:pPr>
        <w:pStyle w:val="Nadpis2"/>
        <w:rPr>
          <w:iCs/>
        </w:rPr>
      </w:pPr>
      <w:bookmarkStart w:id="12" w:name="_Ref168544311"/>
      <w:r w:rsidRPr="00B728D3">
        <w:rPr>
          <w:iCs/>
        </w:rPr>
        <w:lastRenderedPageBreak/>
        <w:t xml:space="preserve">Smluvní strany berou na vědomí, že dodržení sjednaných termínů Plnění je podmíněno poskytnutím řádné součinnosti </w:t>
      </w:r>
      <w:r w:rsidR="008E1686">
        <w:rPr>
          <w:iCs/>
        </w:rPr>
        <w:t>Odběratel</w:t>
      </w:r>
      <w:r w:rsidRPr="00B728D3">
        <w:rPr>
          <w:iCs/>
        </w:rPr>
        <w:t>e.</w:t>
      </w:r>
      <w:bookmarkEnd w:id="12"/>
    </w:p>
    <w:p w14:paraId="33C18161" w14:textId="66E3E3C5" w:rsidR="00D329C7" w:rsidRDefault="00D329C7">
      <w:pPr>
        <w:rPr>
          <w:iCs/>
          <w:kern w:val="28"/>
          <w:szCs w:val="20"/>
          <w:lang w:val="x-none" w:eastAsia="x-none"/>
        </w:rPr>
      </w:pPr>
    </w:p>
    <w:p w14:paraId="0722B7D4" w14:textId="77777777" w:rsidR="00D940EF" w:rsidRPr="00B117F2" w:rsidRDefault="00D940EF" w:rsidP="00D940EF">
      <w:pPr>
        <w:pStyle w:val="Nadpis1"/>
      </w:pPr>
      <w:bookmarkStart w:id="13" w:name="_Ref168375761"/>
      <w:bookmarkStart w:id="14" w:name="_Toc175127072"/>
      <w:r w:rsidRPr="00B117F2">
        <w:t xml:space="preserve">Cena předmětu </w:t>
      </w:r>
      <w:r w:rsidRPr="008F210C">
        <w:t>plnění</w:t>
      </w:r>
      <w:bookmarkEnd w:id="13"/>
      <w:bookmarkEnd w:id="14"/>
      <w:r w:rsidR="00390C59" w:rsidRPr="008F210C">
        <w:t xml:space="preserve"> (kupní cena)</w:t>
      </w:r>
    </w:p>
    <w:p w14:paraId="59F2F86F" w14:textId="77777777" w:rsidR="0056217A" w:rsidRPr="008F210C" w:rsidRDefault="0056217A" w:rsidP="00D940EF">
      <w:pPr>
        <w:pStyle w:val="Nadpis2"/>
      </w:pPr>
      <w:bookmarkStart w:id="15" w:name="_Ref168545762"/>
      <w:r w:rsidRPr="008F210C">
        <w:rPr>
          <w:lang w:val="cs-CZ"/>
        </w:rPr>
        <w:t xml:space="preserve">Ceny </w:t>
      </w:r>
      <w:r w:rsidRPr="008F210C">
        <w:t>uvedené v tomto článku jsou uvedeny jako ceny bez DPH a s DPH ve výši platné ke dni uzavření Smlouvy. Dojde-li ke změně sazby DPH, bude DPH účtována podle právních předpisů platných v době uskutečnění zdanitelného plnění. Takováto změna ceny není důvodem k uzavření dodatku ke</w:t>
      </w:r>
      <w:r w:rsidRPr="008F210C">
        <w:rPr>
          <w:lang w:val="cs-CZ"/>
        </w:rPr>
        <w:t xml:space="preserve"> Smlouvě.</w:t>
      </w:r>
    </w:p>
    <w:p w14:paraId="5931B1E9" w14:textId="7E79B0A9" w:rsidR="00D940EF" w:rsidRDefault="0056217A" w:rsidP="00D940EF">
      <w:pPr>
        <w:pStyle w:val="Nadpis2"/>
      </w:pPr>
      <w:r>
        <w:rPr>
          <w:lang w:val="cs-CZ"/>
        </w:rPr>
        <w:t xml:space="preserve"> </w:t>
      </w:r>
      <w:r w:rsidR="00D940EF">
        <w:t xml:space="preserve">Celková cena </w:t>
      </w:r>
      <w:r w:rsidR="00301D6A">
        <w:t>p</w:t>
      </w:r>
      <w:r w:rsidR="00D940EF">
        <w:t xml:space="preserve">ředmětu plnění podle </w:t>
      </w:r>
      <w:r w:rsidR="00D940EF" w:rsidRPr="003E6643">
        <w:t xml:space="preserve">článku </w:t>
      </w:r>
      <w:r w:rsidR="0037408A">
        <w:rPr>
          <w:highlight w:val="yellow"/>
        </w:rPr>
        <w:fldChar w:fldCharType="begin"/>
      </w:r>
      <w:r w:rsidR="0037408A">
        <w:instrText xml:space="preserve"> REF _Ref168282808 \r \h </w:instrText>
      </w:r>
      <w:r w:rsidR="0037408A">
        <w:rPr>
          <w:highlight w:val="yellow"/>
        </w:rPr>
      </w:r>
      <w:r w:rsidR="0037408A">
        <w:rPr>
          <w:highlight w:val="yellow"/>
        </w:rPr>
        <w:fldChar w:fldCharType="separate"/>
      </w:r>
      <w:r w:rsidR="00EE4661">
        <w:t>3</w:t>
      </w:r>
      <w:r w:rsidR="0037408A">
        <w:rPr>
          <w:highlight w:val="yellow"/>
        </w:rPr>
        <w:fldChar w:fldCharType="end"/>
      </w:r>
      <w:r w:rsidR="00D940EF">
        <w:t xml:space="preserve"> je stanovena dohodou </w:t>
      </w:r>
      <w:r w:rsidR="00D940EF" w:rsidRPr="008F1EC4">
        <w:t>a činí</w:t>
      </w:r>
      <w:bookmarkEnd w:id="15"/>
      <w:r w:rsidR="00D940EF" w:rsidRPr="008F1EC4">
        <w:t xml:space="preserve"> </w:t>
      </w:r>
    </w:p>
    <w:p w14:paraId="62830D96" w14:textId="77777777" w:rsidR="00D940EF" w:rsidRPr="007A7777" w:rsidRDefault="00D940EF" w:rsidP="00D940EF"/>
    <w:p w14:paraId="58AD1A71" w14:textId="208D927A" w:rsidR="00D940EF" w:rsidRDefault="00003119" w:rsidP="00D940EF">
      <w:pPr>
        <w:pStyle w:val="Text2"/>
        <w:rPr>
          <w:iCs/>
        </w:rPr>
      </w:pPr>
      <w:r w:rsidRPr="00003119">
        <w:rPr>
          <w:iCs/>
        </w:rPr>
        <w:t>1 160 000</w:t>
      </w:r>
      <w:r w:rsidR="00D940EF" w:rsidRPr="00003119">
        <w:rPr>
          <w:iCs/>
        </w:rPr>
        <w:t xml:space="preserve">,- </w:t>
      </w:r>
      <w:proofErr w:type="gramStart"/>
      <w:r w:rsidR="00D940EF" w:rsidRPr="00003119">
        <w:rPr>
          <w:iCs/>
        </w:rPr>
        <w:t>Kč  (</w:t>
      </w:r>
      <w:proofErr w:type="gramEnd"/>
      <w:r w:rsidR="00D940EF" w:rsidRPr="00003119">
        <w:rPr>
          <w:iCs/>
        </w:rPr>
        <w:t xml:space="preserve">slovy </w:t>
      </w:r>
      <w:proofErr w:type="spellStart"/>
      <w:r w:rsidRPr="00003119">
        <w:rPr>
          <w:iCs/>
        </w:rPr>
        <w:t>jedenmilionjednostošedesáttisíc</w:t>
      </w:r>
      <w:proofErr w:type="spellEnd"/>
      <w:r w:rsidR="00D940EF" w:rsidRPr="00003119">
        <w:rPr>
          <w:iCs/>
        </w:rPr>
        <w:t xml:space="preserve"> korun</w:t>
      </w:r>
      <w:r w:rsidRPr="00003119">
        <w:rPr>
          <w:iCs/>
        </w:rPr>
        <w:t xml:space="preserve"> českých</w:t>
      </w:r>
      <w:r w:rsidR="00D940EF" w:rsidRPr="00003119">
        <w:rPr>
          <w:iCs/>
        </w:rPr>
        <w:t>)</w:t>
      </w:r>
      <w:r w:rsidRPr="00003119">
        <w:rPr>
          <w:iCs/>
        </w:rPr>
        <w:t xml:space="preserve"> bez</w:t>
      </w:r>
      <w:r>
        <w:rPr>
          <w:iCs/>
        </w:rPr>
        <w:t xml:space="preserve"> DPH</w:t>
      </w:r>
    </w:p>
    <w:p w14:paraId="723924F7" w14:textId="202146DB" w:rsidR="00003119" w:rsidRDefault="00003119" w:rsidP="00D940EF">
      <w:pPr>
        <w:pStyle w:val="Text2"/>
        <w:rPr>
          <w:iCs/>
        </w:rPr>
      </w:pPr>
      <w:r>
        <w:rPr>
          <w:iCs/>
        </w:rPr>
        <w:t xml:space="preserve">   243 600,- Kč (slovy: </w:t>
      </w:r>
      <w:proofErr w:type="spellStart"/>
      <w:r>
        <w:rPr>
          <w:iCs/>
        </w:rPr>
        <w:t>dvěstěčtyřicettřitisícešestset</w:t>
      </w:r>
      <w:proofErr w:type="spellEnd"/>
      <w:r>
        <w:rPr>
          <w:iCs/>
        </w:rPr>
        <w:t xml:space="preserve"> korun českých) výše DPH</w:t>
      </w:r>
    </w:p>
    <w:p w14:paraId="3212A533" w14:textId="5302BB21" w:rsidR="00003119" w:rsidRPr="00003119" w:rsidRDefault="00003119" w:rsidP="00D940EF">
      <w:pPr>
        <w:pStyle w:val="Text2"/>
        <w:rPr>
          <w:iCs/>
        </w:rPr>
      </w:pPr>
      <w:r>
        <w:rPr>
          <w:iCs/>
        </w:rPr>
        <w:t xml:space="preserve">1 403 600,- Kč (slovy: </w:t>
      </w:r>
      <w:proofErr w:type="spellStart"/>
      <w:r>
        <w:rPr>
          <w:iCs/>
        </w:rPr>
        <w:t>jedenmiliončtyřistatřitisícešestset</w:t>
      </w:r>
      <w:proofErr w:type="spellEnd"/>
      <w:r>
        <w:rPr>
          <w:iCs/>
        </w:rPr>
        <w:t xml:space="preserve"> korun českých) celková cena včetně DPH</w:t>
      </w:r>
    </w:p>
    <w:p w14:paraId="7DD57993" w14:textId="77777777" w:rsidR="00D940EF" w:rsidRPr="009E57FA" w:rsidRDefault="00D940EF" w:rsidP="00D940EF">
      <w:pPr>
        <w:pStyle w:val="Nadpis1"/>
        <w:numPr>
          <w:ilvl w:val="0"/>
          <w:numId w:val="1"/>
        </w:numPr>
      </w:pPr>
      <w:bookmarkStart w:id="16" w:name="_Ref168377650"/>
      <w:bookmarkStart w:id="17" w:name="_Toc175127073"/>
      <w:r w:rsidRPr="009E57FA">
        <w:t>Platební podmínky</w:t>
      </w:r>
      <w:bookmarkEnd w:id="16"/>
      <w:bookmarkEnd w:id="17"/>
    </w:p>
    <w:p w14:paraId="01A5EEAC" w14:textId="77777777" w:rsidR="00D940EF" w:rsidRPr="002D2104" w:rsidRDefault="002D2104" w:rsidP="002D2104">
      <w:pPr>
        <w:pStyle w:val="Nadpis2"/>
      </w:pPr>
      <w:bookmarkStart w:id="18" w:name="_Ref168546478"/>
      <w:r w:rsidRPr="002D2104">
        <w:t>Způsob úhrady</w:t>
      </w:r>
      <w:r w:rsidR="008E1686">
        <w:t>, splatnost</w:t>
      </w:r>
      <w:bookmarkEnd w:id="18"/>
      <w:r w:rsidRPr="002D2104">
        <w:t xml:space="preserve"> </w:t>
      </w:r>
    </w:p>
    <w:p w14:paraId="0C2541C9" w14:textId="7ED6D604" w:rsidR="004F4109" w:rsidRDefault="00D940EF" w:rsidP="004F4109">
      <w:pPr>
        <w:pStyle w:val="Text2"/>
        <w:rPr>
          <w:i/>
        </w:rPr>
      </w:pPr>
      <w:r w:rsidRPr="006D2D6F">
        <w:t xml:space="preserve">Smluvní strany se dohodly na bezhotovostním placení z účtu </w:t>
      </w:r>
      <w:r w:rsidR="008E1686">
        <w:t>Odběratel</w:t>
      </w:r>
      <w:r w:rsidRPr="006D2D6F">
        <w:t xml:space="preserve">e na účet </w:t>
      </w:r>
      <w:r w:rsidR="008E1686">
        <w:t>Dodavatel</w:t>
      </w:r>
      <w:r w:rsidRPr="006D2D6F">
        <w:t xml:space="preserve">e. Platba se uskuteční v korunách českých na základě faktury-daňového dokladu, se splatností </w:t>
      </w:r>
      <w:r w:rsidR="00003119">
        <w:t>14</w:t>
      </w:r>
      <w:r w:rsidRPr="006D2D6F">
        <w:rPr>
          <w:b/>
        </w:rPr>
        <w:t xml:space="preserve"> </w:t>
      </w:r>
      <w:r w:rsidRPr="006D2D6F">
        <w:t>dnů</w:t>
      </w:r>
      <w:r w:rsidRPr="006D2D6F">
        <w:rPr>
          <w:b/>
        </w:rPr>
        <w:t xml:space="preserve"> </w:t>
      </w:r>
      <w:r w:rsidRPr="006D5A27">
        <w:t>od vystavení</w:t>
      </w:r>
      <w:r w:rsidRPr="006D2D6F">
        <w:t xml:space="preserve"> faktury. Daňový doklad musí obsahovat veškeré náležitosti v sou</w:t>
      </w:r>
      <w:r w:rsidR="007F0A35">
        <w:t>ladu se zákonem č. 235/2004 Sb.</w:t>
      </w:r>
      <w:r w:rsidRPr="006D2D6F">
        <w:t xml:space="preserve"> </w:t>
      </w:r>
      <w:r w:rsidRPr="006D2D6F">
        <w:br/>
        <w:t xml:space="preserve">V případě, že faktura vystavená </w:t>
      </w:r>
      <w:r w:rsidR="008E1686">
        <w:t>Dodavatel</w:t>
      </w:r>
      <w:r w:rsidRPr="006D2D6F">
        <w:t xml:space="preserve">em nebude obsahovat náležitosti dle této Smlouvy, je </w:t>
      </w:r>
      <w:r w:rsidR="008E1686">
        <w:t>Odběratel</w:t>
      </w:r>
      <w:r w:rsidRPr="006D2D6F">
        <w:t xml:space="preserve"> oprávněn fakturu vrátit </w:t>
      </w:r>
      <w:r w:rsidR="008E1686">
        <w:t>Dodavateli</w:t>
      </w:r>
      <w:r w:rsidRPr="006D2D6F">
        <w:t>, přičemž po doručení opravené faktury začne znovu od počátku běžet lhůta její splatnosti.</w:t>
      </w:r>
      <w:r w:rsidR="007C3F50">
        <w:t xml:space="preserve"> </w:t>
      </w:r>
    </w:p>
    <w:p w14:paraId="7620E15C" w14:textId="77777777" w:rsidR="008E1686" w:rsidRPr="008E1686" w:rsidRDefault="008E1686" w:rsidP="00B81577">
      <w:pPr>
        <w:pStyle w:val="Nadpis2"/>
      </w:pPr>
      <w:bookmarkStart w:id="19" w:name="_Ref168547174"/>
      <w:r>
        <w:t>Povinnost úhrady</w:t>
      </w:r>
      <w:bookmarkEnd w:id="19"/>
      <w:r>
        <w:t xml:space="preserve"> </w:t>
      </w:r>
    </w:p>
    <w:p w14:paraId="66728220" w14:textId="6F9771CD" w:rsidR="00D940EF" w:rsidRPr="008C76CF" w:rsidRDefault="00D940EF" w:rsidP="004F4109">
      <w:pPr>
        <w:pStyle w:val="Text2"/>
      </w:pPr>
      <w:r w:rsidRPr="008C76CF">
        <w:t xml:space="preserve">Povinnost </w:t>
      </w:r>
      <w:r w:rsidR="008E1686">
        <w:t>Odběratel</w:t>
      </w:r>
      <w:r w:rsidRPr="008C76CF">
        <w:t>e zaplatit je splněna dnem připsání příslušné finanční částky na účet</w:t>
      </w:r>
      <w:r>
        <w:t> </w:t>
      </w:r>
      <w:r w:rsidR="008E1686">
        <w:t>Dodavatel</w:t>
      </w:r>
      <w:r w:rsidRPr="008C76CF">
        <w:t xml:space="preserve">e. </w:t>
      </w:r>
      <w:r>
        <w:br/>
      </w:r>
    </w:p>
    <w:p w14:paraId="0C066EEF" w14:textId="3E71CBFB" w:rsidR="00B30B0D" w:rsidRDefault="00B30B0D" w:rsidP="00B30B0D">
      <w:pPr>
        <w:pStyle w:val="Nadpis2"/>
        <w:keepNext/>
        <w:numPr>
          <w:ilvl w:val="1"/>
          <w:numId w:val="1"/>
        </w:numPr>
      </w:pPr>
      <w:bookmarkStart w:id="20" w:name="_Ref167518594"/>
      <w:r>
        <w:t xml:space="preserve">Právo a povinnost fakturovat </w:t>
      </w:r>
      <w:bookmarkEnd w:id="20"/>
    </w:p>
    <w:p w14:paraId="1B0D6796" w14:textId="61EF246E" w:rsidR="00B30B0D" w:rsidRPr="00003119" w:rsidRDefault="00B30B0D" w:rsidP="00003119">
      <w:pPr>
        <w:pStyle w:val="Nadpis3"/>
        <w:numPr>
          <w:ilvl w:val="2"/>
          <w:numId w:val="1"/>
        </w:numPr>
        <w:rPr>
          <w:i/>
          <w:iCs/>
        </w:rPr>
      </w:pPr>
      <w:r w:rsidRPr="0019728A">
        <w:t>Zhotoviteli vzniká právo fakturovat</w:t>
      </w:r>
      <w:r w:rsidR="00301D6A">
        <w:t xml:space="preserve">, tj. </w:t>
      </w:r>
      <w:r>
        <w:t xml:space="preserve">vystavit daňový doklad </w:t>
      </w:r>
      <w:r w:rsidRPr="0019728A">
        <w:t>O</w:t>
      </w:r>
      <w:r>
        <w:t>d</w:t>
      </w:r>
      <w:r w:rsidRPr="0019728A">
        <w:t>b</w:t>
      </w:r>
      <w:r>
        <w:t xml:space="preserve">ěrateli za </w:t>
      </w:r>
      <w:r w:rsidRPr="0019728A">
        <w:t xml:space="preserve">plnění </w:t>
      </w:r>
      <w:r>
        <w:t xml:space="preserve">uvedené </w:t>
      </w:r>
      <w:r w:rsidRPr="00003119">
        <w:t>v bodě </w:t>
      </w:r>
      <w:r w:rsidR="00003119" w:rsidRPr="00003119">
        <w:t>3</w:t>
      </w:r>
      <w:r w:rsidRPr="00003119">
        <w:t xml:space="preserve">. dnem podepsání </w:t>
      </w:r>
      <w:r w:rsidR="00301D6A" w:rsidRPr="00003119">
        <w:t>p</w:t>
      </w:r>
      <w:r w:rsidRPr="00003119">
        <w:t xml:space="preserve">rotokolu o </w:t>
      </w:r>
      <w:r w:rsidR="00301D6A" w:rsidRPr="00003119">
        <w:t>a</w:t>
      </w:r>
      <w:r w:rsidRPr="00003119">
        <w:t xml:space="preserve">kceptaci </w:t>
      </w:r>
      <w:r w:rsidR="00A86C5E">
        <w:t>předmětu plnění.</w:t>
      </w:r>
      <w:r w:rsidRPr="00003119">
        <w:rPr>
          <w:i/>
          <w:iCs/>
        </w:rPr>
        <w:t xml:space="preserve"> </w:t>
      </w:r>
    </w:p>
    <w:p w14:paraId="549B8F33" w14:textId="77777777" w:rsidR="00B30B0D" w:rsidRPr="00003119" w:rsidRDefault="00B30B0D" w:rsidP="00B30B0D">
      <w:pPr>
        <w:pStyle w:val="Nadpis3"/>
        <w:numPr>
          <w:ilvl w:val="2"/>
          <w:numId w:val="1"/>
        </w:numPr>
      </w:pPr>
      <w:r w:rsidRPr="00003119">
        <w:t>Faktury musí být předávány nebo zasílány následovně:</w:t>
      </w:r>
    </w:p>
    <w:p w14:paraId="72CEE223" w14:textId="5E0CB245" w:rsidR="00B30B0D" w:rsidRPr="00EE4661" w:rsidRDefault="00B30B0D" w:rsidP="00EE4661">
      <w:pPr>
        <w:ind w:left="1620"/>
        <w:rPr>
          <w:i/>
        </w:rPr>
      </w:pPr>
      <w:r w:rsidRPr="00003119">
        <w:rPr>
          <w:iCs/>
        </w:rPr>
        <w:t xml:space="preserve">elektronickou poštou na adresu </w:t>
      </w:r>
      <w:r w:rsidR="00EE4661">
        <w:rPr>
          <w:i/>
        </w:rPr>
        <w:t>f.schovanek@novybydzov.cz</w:t>
      </w:r>
    </w:p>
    <w:p w14:paraId="09D76612" w14:textId="281FF881" w:rsidR="0051796C" w:rsidRDefault="0051796C" w:rsidP="00EE4661">
      <w:pPr>
        <w:pStyle w:val="Odrky"/>
        <w:numPr>
          <w:ilvl w:val="0"/>
          <w:numId w:val="0"/>
        </w:numPr>
        <w:rPr>
          <w:i/>
          <w:lang w:val="cs-CZ"/>
        </w:rPr>
      </w:pPr>
    </w:p>
    <w:p w14:paraId="6D8D34DE" w14:textId="77777777" w:rsidR="00EE4661" w:rsidRPr="00003119" w:rsidRDefault="00EE4661" w:rsidP="00EE4661">
      <w:pPr>
        <w:pStyle w:val="Odrky"/>
        <w:numPr>
          <w:ilvl w:val="0"/>
          <w:numId w:val="0"/>
        </w:numPr>
        <w:rPr>
          <w:iCs w:val="0"/>
        </w:rPr>
      </w:pPr>
    </w:p>
    <w:p w14:paraId="4C415132" w14:textId="77777777" w:rsidR="00D940EF" w:rsidRPr="00180779" w:rsidRDefault="00D940EF" w:rsidP="00D940EF">
      <w:pPr>
        <w:pStyle w:val="Nadpis1"/>
      </w:pPr>
      <w:bookmarkStart w:id="21" w:name="_Ref168547770"/>
      <w:bookmarkStart w:id="22" w:name="_Toc175127074"/>
      <w:r w:rsidRPr="00180779">
        <w:t>Zmocnění k jednání</w:t>
      </w:r>
      <w:bookmarkEnd w:id="21"/>
      <w:bookmarkEnd w:id="22"/>
    </w:p>
    <w:p w14:paraId="00D4BFC3" w14:textId="77777777" w:rsidR="00D940EF" w:rsidRPr="00957EA2" w:rsidRDefault="00D940EF" w:rsidP="00D940EF">
      <w:pPr>
        <w:pStyle w:val="Nadpis2"/>
      </w:pPr>
      <w:bookmarkStart w:id="23" w:name="_Ref168547864"/>
      <w:r w:rsidRPr="00957EA2">
        <w:t>Kontaktní osoby</w:t>
      </w:r>
      <w:bookmarkEnd w:id="23"/>
      <w:r w:rsidRPr="00957EA2">
        <w:t xml:space="preserve"> </w:t>
      </w:r>
    </w:p>
    <w:p w14:paraId="7CCD5216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Dodavatel</w:t>
      </w:r>
      <w:r w:rsidRPr="009F3C67">
        <w:t>e:</w:t>
      </w:r>
    </w:p>
    <w:p w14:paraId="6BD30350" w14:textId="2237446A" w:rsidR="00D940EF" w:rsidRPr="00A1648F" w:rsidRDefault="00D940EF" w:rsidP="00D940EF">
      <w:pPr>
        <w:ind w:left="1620"/>
      </w:pPr>
      <w:proofErr w:type="gramStart"/>
      <w:r w:rsidRPr="00A1648F">
        <w:t>Účel - provozní</w:t>
      </w:r>
      <w:proofErr w:type="gramEnd"/>
      <w:r w:rsidRPr="00A1648F">
        <w:t>, finanční</w:t>
      </w:r>
      <w:r w:rsidR="00003119" w:rsidRPr="00A1648F">
        <w:t xml:space="preserve"> </w:t>
      </w:r>
      <w:r w:rsidRPr="00A1648F">
        <w:t>záležitosti</w:t>
      </w:r>
    </w:p>
    <w:p w14:paraId="1932FA0B" w14:textId="03C829F2" w:rsidR="00D940EF" w:rsidRPr="00A1648F" w:rsidRDefault="00D940EF" w:rsidP="00D940EF">
      <w:pPr>
        <w:ind w:left="1620"/>
      </w:pPr>
      <w:r w:rsidRPr="00A1648F">
        <w:t xml:space="preserve">Jméno, Příjmení: </w:t>
      </w:r>
      <w:r w:rsidR="00BD1C25">
        <w:tab/>
      </w:r>
    </w:p>
    <w:p w14:paraId="53AF33B7" w14:textId="1608397C" w:rsidR="00D940EF" w:rsidRPr="00A1648F" w:rsidRDefault="00D940EF" w:rsidP="00D940EF">
      <w:pPr>
        <w:ind w:left="1620"/>
      </w:pPr>
      <w:r w:rsidRPr="00A1648F">
        <w:t xml:space="preserve">e-mail: </w:t>
      </w:r>
      <w:r w:rsidR="00BD1C25">
        <w:tab/>
      </w:r>
    </w:p>
    <w:p w14:paraId="035FC468" w14:textId="02EDEA5E" w:rsidR="00D940EF" w:rsidRPr="00A1648F" w:rsidRDefault="00D940EF" w:rsidP="00D940EF">
      <w:pPr>
        <w:ind w:left="1620"/>
      </w:pPr>
      <w:r w:rsidRPr="00A1648F">
        <w:t xml:space="preserve">mobil </w:t>
      </w:r>
      <w:r w:rsidR="00BD1C25">
        <w:tab/>
      </w:r>
    </w:p>
    <w:p w14:paraId="0BFE83DB" w14:textId="60DD38BE" w:rsidR="00D940EF" w:rsidRPr="00A1648F" w:rsidRDefault="00D940EF" w:rsidP="00A966D7">
      <w:pPr>
        <w:ind w:left="1620"/>
      </w:pPr>
      <w:r w:rsidRPr="00A1648F">
        <w:t xml:space="preserve">adresa: </w:t>
      </w:r>
      <w:r w:rsidR="03CD59E8" w:rsidRPr="00A1648F">
        <w:t>AUTO</w:t>
      </w:r>
      <w:r w:rsidRPr="00A1648F">
        <w:t>C</w:t>
      </w:r>
      <w:r w:rsidR="03CD59E8" w:rsidRPr="00A1648F">
        <w:t>ONT</w:t>
      </w:r>
      <w:r w:rsidRPr="00A1648F">
        <w:t xml:space="preserve"> a.s., </w:t>
      </w:r>
      <w:r w:rsidR="00A1648F" w:rsidRPr="00A1648F">
        <w:t>Nám. Míru 22, 503 03 Smiřice</w:t>
      </w:r>
    </w:p>
    <w:p w14:paraId="3E151345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Odběratel</w:t>
      </w:r>
      <w:r w:rsidRPr="009F3C67">
        <w:t>e:</w:t>
      </w:r>
    </w:p>
    <w:p w14:paraId="49910612" w14:textId="0BC29CFB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Účel </w:t>
      </w:r>
      <w:r w:rsidR="00EE4661">
        <w:rPr>
          <w:i/>
        </w:rPr>
        <w:t>–</w:t>
      </w:r>
      <w:r w:rsidRPr="00AC613C">
        <w:rPr>
          <w:i/>
        </w:rPr>
        <w:t xml:space="preserve"> provozní</w:t>
      </w:r>
      <w:r w:rsidR="00EE4661">
        <w:rPr>
          <w:i/>
        </w:rPr>
        <w:t xml:space="preserve"> a</w:t>
      </w:r>
      <w:r w:rsidRPr="00AC613C">
        <w:rPr>
          <w:i/>
        </w:rPr>
        <w:t xml:space="preserve"> finanční</w:t>
      </w:r>
      <w:r w:rsidR="00EE4661">
        <w:rPr>
          <w:i/>
        </w:rPr>
        <w:t xml:space="preserve"> </w:t>
      </w:r>
      <w:r w:rsidRPr="00AC613C">
        <w:rPr>
          <w:i/>
        </w:rPr>
        <w:t>záležitosti</w:t>
      </w:r>
    </w:p>
    <w:p w14:paraId="16759671" w14:textId="77CB7935" w:rsidR="00C93179" w:rsidRPr="00AC613C" w:rsidRDefault="00C93179" w:rsidP="00C93179">
      <w:pPr>
        <w:ind w:left="1620"/>
        <w:rPr>
          <w:i/>
        </w:rPr>
      </w:pPr>
      <w:r w:rsidRPr="00AC613C">
        <w:rPr>
          <w:i/>
        </w:rPr>
        <w:t xml:space="preserve">Jméno, Příjmení: </w:t>
      </w:r>
      <w:r w:rsidR="00BD1C25">
        <w:rPr>
          <w:i/>
        </w:rPr>
        <w:tab/>
      </w:r>
    </w:p>
    <w:p w14:paraId="38193D00" w14:textId="1B7A298C" w:rsidR="00C93179" w:rsidRPr="00AC613C" w:rsidRDefault="00C93179" w:rsidP="00C93179">
      <w:pPr>
        <w:ind w:left="1620"/>
        <w:rPr>
          <w:i/>
        </w:rPr>
      </w:pPr>
      <w:r w:rsidRPr="00AC613C">
        <w:rPr>
          <w:i/>
        </w:rPr>
        <w:t xml:space="preserve">e-mail: </w:t>
      </w:r>
      <w:r w:rsidR="00BD1C25">
        <w:rPr>
          <w:i/>
        </w:rPr>
        <w:tab/>
      </w:r>
    </w:p>
    <w:p w14:paraId="3B45FB92" w14:textId="51C06BBF" w:rsidR="00C93179" w:rsidRPr="00AC613C" w:rsidRDefault="00C93179" w:rsidP="00C93179">
      <w:pPr>
        <w:ind w:left="1620"/>
        <w:rPr>
          <w:i/>
        </w:rPr>
      </w:pPr>
      <w:r w:rsidRPr="00AC613C">
        <w:rPr>
          <w:i/>
        </w:rPr>
        <w:t xml:space="preserve">tel: </w:t>
      </w:r>
      <w:r w:rsidR="00BD1C25">
        <w:rPr>
          <w:i/>
        </w:rPr>
        <w:tab/>
      </w:r>
      <w:bookmarkStart w:id="24" w:name="_GoBack"/>
      <w:bookmarkEnd w:id="24"/>
    </w:p>
    <w:p w14:paraId="06D0F053" w14:textId="77777777" w:rsidR="00C93179" w:rsidRPr="00C93179" w:rsidRDefault="00C93179" w:rsidP="00C93179">
      <w:pPr>
        <w:tabs>
          <w:tab w:val="center" w:pos="5629"/>
        </w:tabs>
        <w:ind w:left="1620"/>
        <w:rPr>
          <w:i/>
        </w:rPr>
      </w:pPr>
      <w:r w:rsidRPr="00AC613C">
        <w:rPr>
          <w:i/>
        </w:rPr>
        <w:t xml:space="preserve">adresa: </w:t>
      </w:r>
      <w:r>
        <w:rPr>
          <w:i/>
        </w:rPr>
        <w:t>Masarykovo náměstí 1</w:t>
      </w:r>
      <w:r w:rsidRPr="00AC613C">
        <w:rPr>
          <w:i/>
        </w:rPr>
        <w:t xml:space="preserve">, </w:t>
      </w:r>
      <w:r>
        <w:rPr>
          <w:i/>
        </w:rPr>
        <w:t>504 01 Nový Bydžov</w:t>
      </w:r>
    </w:p>
    <w:p w14:paraId="20860F97" w14:textId="77777777" w:rsidR="00A86C5E" w:rsidRPr="00AC613C" w:rsidRDefault="00A86C5E" w:rsidP="00D940EF">
      <w:pPr>
        <w:ind w:left="1620"/>
        <w:rPr>
          <w:i/>
        </w:rPr>
      </w:pPr>
    </w:p>
    <w:p w14:paraId="5EDB430D" w14:textId="77777777" w:rsidR="00D940EF" w:rsidRDefault="00D940EF" w:rsidP="00D940EF">
      <w:pPr>
        <w:pStyle w:val="Nadpis2"/>
      </w:pPr>
      <w:bookmarkStart w:id="25" w:name="_Ref168547880"/>
      <w:r w:rsidRPr="00572DA1">
        <w:lastRenderedPageBreak/>
        <w:t>Oprávněné osoby</w:t>
      </w:r>
      <w:bookmarkEnd w:id="25"/>
    </w:p>
    <w:p w14:paraId="1CA83925" w14:textId="77777777" w:rsidR="00D940EF" w:rsidRPr="00201A2E" w:rsidRDefault="00D940EF" w:rsidP="00D940EF">
      <w:r>
        <w:t>J</w:t>
      </w:r>
      <w:r w:rsidRPr="00201A2E">
        <w:t>sou zplnomocněné osoby smluvních stran, které jsou oprávněny jednat jménem smluvních stran o všech smluvních a obchodních záležitostech týkajících se Smlouvy a souvisejících s jejím plněním.</w:t>
      </w:r>
    </w:p>
    <w:p w14:paraId="7CA4F7BC" w14:textId="77777777" w:rsidR="00D940EF" w:rsidRPr="009F3C67" w:rsidRDefault="00D940EF" w:rsidP="00D940EF">
      <w:pPr>
        <w:pStyle w:val="Nadpis3"/>
      </w:pPr>
      <w:r w:rsidRPr="009F3C67">
        <w:t xml:space="preserve">Oprávněné osoby </w:t>
      </w:r>
      <w:r w:rsidR="008E1686">
        <w:t>Dodavatel</w:t>
      </w:r>
      <w:r w:rsidRPr="009F3C67">
        <w:t>e:</w:t>
      </w:r>
    </w:p>
    <w:p w14:paraId="5FC0E972" w14:textId="7746B2F3" w:rsidR="00D940EF" w:rsidRPr="00A1648F" w:rsidRDefault="00D940EF" w:rsidP="00D940EF">
      <w:pPr>
        <w:ind w:left="1620"/>
      </w:pPr>
      <w:r w:rsidRPr="00A1648F">
        <w:t xml:space="preserve">Jméno, Příjmení: </w:t>
      </w:r>
      <w:r w:rsidR="00A1648F" w:rsidRPr="00A1648F">
        <w:t>Josef Středa, ředitel RC</w:t>
      </w:r>
    </w:p>
    <w:p w14:paraId="06C8A7E3" w14:textId="53577424" w:rsidR="00D940EF" w:rsidRPr="00A1648F" w:rsidRDefault="00D940EF" w:rsidP="00D940EF">
      <w:pPr>
        <w:ind w:left="1620"/>
      </w:pPr>
      <w:r w:rsidRPr="00A1648F">
        <w:t xml:space="preserve">e-mail: </w:t>
      </w:r>
      <w:r w:rsidR="00A1648F" w:rsidRPr="00A1648F">
        <w:t>josef.streda</w:t>
      </w:r>
      <w:r w:rsidRPr="00A1648F">
        <w:t>@autocont.cz</w:t>
      </w:r>
    </w:p>
    <w:p w14:paraId="5ADD7167" w14:textId="3BE33C0E" w:rsidR="00D940EF" w:rsidRPr="00A1648F" w:rsidRDefault="00D940EF" w:rsidP="00D940EF">
      <w:pPr>
        <w:ind w:left="1620"/>
      </w:pPr>
      <w:r w:rsidRPr="00A1648F">
        <w:t xml:space="preserve">tel: </w:t>
      </w:r>
      <w:r w:rsidR="00A1648F" w:rsidRPr="00A1648F">
        <w:t>495 405 911</w:t>
      </w:r>
    </w:p>
    <w:p w14:paraId="7C545042" w14:textId="21F5BB95" w:rsidR="00D940EF" w:rsidRPr="00A71F78" w:rsidRDefault="00D940EF" w:rsidP="00A966D7">
      <w:pPr>
        <w:ind w:left="1620"/>
      </w:pPr>
      <w:r w:rsidRPr="00A1648F">
        <w:t xml:space="preserve">adresa: </w:t>
      </w:r>
      <w:r w:rsidR="00A1648F" w:rsidRPr="00A1648F">
        <w:t>AUTOCONT a.s., Nám. Míru 22, 503 03 Smiřice</w:t>
      </w:r>
    </w:p>
    <w:p w14:paraId="4997FDFF" w14:textId="77777777" w:rsidR="00D940EF" w:rsidRPr="009F3C67" w:rsidRDefault="00D940EF" w:rsidP="00D940EF">
      <w:pPr>
        <w:pStyle w:val="Nadpis3"/>
      </w:pPr>
      <w:r w:rsidRPr="009F3C67">
        <w:t xml:space="preserve">Oprávněné osoby </w:t>
      </w:r>
      <w:r w:rsidR="008E1686">
        <w:t>Odběratel</w:t>
      </w:r>
      <w:r w:rsidRPr="009F3C67">
        <w:t>e:</w:t>
      </w:r>
    </w:p>
    <w:p w14:paraId="66F7E997" w14:textId="5EE20687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Jméno, Příjmení: </w:t>
      </w:r>
      <w:r w:rsidR="00EE4661">
        <w:rPr>
          <w:i/>
        </w:rPr>
        <w:t>Ing. Pavel Louda, starosta</w:t>
      </w:r>
    </w:p>
    <w:p w14:paraId="4FC92A69" w14:textId="09D22BAB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e-mail: </w:t>
      </w:r>
      <w:r w:rsidR="00EE4661">
        <w:rPr>
          <w:i/>
        </w:rPr>
        <w:t>louda@</w:t>
      </w:r>
      <w:r w:rsidR="00C93179">
        <w:rPr>
          <w:i/>
        </w:rPr>
        <w:t>novybydzov.cz</w:t>
      </w:r>
    </w:p>
    <w:p w14:paraId="736CCED7" w14:textId="67400809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tel: </w:t>
      </w:r>
      <w:r w:rsidR="00C93179">
        <w:rPr>
          <w:i/>
        </w:rPr>
        <w:t>495703981</w:t>
      </w:r>
    </w:p>
    <w:p w14:paraId="36B9BFD2" w14:textId="0D7E3C1C" w:rsidR="00C93179" w:rsidRPr="00C93179" w:rsidRDefault="00D940EF" w:rsidP="00C93179">
      <w:pPr>
        <w:tabs>
          <w:tab w:val="center" w:pos="5629"/>
        </w:tabs>
        <w:ind w:left="1620"/>
        <w:rPr>
          <w:i/>
        </w:rPr>
      </w:pPr>
      <w:r w:rsidRPr="00AC613C">
        <w:rPr>
          <w:i/>
        </w:rPr>
        <w:t xml:space="preserve">adresa: </w:t>
      </w:r>
      <w:r w:rsidR="00C93179">
        <w:rPr>
          <w:i/>
        </w:rPr>
        <w:t>Masarykovo náměstí 1</w:t>
      </w:r>
      <w:r w:rsidRPr="00AC613C">
        <w:rPr>
          <w:i/>
        </w:rPr>
        <w:t xml:space="preserve">, </w:t>
      </w:r>
      <w:r w:rsidR="00C93179">
        <w:rPr>
          <w:i/>
        </w:rPr>
        <w:t>504 01 Nový Bydžov</w:t>
      </w:r>
    </w:p>
    <w:p w14:paraId="62601AC8" w14:textId="77777777" w:rsidR="00D940EF" w:rsidRPr="006E52FB" w:rsidRDefault="00D940EF" w:rsidP="00D940EF">
      <w:pPr>
        <w:pStyle w:val="Nadpis2"/>
      </w:pPr>
      <w:bookmarkStart w:id="26" w:name="_Ref168547972"/>
      <w:r w:rsidRPr="006E52FB">
        <w:t>Všechna oznámení mezi smluvními stranami, která se vztahují k této smlouvě, nebo která mají být učiněna na základě této smlouvy, musí být učiněna v písemné formě a doručeny opačné straně, nebude-li stanoveno, nebo mezi smluvními stranami dohodnuto jinak.</w:t>
      </w:r>
      <w:bookmarkEnd w:id="26"/>
      <w:r w:rsidRPr="006E52FB">
        <w:t xml:space="preserve"> </w:t>
      </w:r>
    </w:p>
    <w:p w14:paraId="1BF0646B" w14:textId="77777777" w:rsidR="00D940EF" w:rsidRPr="006E52FB" w:rsidRDefault="00D940EF" w:rsidP="00D940EF">
      <w:pPr>
        <w:pStyle w:val="Nadpis2"/>
      </w:pPr>
      <w:bookmarkStart w:id="27" w:name="_Ref168547977"/>
      <w:r w:rsidRPr="006E52FB">
        <w:t>Oznámení se považují za doručená uplynutím třetího (3) dne po jejich prokazatelném odeslání.</w:t>
      </w:r>
      <w:bookmarkEnd w:id="27"/>
      <w:r w:rsidRPr="006E52FB">
        <w:t xml:space="preserve"> </w:t>
      </w:r>
    </w:p>
    <w:p w14:paraId="704916B7" w14:textId="77777777" w:rsidR="00D940EF" w:rsidRDefault="00D940EF" w:rsidP="00D940EF">
      <w:pPr>
        <w:pStyle w:val="Nadpis2"/>
      </w:pPr>
      <w:bookmarkStart w:id="28" w:name="_Ref168547979"/>
      <w:r w:rsidRPr="006E52FB">
        <w:t>Smluvní strany se zavazují, že v případě změny své adresy budou o této změně druhou smluvní stranu informovat nejpozději do tří (3) dnů.</w:t>
      </w:r>
      <w:bookmarkEnd w:id="28"/>
    </w:p>
    <w:p w14:paraId="3EF94D03" w14:textId="77777777" w:rsidR="0036539B" w:rsidRPr="00377307" w:rsidRDefault="0036539B" w:rsidP="0036539B">
      <w:pPr>
        <w:pStyle w:val="Nadpis1"/>
      </w:pPr>
      <w:bookmarkStart w:id="29" w:name="_Ref168548140"/>
      <w:bookmarkStart w:id="30" w:name="_Toc175127075"/>
      <w:r>
        <w:t>Místo a způsob</w:t>
      </w:r>
      <w:r w:rsidRPr="00377307">
        <w:t xml:space="preserve"> plnění</w:t>
      </w:r>
      <w:bookmarkEnd w:id="29"/>
      <w:bookmarkEnd w:id="30"/>
    </w:p>
    <w:p w14:paraId="62DC62C3" w14:textId="06DAC2F3" w:rsidR="0036539B" w:rsidRPr="00A86C5E" w:rsidRDefault="0036539B" w:rsidP="00A86C5E">
      <w:pPr>
        <w:pStyle w:val="Nadpis2"/>
      </w:pPr>
      <w:r w:rsidRPr="009F3C67">
        <w:t>Nebude-li v konkrétním případě sjednáno jinak, místem plnění předmětu Smlouvy je</w:t>
      </w:r>
      <w:r w:rsidR="00A1648F">
        <w:t xml:space="preserve"> </w:t>
      </w:r>
      <w:r w:rsidRPr="00A86C5E">
        <w:t xml:space="preserve">adresa sídla </w:t>
      </w:r>
      <w:r w:rsidR="008E1686" w:rsidRPr="00A86C5E">
        <w:t>Odběratel</w:t>
      </w:r>
      <w:r w:rsidRPr="00A86C5E">
        <w:t>e</w:t>
      </w:r>
      <w:r w:rsidR="00A1648F" w:rsidRPr="00A86C5E">
        <w:t>.</w:t>
      </w:r>
    </w:p>
    <w:p w14:paraId="7945BFB2" w14:textId="2EA90D4C" w:rsidR="0036539B" w:rsidRPr="00A1648F" w:rsidRDefault="0036539B" w:rsidP="00A1648F">
      <w:pPr>
        <w:pStyle w:val="Nadpis2"/>
        <w:rPr>
          <w:lang w:val="cs-CZ"/>
        </w:rPr>
      </w:pPr>
      <w:r w:rsidRPr="004F4109">
        <w:t>Doprava je zahrnuta v ceně předmětu dodávky</w:t>
      </w:r>
      <w:r w:rsidR="00A1648F">
        <w:rPr>
          <w:lang w:val="cs-CZ"/>
        </w:rPr>
        <w:t>.</w:t>
      </w:r>
    </w:p>
    <w:p w14:paraId="03D7F678" w14:textId="77777777" w:rsidR="003D19DB" w:rsidRPr="004F4109" w:rsidRDefault="003D19DB" w:rsidP="004F4109"/>
    <w:p w14:paraId="0393AF3F" w14:textId="77777777" w:rsidR="003D19DB" w:rsidRDefault="004F0647" w:rsidP="003D19DB">
      <w:pPr>
        <w:pStyle w:val="Nadpis1"/>
      </w:pPr>
      <w:bookmarkStart w:id="31" w:name="_Ref168548340"/>
      <w:bookmarkStart w:id="32" w:name="_Toc175127076"/>
      <w:r w:rsidRPr="003D19DB">
        <w:t>Přechod vlastnictví</w:t>
      </w:r>
      <w:r w:rsidR="003D19DB">
        <w:t xml:space="preserve"> a </w:t>
      </w:r>
      <w:r w:rsidR="00AF22F1">
        <w:t xml:space="preserve">nebezpečí </w:t>
      </w:r>
      <w:r w:rsidR="003D19DB" w:rsidRPr="003D19DB">
        <w:t>škody</w:t>
      </w:r>
      <w:bookmarkEnd w:id="31"/>
      <w:bookmarkEnd w:id="32"/>
    </w:p>
    <w:p w14:paraId="53B6C633" w14:textId="77777777" w:rsidR="00576116" w:rsidRPr="00083251" w:rsidRDefault="00576116" w:rsidP="00576116">
      <w:pPr>
        <w:pStyle w:val="Nadpis2"/>
      </w:pPr>
      <w:bookmarkStart w:id="33" w:name="_Ref168548513"/>
      <w:r w:rsidRPr="00083251">
        <w:t>Pře</w:t>
      </w:r>
      <w:r>
        <w:t xml:space="preserve">chod vlastnického práva </w:t>
      </w:r>
      <w:r w:rsidR="00D126D2">
        <w:t>p</w:t>
      </w:r>
      <w:r>
        <w:t xml:space="preserve">ředmětu plnění </w:t>
      </w:r>
      <w:r w:rsidRPr="00083251">
        <w:t>a jeho částí</w:t>
      </w:r>
      <w:bookmarkEnd w:id="33"/>
    </w:p>
    <w:p w14:paraId="307148A4" w14:textId="22EED24D" w:rsidR="00A1648F" w:rsidRDefault="00576116" w:rsidP="00A1648F">
      <w:pPr>
        <w:pStyle w:val="Text2"/>
      </w:pPr>
      <w:r w:rsidRPr="00175EBA">
        <w:t>Vlastnické právo k</w:t>
      </w:r>
      <w:r>
        <w:t> </w:t>
      </w:r>
      <w:r w:rsidR="00D126D2">
        <w:t>p</w:t>
      </w:r>
      <w:r>
        <w:t xml:space="preserve">ředmětu plnění, </w:t>
      </w:r>
      <w:r w:rsidRPr="00175EBA">
        <w:t xml:space="preserve">které je specifikované </w:t>
      </w:r>
      <w:r w:rsidRPr="00A1648F">
        <w:t>v </w:t>
      </w:r>
      <w:r w:rsidR="00D126D2" w:rsidRPr="00A1648F">
        <w:t>č</w:t>
      </w:r>
      <w:r w:rsidR="004454CC" w:rsidRPr="00A1648F">
        <w:t xml:space="preserve">lánku </w:t>
      </w:r>
      <w:r w:rsidR="00A1648F" w:rsidRPr="00A1648F">
        <w:t>3</w:t>
      </w:r>
      <w:r w:rsidRPr="00A1648F">
        <w:rPr>
          <w:i/>
        </w:rPr>
        <w:t xml:space="preserve"> </w:t>
      </w:r>
      <w:r w:rsidRPr="00A1648F">
        <w:t>této</w:t>
      </w:r>
      <w:r w:rsidRPr="00175EBA">
        <w:t xml:space="preserve"> </w:t>
      </w:r>
      <w:r>
        <w:t>S</w:t>
      </w:r>
      <w:r w:rsidRPr="00175EBA">
        <w:t xml:space="preserve">mlouvy, přechází na </w:t>
      </w:r>
      <w:r>
        <w:t>Odběratel</w:t>
      </w:r>
      <w:r w:rsidRPr="00175EBA">
        <w:t xml:space="preserve">e v okamžiku </w:t>
      </w:r>
      <w:r w:rsidRPr="006D5A27">
        <w:t>zaplacení předmětu</w:t>
      </w:r>
      <w:r w:rsidRPr="008B4581">
        <w:t xml:space="preserve"> plnění podle </w:t>
      </w:r>
      <w:r w:rsidR="00D126D2">
        <w:t>č</w:t>
      </w:r>
      <w:r w:rsidR="008B4581" w:rsidRPr="008B4581">
        <w:t xml:space="preserve">lánku </w:t>
      </w:r>
      <w:r w:rsidR="00A1648F">
        <w:t xml:space="preserve">5 a </w:t>
      </w:r>
      <w:r w:rsidR="004D252E" w:rsidRPr="008B4581">
        <w:fldChar w:fldCharType="begin"/>
      </w:r>
      <w:r w:rsidR="004D252E" w:rsidRPr="008B4581">
        <w:instrText xml:space="preserve"> REF _Ref168375761 \r \h </w:instrText>
      </w:r>
      <w:r w:rsidR="008B4581">
        <w:instrText xml:space="preserve"> \* MERGEFORMAT </w:instrText>
      </w:r>
      <w:r w:rsidR="004D252E" w:rsidRPr="008B4581">
        <w:fldChar w:fldCharType="separate"/>
      </w:r>
      <w:r w:rsidR="00EE4661">
        <w:t>5</w:t>
      </w:r>
      <w:r w:rsidR="004D252E" w:rsidRPr="008B4581">
        <w:fldChar w:fldCharType="end"/>
      </w:r>
      <w:r w:rsidRPr="008B4581">
        <w:t xml:space="preserve"> této smlouvy</w:t>
      </w:r>
      <w:r w:rsidRPr="00175EBA">
        <w:t>.</w:t>
      </w:r>
      <w:bookmarkStart w:id="34" w:name="_Ref168549082"/>
    </w:p>
    <w:p w14:paraId="42AC8091" w14:textId="53990568" w:rsidR="00576116" w:rsidRPr="00083251" w:rsidRDefault="00C41214" w:rsidP="00576116">
      <w:pPr>
        <w:pStyle w:val="Nadpis2"/>
      </w:pPr>
      <w:r w:rsidRPr="00083251">
        <w:t xml:space="preserve">Předání </w:t>
      </w:r>
      <w:r w:rsidR="004D252E">
        <w:t>p</w:t>
      </w:r>
      <w:r w:rsidR="00576116">
        <w:t xml:space="preserve">ředmětu plnění </w:t>
      </w:r>
      <w:r w:rsidR="00576116" w:rsidRPr="00083251">
        <w:t>a jeho částí</w:t>
      </w:r>
      <w:bookmarkEnd w:id="34"/>
    </w:p>
    <w:p w14:paraId="5F041EE9" w14:textId="7B0CE92E" w:rsidR="00C41214" w:rsidRPr="00A1648F" w:rsidRDefault="00C41214" w:rsidP="00A1648F">
      <w:pPr>
        <w:pStyle w:val="Text2"/>
      </w:pPr>
      <w:r w:rsidRPr="009F3C67">
        <w:t xml:space="preserve">Jednotlivé části </w:t>
      </w:r>
      <w:r w:rsidR="004D252E">
        <w:t xml:space="preserve">předmětu plnění </w:t>
      </w:r>
      <w:r w:rsidRPr="009F3C67">
        <w:t xml:space="preserve">budou </w:t>
      </w:r>
      <w:r w:rsidR="004D252E">
        <w:t>p</w:t>
      </w:r>
      <w:r w:rsidRPr="009F3C67">
        <w:t>ředávány v termínech uvedených v</w:t>
      </w:r>
      <w:r w:rsidR="004D252E">
        <w:t> článku</w:t>
      </w:r>
      <w:r>
        <w:t xml:space="preserve"> </w:t>
      </w:r>
      <w:r w:rsidR="00A1648F">
        <w:t>4</w:t>
      </w:r>
      <w:r w:rsidRPr="009F3C67">
        <w:t xml:space="preserve"> Smlouvy. Předání bude potvrzen</w:t>
      </w:r>
      <w:r>
        <w:t>o</w:t>
      </w:r>
      <w:r w:rsidRPr="009F3C67">
        <w:t xml:space="preserve"> podpisem </w:t>
      </w:r>
      <w:r w:rsidRPr="00A1648F">
        <w:rPr>
          <w:iCs/>
        </w:rPr>
        <w:t xml:space="preserve">Protokolu o </w:t>
      </w:r>
      <w:r w:rsidR="004D252E" w:rsidRPr="00A1648F">
        <w:rPr>
          <w:iCs/>
        </w:rPr>
        <w:t>př</w:t>
      </w:r>
      <w:r w:rsidRPr="00A1648F">
        <w:rPr>
          <w:iCs/>
        </w:rPr>
        <w:t>edání</w:t>
      </w:r>
      <w:r w:rsidR="00A1648F">
        <w:rPr>
          <w:iCs/>
        </w:rPr>
        <w:t>.</w:t>
      </w:r>
    </w:p>
    <w:p w14:paraId="62F43B37" w14:textId="77777777" w:rsidR="00576116" w:rsidRPr="003D19DB" w:rsidRDefault="00AF22F1" w:rsidP="00576116">
      <w:pPr>
        <w:pStyle w:val="Nadpis2"/>
      </w:pPr>
      <w:bookmarkStart w:id="35" w:name="_Ref168550463"/>
      <w:r>
        <w:t xml:space="preserve">Nebezpečí </w:t>
      </w:r>
      <w:r w:rsidR="00576116">
        <w:t>škody</w:t>
      </w:r>
      <w:bookmarkEnd w:id="35"/>
      <w:r w:rsidR="00576116">
        <w:t xml:space="preserve"> </w:t>
      </w:r>
    </w:p>
    <w:p w14:paraId="4E909E32" w14:textId="77777777" w:rsidR="003D19DB" w:rsidRDefault="003D19DB" w:rsidP="00AF22F1">
      <w:pPr>
        <w:pStyle w:val="Text2"/>
      </w:pPr>
      <w:r>
        <w:t xml:space="preserve">Nebezpečí vzniku </w:t>
      </w:r>
      <w:r w:rsidR="00AF22F1">
        <w:t xml:space="preserve">nahodilé </w:t>
      </w:r>
      <w:r>
        <w:t xml:space="preserve">škody na předmětu plnění přechází na </w:t>
      </w:r>
      <w:r w:rsidR="00D126D2">
        <w:t>O</w:t>
      </w:r>
      <w:r>
        <w:t>dběratele okamžikem jeho převzetí</w:t>
      </w:r>
      <w:r w:rsidR="00AF22F1">
        <w:t>.</w:t>
      </w:r>
      <w:r>
        <w:t xml:space="preserve"> </w:t>
      </w:r>
      <w:r w:rsidR="00AF22F1" w:rsidRPr="00AF22F1">
        <w:t xml:space="preserve">Je-li předmět plnění přepravován podle přepravních pokynů </w:t>
      </w:r>
      <w:r w:rsidR="00D126D2">
        <w:t>O</w:t>
      </w:r>
      <w:r w:rsidR="00AF22F1" w:rsidRPr="00AF22F1">
        <w:t xml:space="preserve">dběratele, přechází na </w:t>
      </w:r>
      <w:r w:rsidR="00D126D2">
        <w:t>O</w:t>
      </w:r>
      <w:r w:rsidR="00AF22F1" w:rsidRPr="00AF22F1">
        <w:t xml:space="preserve">dběratele riziko ztráty, poškození či zničení okamžikem předání předmětu plnění poštovní přepravě či prvnímu dopravci za účelem dopravy předmětu plnění </w:t>
      </w:r>
      <w:r w:rsidR="00D126D2">
        <w:t>O</w:t>
      </w:r>
      <w:r w:rsidR="00AF22F1" w:rsidRPr="00AF22F1">
        <w:t>dběrateli</w:t>
      </w:r>
      <w:r w:rsidR="00AF22F1">
        <w:t xml:space="preserve">. </w:t>
      </w:r>
      <w:r>
        <w:t xml:space="preserve">Až do úplného zaplacení ceny plnění je předmět plnění ve vlastnictví </w:t>
      </w:r>
      <w:r w:rsidR="00D126D2">
        <w:t>D</w:t>
      </w:r>
      <w:r>
        <w:t xml:space="preserve">odavatele, a to i v případě začlenění do systému, který je majetkem </w:t>
      </w:r>
      <w:r w:rsidR="00D126D2">
        <w:t>O</w:t>
      </w:r>
      <w:r>
        <w:t xml:space="preserve">dběratele, resp. systému, který </w:t>
      </w:r>
      <w:r w:rsidR="00D126D2">
        <w:t>O</w:t>
      </w:r>
      <w:r>
        <w:t xml:space="preserve">dběratel využívá. Jakékoli zcizení předmětu plnění, jeho poskytnutí do zástavy nebo zřízení zajišťovacího převodu práva či jiného závazkového vztahu k předmětu plnění ve prospěch třetí strany je bez souhlasu </w:t>
      </w:r>
      <w:r w:rsidR="00D126D2">
        <w:t>D</w:t>
      </w:r>
      <w:r>
        <w:t xml:space="preserve">odavatele vyloučeno. </w:t>
      </w:r>
    </w:p>
    <w:p w14:paraId="1D11CF9D" w14:textId="77777777" w:rsidR="001C779E" w:rsidRDefault="001C779E" w:rsidP="001C779E">
      <w:pPr>
        <w:pStyle w:val="Nadpis1"/>
      </w:pPr>
      <w:bookmarkStart w:id="36" w:name="_Ref168550587"/>
      <w:bookmarkStart w:id="37" w:name="_Toc175127077"/>
      <w:r w:rsidRPr="00461238">
        <w:t>Změnové řízení</w:t>
      </w:r>
      <w:bookmarkEnd w:id="36"/>
      <w:bookmarkEnd w:id="37"/>
    </w:p>
    <w:p w14:paraId="4F567FA5" w14:textId="77777777" w:rsidR="001C779E" w:rsidRDefault="001C779E" w:rsidP="001C779E">
      <w:pPr>
        <w:pStyle w:val="Nadpis2"/>
      </w:pPr>
      <w:r>
        <w:t xml:space="preserve">Požadavky na </w:t>
      </w:r>
      <w:r w:rsidRPr="00AC0F88">
        <w:t>změn</w:t>
      </w:r>
      <w:r>
        <w:t>y</w:t>
      </w:r>
      <w:r w:rsidRPr="00AC0F88">
        <w:t xml:space="preserve"> </w:t>
      </w:r>
      <w:r>
        <w:t xml:space="preserve">předmětu </w:t>
      </w:r>
      <w:r w:rsidR="00AF22F1">
        <w:t>p</w:t>
      </w:r>
      <w:r>
        <w:t xml:space="preserve">lnění, které mají vliv na cenu plnění nebo termíny plnění včetně dílčích, </w:t>
      </w:r>
      <w:r w:rsidRPr="00AC0F88">
        <w:t xml:space="preserve">budou provedeny formou dodatku této </w:t>
      </w:r>
      <w:r>
        <w:t>S</w:t>
      </w:r>
      <w:r w:rsidRPr="00AC0F88">
        <w:t xml:space="preserve">mlouvy. Změny budou odsouhlaseny oběma stranami a dodatek se změnami se stává nedílnou součástí této </w:t>
      </w:r>
      <w:r w:rsidR="00D126D2">
        <w:t>S</w:t>
      </w:r>
      <w:r w:rsidRPr="00AC0F88">
        <w:t>mlouvy</w:t>
      </w:r>
      <w:r>
        <w:t xml:space="preserve">. </w:t>
      </w:r>
    </w:p>
    <w:p w14:paraId="446BACF7" w14:textId="77777777" w:rsidR="00D940EF" w:rsidRDefault="00D940EF" w:rsidP="00D940EF">
      <w:pPr>
        <w:pStyle w:val="Nadpis1"/>
      </w:pPr>
      <w:bookmarkStart w:id="38" w:name="_Ref168550642"/>
      <w:bookmarkStart w:id="39" w:name="_Toc175127078"/>
      <w:r w:rsidRPr="0020315C">
        <w:lastRenderedPageBreak/>
        <w:t>Práva a povinnosti smluvních stran</w:t>
      </w:r>
      <w:bookmarkEnd w:id="38"/>
      <w:bookmarkEnd w:id="39"/>
    </w:p>
    <w:p w14:paraId="71D75944" w14:textId="77777777" w:rsidR="00D940EF" w:rsidRDefault="00D940EF" w:rsidP="00D940EF">
      <w:pPr>
        <w:pStyle w:val="Nadpis2"/>
      </w:pPr>
      <w:bookmarkStart w:id="40" w:name="_Ref168550734"/>
      <w:r w:rsidRPr="00583B3B">
        <w:t>Součinnost smluvních stran</w:t>
      </w:r>
      <w:bookmarkEnd w:id="40"/>
    </w:p>
    <w:p w14:paraId="6D88883A" w14:textId="77777777" w:rsidR="00B820FB" w:rsidRDefault="00B820FB" w:rsidP="00D940EF">
      <w:pPr>
        <w:pStyle w:val="Text2"/>
      </w:pPr>
      <w:r>
        <w:t>Práva a povinnosti smluvních stran jsou uvedeny v</w:t>
      </w:r>
      <w:r w:rsidR="00E43B71">
        <w:t>e</w:t>
      </w:r>
      <w:r>
        <w:t> </w:t>
      </w:r>
      <w:r w:rsidR="00D126D2">
        <w:t>v</w:t>
      </w:r>
      <w:r w:rsidR="00E43B71">
        <w:t>šeobecných obchodních podmínkách</w:t>
      </w:r>
      <w:r>
        <w:t xml:space="preserve">. </w:t>
      </w:r>
    </w:p>
    <w:p w14:paraId="6B868A74" w14:textId="395A81E6" w:rsidR="00D940EF" w:rsidRDefault="00D940EF" w:rsidP="00D940EF">
      <w:pPr>
        <w:pStyle w:val="Text2"/>
        <w:rPr>
          <w:iCs/>
        </w:rPr>
      </w:pPr>
      <w:r w:rsidRPr="00A1648F">
        <w:rPr>
          <w:iCs/>
        </w:rPr>
        <w:t xml:space="preserve">Pro zajištění řádné realizace </w:t>
      </w:r>
      <w:r w:rsidR="00E43B71" w:rsidRPr="00A1648F">
        <w:rPr>
          <w:iCs/>
        </w:rPr>
        <w:t>p</w:t>
      </w:r>
      <w:r w:rsidR="00B820FB" w:rsidRPr="00A1648F">
        <w:rPr>
          <w:iCs/>
        </w:rPr>
        <w:t xml:space="preserve">ředmětu plnění </w:t>
      </w:r>
      <w:r w:rsidRPr="00A1648F">
        <w:rPr>
          <w:iCs/>
        </w:rPr>
        <w:t xml:space="preserve">požaduje </w:t>
      </w:r>
      <w:r w:rsidR="008E1686" w:rsidRPr="00A1648F">
        <w:rPr>
          <w:iCs/>
        </w:rPr>
        <w:t>Dodavatel</w:t>
      </w:r>
      <w:r w:rsidRPr="00A1648F">
        <w:rPr>
          <w:iCs/>
        </w:rPr>
        <w:t xml:space="preserve"> na </w:t>
      </w:r>
      <w:r w:rsidR="008E1686" w:rsidRPr="00A1648F">
        <w:rPr>
          <w:iCs/>
        </w:rPr>
        <w:t xml:space="preserve">Odběrateli </w:t>
      </w:r>
      <w:r w:rsidRPr="00A1648F">
        <w:rPr>
          <w:iCs/>
        </w:rPr>
        <w:t>zejména následující součinnost:</w:t>
      </w:r>
    </w:p>
    <w:p w14:paraId="60361584" w14:textId="5D3217D7" w:rsidR="00A1648F" w:rsidRDefault="00A1648F" w:rsidP="00D940EF">
      <w:pPr>
        <w:pStyle w:val="Text2"/>
        <w:rPr>
          <w:iCs/>
        </w:rPr>
      </w:pPr>
      <w:r>
        <w:rPr>
          <w:iCs/>
        </w:rPr>
        <w:t xml:space="preserve">Přístup do </w:t>
      </w:r>
      <w:proofErr w:type="spellStart"/>
      <w:r>
        <w:rPr>
          <w:iCs/>
        </w:rPr>
        <w:t>serverovny</w:t>
      </w:r>
      <w:proofErr w:type="spellEnd"/>
      <w:r>
        <w:rPr>
          <w:iCs/>
        </w:rPr>
        <w:t>, kde bude zařízení umístěno</w:t>
      </w:r>
      <w:r w:rsidR="00EE4661">
        <w:rPr>
          <w:iCs/>
        </w:rPr>
        <w:t>.</w:t>
      </w:r>
    </w:p>
    <w:p w14:paraId="423E56FF" w14:textId="65C98239" w:rsidR="00A1648F" w:rsidRPr="00A1648F" w:rsidRDefault="00A1648F" w:rsidP="00D940EF">
      <w:pPr>
        <w:pStyle w:val="Text2"/>
        <w:rPr>
          <w:iCs/>
        </w:rPr>
      </w:pPr>
      <w:r>
        <w:rPr>
          <w:iCs/>
        </w:rPr>
        <w:t>Zajištění konektivity ze strany serverů</w:t>
      </w:r>
      <w:r w:rsidR="00EE4661">
        <w:rPr>
          <w:iCs/>
        </w:rPr>
        <w:t>.</w:t>
      </w:r>
    </w:p>
    <w:p w14:paraId="47BC2591" w14:textId="77777777" w:rsidR="00383EE7" w:rsidRPr="00383EE7" w:rsidRDefault="00870657" w:rsidP="00870657">
      <w:pPr>
        <w:pStyle w:val="Nadpis2"/>
      </w:pPr>
      <w:r>
        <w:rPr>
          <w:lang w:val="cs-CZ"/>
        </w:rPr>
        <w:t xml:space="preserve">Souhlas </w:t>
      </w:r>
      <w:r w:rsidRPr="00583B3B">
        <w:t>smluvních stran</w:t>
      </w:r>
    </w:p>
    <w:p w14:paraId="17FA11A8" w14:textId="77777777" w:rsidR="00870657" w:rsidRDefault="00383EE7" w:rsidP="00383EE7">
      <w:pPr>
        <w:pStyle w:val="Nadpis2"/>
        <w:numPr>
          <w:ilvl w:val="0"/>
          <w:numId w:val="0"/>
        </w:numPr>
        <w:ind w:left="567"/>
      </w:pPr>
      <w:r>
        <w:rPr>
          <w:lang w:val="cs-CZ"/>
        </w:rPr>
        <w:t xml:space="preserve">Smluvní strany souhlasí </w:t>
      </w:r>
      <w:r w:rsidR="00870657">
        <w:rPr>
          <w:lang w:val="cs-CZ"/>
        </w:rPr>
        <w:t>s užitím rámcových údajů o plnění poskytnutém dle této smlouvy jako referenčních údajů pro osvědčení odběratele o poskytnuté službě nebo prohlášení dodavatele o poskytnuté službě</w:t>
      </w:r>
      <w:r>
        <w:rPr>
          <w:lang w:val="cs-CZ"/>
        </w:rPr>
        <w:t>.</w:t>
      </w:r>
      <w:r w:rsidR="00870657">
        <w:rPr>
          <w:lang w:val="cs-CZ"/>
        </w:rPr>
        <w:t xml:space="preserve"> </w:t>
      </w:r>
      <w:r>
        <w:rPr>
          <w:lang w:val="cs-CZ"/>
        </w:rPr>
        <w:t xml:space="preserve">Jako veřejné referenční údaje nemohou být užity údaje, na něž se vztahuje stranami sjednaný, zveřejnění omezující, režim, např. údaje o obchodním tajemství nebo závazky některé smluvní strany plynoucí z platné NDA smlouvy. </w:t>
      </w:r>
    </w:p>
    <w:p w14:paraId="6F8415AC" w14:textId="77777777" w:rsidR="00870657" w:rsidRPr="00E43B71" w:rsidRDefault="00870657" w:rsidP="00D940EF">
      <w:pPr>
        <w:pStyle w:val="Text2"/>
        <w:rPr>
          <w:i/>
        </w:rPr>
      </w:pPr>
    </w:p>
    <w:p w14:paraId="394057CD" w14:textId="77777777" w:rsidR="001C779E" w:rsidRDefault="001C779E" w:rsidP="001C779E">
      <w:pPr>
        <w:pStyle w:val="Nadpis1"/>
        <w:numPr>
          <w:ilvl w:val="0"/>
          <w:numId w:val="1"/>
        </w:numPr>
      </w:pPr>
      <w:bookmarkStart w:id="41" w:name="_Ref168553221"/>
      <w:bookmarkStart w:id="42" w:name="_Toc175127079"/>
      <w:r w:rsidRPr="00461238">
        <w:t>Odpovědnost za škodu</w:t>
      </w:r>
      <w:bookmarkEnd w:id="41"/>
      <w:bookmarkEnd w:id="42"/>
    </w:p>
    <w:p w14:paraId="74753819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43" w:name="_Ref167877587"/>
      <w:r>
        <w:t>Dodavatel</w:t>
      </w:r>
      <w:r w:rsidRPr="00B3622D">
        <w:t xml:space="preserve"> odpovídá </w:t>
      </w:r>
      <w:r>
        <w:t>Odběrateli</w:t>
      </w:r>
      <w:r w:rsidRPr="00B3622D">
        <w:t xml:space="preserve"> za škodu, způsobenou</w:t>
      </w:r>
      <w:r>
        <w:t xml:space="preserve"> </w:t>
      </w:r>
      <w:r w:rsidRPr="00A74693">
        <w:t>zaviněným</w:t>
      </w:r>
      <w:r w:rsidRPr="00B3622D">
        <w:t xml:space="preserve"> porušením povinností vyplývajících z této </w:t>
      </w:r>
      <w:r>
        <w:t>S</w:t>
      </w:r>
      <w:r w:rsidRPr="00B3622D">
        <w:t>mlouvy</w:t>
      </w:r>
      <w:r w:rsidRPr="00C341FE">
        <w:t xml:space="preserve"> </w:t>
      </w:r>
      <w:r w:rsidRPr="006224AD">
        <w:t xml:space="preserve">nebo </w:t>
      </w:r>
      <w:r>
        <w:t xml:space="preserve">z </w:t>
      </w:r>
      <w:r w:rsidRPr="006224AD">
        <w:t>obecně závazn</w:t>
      </w:r>
      <w:r>
        <w:t>ého</w:t>
      </w:r>
      <w:r w:rsidRPr="006224AD">
        <w:t xml:space="preserve"> právní</w:t>
      </w:r>
      <w:r>
        <w:t>ho</w:t>
      </w:r>
      <w:r w:rsidRPr="006224AD">
        <w:t xml:space="preserve"> předpis</w:t>
      </w:r>
      <w:r>
        <w:t>u</w:t>
      </w:r>
      <w:r w:rsidRPr="00B3622D">
        <w:t>.</w:t>
      </w:r>
      <w:bookmarkEnd w:id="43"/>
      <w:r w:rsidRPr="00B3622D">
        <w:t xml:space="preserve"> </w:t>
      </w:r>
    </w:p>
    <w:p w14:paraId="4FF6151C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44" w:name="_Ref167877602"/>
      <w:r>
        <w:t>Dodavatel</w:t>
      </w:r>
      <w:r w:rsidRPr="00A74693">
        <w:t xml:space="preserve"> neodpovídá za škodu, která byla způsobena jinou osobou než </w:t>
      </w:r>
      <w:r>
        <w:t>Dodavatelem</w:t>
      </w:r>
      <w:r w:rsidRPr="00A74693">
        <w:t>, či jím pověřeným subjektem, nesprávným nebo neadekvátním přístupe</w:t>
      </w:r>
      <w:r>
        <w:t>m Odběratele a v důsledku</w:t>
      </w:r>
      <w:r w:rsidRPr="00A74693">
        <w:t xml:space="preserve"> událostí vyšší moci.</w:t>
      </w:r>
      <w:bookmarkEnd w:id="44"/>
    </w:p>
    <w:p w14:paraId="2E94C118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45" w:name="_Ref167877681"/>
      <w:r>
        <w:t>Dodavatel</w:t>
      </w:r>
      <w:r w:rsidRPr="00B94218">
        <w:t xml:space="preserve"> odpovídá O</w:t>
      </w:r>
      <w:r>
        <w:t>dběrateli</w:t>
      </w:r>
      <w:r w:rsidRPr="00B94218">
        <w:t xml:space="preserve"> za škodu způsobenou O</w:t>
      </w:r>
      <w:r>
        <w:t>dběrateli</w:t>
      </w:r>
      <w:r w:rsidRPr="00B94218">
        <w:t xml:space="preserve"> zaviněným porušením povinností stanovených touto smlouvou, maximálně však do výše </w:t>
      </w:r>
      <w:r>
        <w:t>hodnoty plnění podle této Smlouvy</w:t>
      </w:r>
      <w:r w:rsidRPr="00B94218">
        <w:t>.</w:t>
      </w:r>
      <w:bookmarkStart w:id="46" w:name="_Ref167877683"/>
      <w:bookmarkEnd w:id="45"/>
    </w:p>
    <w:p w14:paraId="1BC07B1B" w14:textId="77777777" w:rsidR="00E43B71" w:rsidRPr="00B94218" w:rsidRDefault="00E43B71" w:rsidP="00E43B71">
      <w:pPr>
        <w:pStyle w:val="Nadpis2"/>
        <w:numPr>
          <w:ilvl w:val="1"/>
          <w:numId w:val="1"/>
        </w:numPr>
      </w:pPr>
      <w:bookmarkStart w:id="47" w:name="_Ref168371593"/>
      <w:r w:rsidRPr="00B94218">
        <w:t xml:space="preserve">Smluvní strany se výslovně dohodly, že celková výše náhrady škody z jedné škodní události nebo série vzájemně propojených škodných událostí, který by v příčinné souvislosti s plněním Smlouvy mohly vzniknout, se limituje u skutečné škody a u ušlého zisku </w:t>
      </w:r>
      <w:r>
        <w:t xml:space="preserve">celkem </w:t>
      </w:r>
      <w:r w:rsidRPr="00B94218">
        <w:t xml:space="preserve">do výše </w:t>
      </w:r>
      <w:r>
        <w:t>hodnoty plnění podle této Smlouvy</w:t>
      </w:r>
      <w:r w:rsidRPr="00B94218">
        <w:t xml:space="preserve">. Tyto částky představují současně maximální předvídatelnou škodu, která může případně vzniknout porušením povinností </w:t>
      </w:r>
      <w:r>
        <w:t>Dodavatele</w:t>
      </w:r>
      <w:r w:rsidRPr="00B94218">
        <w:t>.</w:t>
      </w:r>
      <w:bookmarkEnd w:id="46"/>
      <w:bookmarkEnd w:id="47"/>
    </w:p>
    <w:p w14:paraId="423F75ED" w14:textId="77777777" w:rsidR="004F0647" w:rsidRPr="00FA2372" w:rsidRDefault="004F0647" w:rsidP="00FA2372">
      <w:pPr>
        <w:pStyle w:val="Nadpis1"/>
        <w:numPr>
          <w:ilvl w:val="0"/>
          <w:numId w:val="1"/>
        </w:numPr>
      </w:pPr>
      <w:bookmarkStart w:id="48" w:name="_Ref168553444"/>
      <w:bookmarkStart w:id="49" w:name="_Toc175127080"/>
      <w:r w:rsidRPr="00FA2372">
        <w:t>Záruk</w:t>
      </w:r>
      <w:r w:rsidR="00DD793A">
        <w:t>a</w:t>
      </w:r>
      <w:bookmarkEnd w:id="48"/>
      <w:bookmarkEnd w:id="49"/>
    </w:p>
    <w:p w14:paraId="53933A09" w14:textId="78A6B706" w:rsidR="00FA2372" w:rsidRDefault="00FA2372" w:rsidP="002B3E0B">
      <w:pPr>
        <w:pStyle w:val="Nadpis2"/>
      </w:pPr>
      <w:r w:rsidRPr="00F77AE2">
        <w:t xml:space="preserve">Na dodané </w:t>
      </w:r>
      <w:r w:rsidR="00F97274">
        <w:t>p</w:t>
      </w:r>
      <w:r w:rsidRPr="00F77AE2">
        <w:t xml:space="preserve">lnění </w:t>
      </w:r>
      <w:r w:rsidR="001F1243">
        <w:t xml:space="preserve">dle bodu </w:t>
      </w:r>
      <w:r w:rsidR="001F1243">
        <w:fldChar w:fldCharType="begin"/>
      </w:r>
      <w:r w:rsidR="001F1243">
        <w:instrText xml:space="preserve"> REF _Ref168374271 \r \h </w:instrText>
      </w:r>
      <w:r w:rsidR="002B3E0B">
        <w:instrText xml:space="preserve"> \* MERGEFORMAT </w:instrText>
      </w:r>
      <w:r w:rsidR="001F1243">
        <w:fldChar w:fldCharType="separate"/>
      </w:r>
      <w:r w:rsidR="00EE4661" w:rsidRPr="00EE4661">
        <w:rPr>
          <w:lang w:val="cs-CZ"/>
        </w:rPr>
        <w:t>3</w:t>
      </w:r>
      <w:r w:rsidR="00EE4661">
        <w:t>.1</w:t>
      </w:r>
      <w:r w:rsidR="001F1243">
        <w:fldChar w:fldCharType="end"/>
      </w:r>
      <w:r w:rsidR="001F1243">
        <w:t xml:space="preserve"> </w:t>
      </w:r>
      <w:r w:rsidRPr="00F77AE2">
        <w:t xml:space="preserve">poskytuje </w:t>
      </w:r>
      <w:r w:rsidR="008E1686" w:rsidRPr="00F77AE2">
        <w:t>Dodavatel</w:t>
      </w:r>
      <w:r w:rsidRPr="00F77AE2">
        <w:t xml:space="preserve"> záruku v délce </w:t>
      </w:r>
      <w:r w:rsidR="00A1648F">
        <w:rPr>
          <w:lang w:val="cs-CZ"/>
        </w:rPr>
        <w:t>60</w:t>
      </w:r>
      <w:r w:rsidRPr="00F77AE2">
        <w:t xml:space="preserve"> měsíců.</w:t>
      </w:r>
    </w:p>
    <w:p w14:paraId="253286EF" w14:textId="77777777" w:rsidR="00F97274" w:rsidRPr="00F77AE2" w:rsidRDefault="00F97274" w:rsidP="002B3E0B">
      <w:pPr>
        <w:pStyle w:val="Nadpis2"/>
      </w:pPr>
      <w:r w:rsidRPr="00F77AE2">
        <w:t xml:space="preserve">Dodavatel bude poskytovat Odběrateli záruční a pozáruční servis a podporu dodané techniky a služeb ve smyslu všeobecných obchodních podmínek, které jsou uvedeny v Příloze </w:t>
      </w:r>
      <w:r w:rsidR="00E35296">
        <w:t>č.1</w:t>
      </w:r>
      <w:r w:rsidR="00F029FA">
        <w:t xml:space="preserve"> </w:t>
      </w:r>
      <w:r w:rsidR="00E35296">
        <w:t xml:space="preserve"> </w:t>
      </w:r>
      <w:r w:rsidRPr="00F77AE2">
        <w:t>této smlouvy.</w:t>
      </w:r>
    </w:p>
    <w:p w14:paraId="15FA93A7" w14:textId="77777777" w:rsidR="00FA2372" w:rsidRDefault="00FA2372" w:rsidP="00FA2372">
      <w:pPr>
        <w:pStyle w:val="Nadpis1"/>
      </w:pPr>
      <w:bookmarkStart w:id="50" w:name="_Toc175127081"/>
      <w:r w:rsidRPr="00461238">
        <w:t>Prodlení, sankce</w:t>
      </w:r>
      <w:bookmarkEnd w:id="50"/>
    </w:p>
    <w:p w14:paraId="48FF274A" w14:textId="77777777" w:rsidR="00FA2372" w:rsidRPr="00A3254E" w:rsidRDefault="00FA2372" w:rsidP="00FA2372">
      <w:pPr>
        <w:pStyle w:val="Nadpis2"/>
      </w:pPr>
      <w:bookmarkStart w:id="51" w:name="_Ref168553695"/>
      <w:r w:rsidRPr="00A3254E">
        <w:t xml:space="preserve">Jestliže je </w:t>
      </w:r>
      <w:r w:rsidR="008E1686">
        <w:t>Odběratel</w:t>
      </w:r>
      <w:r w:rsidRPr="00A3254E">
        <w:t xml:space="preserve"> v prodlení s placením peněžitého závazku nebo řádně a včas neplní závazky k věcné nebo časově umístěné součinnosti či spolupůsobení, z důvodů ležících na straně </w:t>
      </w:r>
      <w:r w:rsidR="008E1686">
        <w:t>Odběratel</w:t>
      </w:r>
      <w:r w:rsidRPr="00A3254E">
        <w:t>e, pak platí tato ujednání:</w:t>
      </w:r>
      <w:bookmarkEnd w:id="51"/>
    </w:p>
    <w:p w14:paraId="47C6CEF5" w14:textId="77777777" w:rsidR="000B746B" w:rsidRPr="002B3E0B" w:rsidRDefault="000B746B" w:rsidP="002B3E0B">
      <w:pPr>
        <w:pStyle w:val="Nadpis3"/>
        <w:numPr>
          <w:ilvl w:val="0"/>
          <w:numId w:val="0"/>
        </w:numPr>
        <w:ind w:left="567"/>
      </w:pPr>
      <w:bookmarkStart w:id="52" w:name="_Ref168553769"/>
      <w:r w:rsidRPr="00A3254E">
        <w:t xml:space="preserve">Je-li </w:t>
      </w:r>
      <w:r>
        <w:t>Odběratel</w:t>
      </w:r>
      <w:r w:rsidRPr="00A3254E">
        <w:t xml:space="preserve"> v prodlení s placením zálohy nebo faktury po dobu delší </w:t>
      </w:r>
      <w:r w:rsidRPr="002B3E0B">
        <w:t>než patnáct (15) dnů, je Dodavatel oprávněn vyúčtovat a Odběratel povinen zaplatit úroky z prodlení ve výši 0,05</w:t>
      </w:r>
      <w:r w:rsidRPr="002B3E0B">
        <w:rPr>
          <w:b/>
        </w:rPr>
        <w:t xml:space="preserve"> %</w:t>
      </w:r>
      <w:r w:rsidRPr="002B3E0B">
        <w:t xml:space="preserve"> z dlužné částky za každý den prodlení až do zaplacení.</w:t>
      </w:r>
      <w:bookmarkEnd w:id="52"/>
    </w:p>
    <w:p w14:paraId="2D9C1D09" w14:textId="37ED5083" w:rsidR="00FA2372" w:rsidRDefault="00FA2372" w:rsidP="00FA2372">
      <w:pPr>
        <w:pStyle w:val="Nadpis2"/>
        <w:rPr>
          <w:iCs/>
        </w:rPr>
      </w:pPr>
      <w:bookmarkStart w:id="53" w:name="_Ref168554264"/>
      <w:r w:rsidRPr="002B3E0B">
        <w:t xml:space="preserve">V případě, že </w:t>
      </w:r>
      <w:r w:rsidR="008E1686" w:rsidRPr="002B3E0B">
        <w:t>Dodavatel</w:t>
      </w:r>
      <w:r w:rsidRPr="002B3E0B">
        <w:t xml:space="preserve"> je v prodlení s poskytnutím </w:t>
      </w:r>
      <w:r w:rsidR="00D126D2" w:rsidRPr="002B3E0B">
        <w:t>p</w:t>
      </w:r>
      <w:r w:rsidRPr="002B3E0B">
        <w:t xml:space="preserve">lnění v termínech dle čl. </w:t>
      </w:r>
      <w:r w:rsidR="002B3E0B" w:rsidRPr="002B3E0B">
        <w:rPr>
          <w:lang w:val="cs-CZ"/>
        </w:rPr>
        <w:t>4</w:t>
      </w:r>
      <w:r w:rsidRPr="002B3E0B">
        <w:t xml:space="preserve"> této Smlouvy, je </w:t>
      </w:r>
      <w:r w:rsidR="008E1686" w:rsidRPr="002B3E0B">
        <w:t>Odběratel</w:t>
      </w:r>
      <w:r w:rsidRPr="002B3E0B">
        <w:t xml:space="preserve"> oprávněn vyúčtovat a </w:t>
      </w:r>
      <w:r w:rsidR="008E1686" w:rsidRPr="002B3E0B">
        <w:t>Dodavatel</w:t>
      </w:r>
      <w:r w:rsidRPr="002B3E0B">
        <w:t xml:space="preserve"> povinen zaplatit smluvní pokutu ve výši 0,05 % z ceny</w:t>
      </w:r>
      <w:r w:rsidRPr="002B3E0B">
        <w:rPr>
          <w:iCs/>
        </w:rPr>
        <w:t xml:space="preserve"> </w:t>
      </w:r>
      <w:r w:rsidR="00D126D2" w:rsidRPr="002B3E0B">
        <w:rPr>
          <w:iCs/>
        </w:rPr>
        <w:t>p</w:t>
      </w:r>
      <w:r w:rsidRPr="002B3E0B">
        <w:rPr>
          <w:iCs/>
        </w:rPr>
        <w:t>lnění</w:t>
      </w:r>
      <w:r w:rsidR="00D126D2" w:rsidRPr="002B3E0B">
        <w:rPr>
          <w:iCs/>
        </w:rPr>
        <w:t xml:space="preserve"> bez DPH</w:t>
      </w:r>
      <w:r w:rsidRPr="002B3E0B">
        <w:rPr>
          <w:iCs/>
        </w:rPr>
        <w:t>,</w:t>
      </w:r>
      <w:r w:rsidR="00945966" w:rsidRPr="002B3E0B">
        <w:rPr>
          <w:iCs/>
        </w:rPr>
        <w:t xml:space="preserve"> </w:t>
      </w:r>
      <w:r w:rsidRPr="002B3E0B">
        <w:rPr>
          <w:iCs/>
        </w:rPr>
        <w:t xml:space="preserve">ohledně něhož je </w:t>
      </w:r>
      <w:r w:rsidR="008E1686" w:rsidRPr="002B3E0B">
        <w:rPr>
          <w:iCs/>
        </w:rPr>
        <w:t>Dodavatel</w:t>
      </w:r>
      <w:r w:rsidRPr="002B3E0B">
        <w:rPr>
          <w:iCs/>
        </w:rPr>
        <w:t xml:space="preserve"> v prodlení, a to za každý den prodlení, pokud nebude dohodnuto jinak.</w:t>
      </w:r>
      <w:bookmarkEnd w:id="53"/>
    </w:p>
    <w:p w14:paraId="26367FAB" w14:textId="77777777" w:rsidR="0051796C" w:rsidRPr="002B3E0B" w:rsidRDefault="0051796C" w:rsidP="0051796C">
      <w:pPr>
        <w:pStyle w:val="Nadpis2"/>
        <w:numPr>
          <w:ilvl w:val="0"/>
          <w:numId w:val="0"/>
        </w:numPr>
        <w:ind w:left="567"/>
        <w:rPr>
          <w:iCs/>
        </w:rPr>
      </w:pPr>
    </w:p>
    <w:p w14:paraId="5912A87A" w14:textId="77777777" w:rsidR="00FA2372" w:rsidRDefault="00FA2372" w:rsidP="00FA2372">
      <w:pPr>
        <w:pStyle w:val="Nadpis1"/>
      </w:pPr>
      <w:bookmarkStart w:id="54" w:name="_Ref168554426"/>
      <w:bookmarkStart w:id="55" w:name="_Toc175127082"/>
      <w:r w:rsidRPr="00461238">
        <w:lastRenderedPageBreak/>
        <w:t>Platnost, odstoupení a zánik smlouvy</w:t>
      </w:r>
      <w:bookmarkEnd w:id="54"/>
      <w:bookmarkEnd w:id="55"/>
    </w:p>
    <w:p w14:paraId="233E8B82" w14:textId="270E85C9" w:rsidR="006D5A27" w:rsidRDefault="00FA2372" w:rsidP="00FA2372">
      <w:pPr>
        <w:pStyle w:val="Nadpis2"/>
      </w:pPr>
      <w:bookmarkStart w:id="56" w:name="_Ref168554457"/>
      <w:r w:rsidRPr="001572AA">
        <w:t>Tato Smlouva nabývá platnosti a účinnosti dnem podpisu zástupců obou smluvních stran</w:t>
      </w:r>
      <w:r w:rsidR="001B378F">
        <w:t xml:space="preserve"> </w:t>
      </w:r>
      <w:r w:rsidR="001B378F" w:rsidRPr="00F97832">
        <w:rPr>
          <w:rFonts w:cs="Tahoma"/>
        </w:rPr>
        <w:t xml:space="preserve">a končí dnem </w:t>
      </w:r>
      <w:r w:rsidR="001B378F">
        <w:rPr>
          <w:rFonts w:cs="Tahoma"/>
        </w:rPr>
        <w:t xml:space="preserve">splnění závazků obou smluvních stran </w:t>
      </w:r>
      <w:r w:rsidR="001B378F" w:rsidRPr="00F97832">
        <w:rPr>
          <w:rFonts w:cs="Tahoma"/>
        </w:rPr>
        <w:t xml:space="preserve">této </w:t>
      </w:r>
      <w:r w:rsidR="00945966">
        <w:rPr>
          <w:rFonts w:cs="Tahoma"/>
        </w:rPr>
        <w:t>S</w:t>
      </w:r>
      <w:r w:rsidR="001B378F" w:rsidRPr="00F97832">
        <w:rPr>
          <w:rFonts w:cs="Tahoma"/>
        </w:rPr>
        <w:t>mlouvy</w:t>
      </w:r>
      <w:r w:rsidRPr="001572AA">
        <w:t>.</w:t>
      </w:r>
    </w:p>
    <w:p w14:paraId="4B32BAE1" w14:textId="77777777" w:rsidR="00FA2372" w:rsidRPr="002B3E0B" w:rsidRDefault="00FA2372" w:rsidP="00FA2372">
      <w:pPr>
        <w:pStyle w:val="Nadpis2"/>
        <w:rPr>
          <w:iCs/>
        </w:rPr>
      </w:pPr>
      <w:bookmarkStart w:id="57" w:name="_Ref168554648"/>
      <w:bookmarkEnd w:id="56"/>
      <w:r w:rsidRPr="002B3E0B">
        <w:rPr>
          <w:iCs/>
        </w:rPr>
        <w:t xml:space="preserve">Smluvní strany se zavazují nepostoupit závazky nebo pohledávky z této Smlouvy </w:t>
      </w:r>
      <w:r w:rsidR="00E92EC2" w:rsidRPr="002B3E0B">
        <w:rPr>
          <w:iCs/>
        </w:rPr>
        <w:t>t</w:t>
      </w:r>
      <w:r w:rsidRPr="002B3E0B">
        <w:rPr>
          <w:iCs/>
        </w:rPr>
        <w:t xml:space="preserve">řetí </w:t>
      </w:r>
      <w:r w:rsidR="00E92EC2" w:rsidRPr="002B3E0B">
        <w:rPr>
          <w:iCs/>
        </w:rPr>
        <w:t>osobě</w:t>
      </w:r>
      <w:r w:rsidRPr="002B3E0B">
        <w:rPr>
          <w:iCs/>
        </w:rPr>
        <w:t xml:space="preserve"> bez písemného souhlasu druhé strany.</w:t>
      </w:r>
      <w:bookmarkEnd w:id="57"/>
    </w:p>
    <w:p w14:paraId="74383170" w14:textId="77777777" w:rsidR="00FA2372" w:rsidRPr="002B3E0B" w:rsidRDefault="00FA2372" w:rsidP="00FA2372">
      <w:pPr>
        <w:pStyle w:val="Nadpis2"/>
        <w:rPr>
          <w:iCs/>
        </w:rPr>
      </w:pPr>
      <w:bookmarkStart w:id="58" w:name="_Ref168554733"/>
      <w:r w:rsidRPr="002B3E0B">
        <w:rPr>
          <w:iCs/>
        </w:rPr>
        <w:t xml:space="preserve">Skončit platnost této </w:t>
      </w:r>
      <w:r w:rsidR="00945966" w:rsidRPr="002B3E0B">
        <w:rPr>
          <w:iCs/>
        </w:rPr>
        <w:t>S</w:t>
      </w:r>
      <w:r w:rsidRPr="002B3E0B">
        <w:rPr>
          <w:iCs/>
        </w:rPr>
        <w:t>mlouvy lze dohodou smluvních stran, která musí mít písemnou formu.</w:t>
      </w:r>
      <w:bookmarkEnd w:id="58"/>
    </w:p>
    <w:p w14:paraId="2ACD7E84" w14:textId="77777777" w:rsidR="00FA2372" w:rsidRPr="002B3E0B" w:rsidRDefault="00FA2372" w:rsidP="00FA2372">
      <w:pPr>
        <w:pStyle w:val="Nadpis2"/>
        <w:rPr>
          <w:iCs/>
        </w:rPr>
      </w:pPr>
      <w:bookmarkStart w:id="59" w:name="_Ref168554819"/>
      <w:r w:rsidRPr="002B3E0B">
        <w:rPr>
          <w:iCs/>
        </w:rPr>
        <w:t xml:space="preserve">Jednostranně lze okamžitě od </w:t>
      </w:r>
      <w:r w:rsidR="00945966" w:rsidRPr="002B3E0B">
        <w:rPr>
          <w:iCs/>
        </w:rPr>
        <w:t>S</w:t>
      </w:r>
      <w:r w:rsidRPr="002B3E0B">
        <w:rPr>
          <w:iCs/>
        </w:rPr>
        <w:t>mlouvy odstoupit v těchto případech:</w:t>
      </w:r>
      <w:bookmarkEnd w:id="59"/>
    </w:p>
    <w:p w14:paraId="287B45ED" w14:textId="57302B13" w:rsidR="00FA2372" w:rsidRPr="002B3E0B" w:rsidRDefault="008E1686" w:rsidP="00FA2372">
      <w:pPr>
        <w:pStyle w:val="Nadpis3"/>
        <w:rPr>
          <w:iCs/>
        </w:rPr>
      </w:pPr>
      <w:r w:rsidRPr="002B3E0B">
        <w:rPr>
          <w:iCs/>
        </w:rPr>
        <w:t>Odběratel</w:t>
      </w:r>
      <w:r w:rsidR="00FA2372" w:rsidRPr="002B3E0B">
        <w:rPr>
          <w:iCs/>
        </w:rPr>
        <w:t xml:space="preserve"> je v prodlení s placením dle specifikace v čl. </w:t>
      </w:r>
      <w:r w:rsidR="00E92EC2" w:rsidRPr="002B3E0B">
        <w:rPr>
          <w:iCs/>
        </w:rPr>
        <w:fldChar w:fldCharType="begin"/>
      </w:r>
      <w:r w:rsidR="00E92EC2" w:rsidRPr="002B3E0B">
        <w:rPr>
          <w:iCs/>
        </w:rPr>
        <w:instrText xml:space="preserve"> REF _Ref168377650 \r \h  \* MERGEFORMAT </w:instrText>
      </w:r>
      <w:r w:rsidR="00E92EC2" w:rsidRPr="002B3E0B">
        <w:rPr>
          <w:iCs/>
        </w:rPr>
      </w:r>
      <w:r w:rsidR="00E92EC2" w:rsidRPr="002B3E0B">
        <w:rPr>
          <w:iCs/>
        </w:rPr>
        <w:fldChar w:fldCharType="separate"/>
      </w:r>
      <w:r w:rsidR="00EE4661">
        <w:rPr>
          <w:iCs/>
        </w:rPr>
        <w:t>6</w:t>
      </w:r>
      <w:r w:rsidR="00E92EC2" w:rsidRPr="002B3E0B">
        <w:rPr>
          <w:iCs/>
        </w:rPr>
        <w:fldChar w:fldCharType="end"/>
      </w:r>
      <w:r w:rsidR="00FA2372" w:rsidRPr="002B3E0B">
        <w:rPr>
          <w:iCs/>
        </w:rPr>
        <w:t xml:space="preserve"> déle než </w:t>
      </w:r>
      <w:r w:rsidR="002B3E0B" w:rsidRPr="002B3E0B">
        <w:rPr>
          <w:iCs/>
        </w:rPr>
        <w:t>30</w:t>
      </w:r>
      <w:r w:rsidR="00FA2372" w:rsidRPr="002B3E0B">
        <w:rPr>
          <w:iCs/>
        </w:rPr>
        <w:t xml:space="preserve"> dnů</w:t>
      </w:r>
    </w:p>
    <w:p w14:paraId="1C3662E0" w14:textId="616EAE70" w:rsidR="00FA2372" w:rsidRPr="002B3E0B" w:rsidRDefault="008E1686" w:rsidP="00FA2372">
      <w:pPr>
        <w:pStyle w:val="Nadpis3"/>
        <w:rPr>
          <w:iCs/>
        </w:rPr>
      </w:pPr>
      <w:r w:rsidRPr="002B3E0B">
        <w:rPr>
          <w:iCs/>
        </w:rPr>
        <w:t>Dodavatel</w:t>
      </w:r>
      <w:r w:rsidR="00FA2372" w:rsidRPr="002B3E0B">
        <w:rPr>
          <w:iCs/>
        </w:rPr>
        <w:t xml:space="preserve"> je ve zpoždění v plnění dle čl. </w:t>
      </w:r>
      <w:r w:rsidR="00E92EC2" w:rsidRPr="002B3E0B">
        <w:rPr>
          <w:iCs/>
        </w:rPr>
        <w:fldChar w:fldCharType="begin"/>
      </w:r>
      <w:r w:rsidR="00E92EC2" w:rsidRPr="002B3E0B">
        <w:rPr>
          <w:iCs/>
        </w:rPr>
        <w:instrText xml:space="preserve"> REF _Ref168282942 \r \h  \* MERGEFORMAT </w:instrText>
      </w:r>
      <w:r w:rsidR="00E92EC2" w:rsidRPr="002B3E0B">
        <w:rPr>
          <w:iCs/>
        </w:rPr>
      </w:r>
      <w:r w:rsidR="00E92EC2" w:rsidRPr="002B3E0B">
        <w:rPr>
          <w:iCs/>
        </w:rPr>
        <w:fldChar w:fldCharType="separate"/>
      </w:r>
      <w:r w:rsidR="00EE4661">
        <w:rPr>
          <w:iCs/>
        </w:rPr>
        <w:t>4</w:t>
      </w:r>
      <w:r w:rsidR="00E92EC2" w:rsidRPr="002B3E0B">
        <w:rPr>
          <w:iCs/>
        </w:rPr>
        <w:fldChar w:fldCharType="end"/>
      </w:r>
      <w:r w:rsidR="00FA2372" w:rsidRPr="002B3E0B">
        <w:rPr>
          <w:iCs/>
        </w:rPr>
        <w:t xml:space="preserve"> déle než </w:t>
      </w:r>
      <w:r w:rsidR="002B3E0B" w:rsidRPr="002B3E0B">
        <w:rPr>
          <w:iCs/>
        </w:rPr>
        <w:t>30</w:t>
      </w:r>
      <w:r w:rsidR="00E92EC2" w:rsidRPr="002B3E0B">
        <w:rPr>
          <w:iCs/>
        </w:rPr>
        <w:t xml:space="preserve"> </w:t>
      </w:r>
      <w:r w:rsidR="00FA2372" w:rsidRPr="002B3E0B">
        <w:rPr>
          <w:iCs/>
        </w:rPr>
        <w:t>dnů</w:t>
      </w:r>
    </w:p>
    <w:p w14:paraId="6D7BF3AE" w14:textId="77777777" w:rsidR="00FA2372" w:rsidRPr="002B3E0B" w:rsidRDefault="00FA2372" w:rsidP="00FA2372">
      <w:pPr>
        <w:pStyle w:val="Nadpis2"/>
        <w:rPr>
          <w:iCs/>
        </w:rPr>
      </w:pPr>
      <w:bookmarkStart w:id="60" w:name="_Ref168555125"/>
      <w:r w:rsidRPr="002B3E0B">
        <w:rPr>
          <w:iCs/>
        </w:rPr>
        <w:t xml:space="preserve">Smluvní strana může od této </w:t>
      </w:r>
      <w:r w:rsidR="00945966" w:rsidRPr="002B3E0B">
        <w:rPr>
          <w:iCs/>
        </w:rPr>
        <w:t>S</w:t>
      </w:r>
      <w:r w:rsidRPr="002B3E0B">
        <w:rPr>
          <w:iCs/>
        </w:rPr>
        <w:t>mlouvy 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End w:id="60"/>
    </w:p>
    <w:p w14:paraId="47403EEA" w14:textId="77777777" w:rsidR="00FA2372" w:rsidRPr="002B3E0B" w:rsidRDefault="00FA2372" w:rsidP="00FA2372">
      <w:pPr>
        <w:pStyle w:val="Nadpis2"/>
        <w:rPr>
          <w:iCs/>
        </w:rPr>
      </w:pPr>
      <w:bookmarkStart w:id="61" w:name="_Ref168555127"/>
      <w:r w:rsidRPr="002B3E0B">
        <w:rPr>
          <w:iCs/>
        </w:rPr>
        <w:t>Smluvní strany jsou povinny vzájemnou dohodou písemně vypořádat dosavadní smluvní plnění nejpozději do 1 měsíce od skončení účinnosti Smlouvy odstoupením.</w:t>
      </w:r>
      <w:bookmarkEnd w:id="61"/>
    </w:p>
    <w:p w14:paraId="06BA75A5" w14:textId="77777777" w:rsidR="004F0647" w:rsidRPr="002B3E0B" w:rsidRDefault="004F0647" w:rsidP="00E92EC2">
      <w:pPr>
        <w:pStyle w:val="Nadpis2"/>
        <w:rPr>
          <w:iCs/>
        </w:rPr>
      </w:pPr>
      <w:bookmarkStart w:id="62" w:name="_Ref168555347"/>
      <w:r w:rsidRPr="002B3E0B">
        <w:rPr>
          <w:iCs/>
        </w:rPr>
        <w:t>Každá smluvní strana je oprávněna jednostranně odstoupit od smlouvy, jestliže:</w:t>
      </w:r>
      <w:bookmarkEnd w:id="62"/>
    </w:p>
    <w:p w14:paraId="3A3FFE3A" w14:textId="77777777" w:rsidR="004F0647" w:rsidRPr="002B3E0B" w:rsidRDefault="004F0647" w:rsidP="00E92EC2">
      <w:pPr>
        <w:pStyle w:val="Nadpis3"/>
        <w:rPr>
          <w:iCs/>
        </w:rPr>
      </w:pPr>
      <w:r w:rsidRPr="002B3E0B">
        <w:rPr>
          <w:iCs/>
        </w:rPr>
        <w:t>druhá smluvní strana neplní hrubě podmínky smlouvy, byla na tuto skutečnost upozorněna, nesjednala nápravu ani v dodatečně poskytnuté přiměřené lhůtě</w:t>
      </w:r>
    </w:p>
    <w:p w14:paraId="4408D541" w14:textId="77777777" w:rsidR="004F0647" w:rsidRPr="002B3E0B" w:rsidRDefault="004F0647" w:rsidP="00E92EC2">
      <w:pPr>
        <w:pStyle w:val="Nadpis3"/>
        <w:rPr>
          <w:iCs/>
        </w:rPr>
      </w:pPr>
      <w:r w:rsidRPr="002B3E0B">
        <w:rPr>
          <w:iCs/>
        </w:rPr>
        <w:t>druhá smluvní strana je v</w:t>
      </w:r>
      <w:r w:rsidR="007F0A35" w:rsidRPr="002B3E0B">
        <w:rPr>
          <w:iCs/>
        </w:rPr>
        <w:t xml:space="preserve"> úpadku </w:t>
      </w:r>
      <w:r w:rsidRPr="002B3E0B">
        <w:rPr>
          <w:iCs/>
        </w:rPr>
        <w:t>nebo ztratila oprávnění k podnikatelské činnosti podle platných předpisů (o této skutečnosti je povinnost podat informaci neprodleně)</w:t>
      </w:r>
    </w:p>
    <w:p w14:paraId="21EA04D1" w14:textId="4008B4EA" w:rsidR="00B820FB" w:rsidRDefault="004F0647" w:rsidP="00E92EC2">
      <w:pPr>
        <w:pStyle w:val="Nadpis3"/>
        <w:rPr>
          <w:iCs/>
        </w:rPr>
      </w:pPr>
      <w:r w:rsidRPr="002B3E0B">
        <w:rPr>
          <w:iCs/>
        </w:rPr>
        <w:t>na majetek druhé smluvní strany byly zahájeny úkony, které nasvědčují zahájení exekučního řízení. O této skutečnosti je povinnost podat informaci neprodleně.</w:t>
      </w:r>
    </w:p>
    <w:p w14:paraId="29115092" w14:textId="77777777" w:rsidR="0051796C" w:rsidRPr="002B3E0B" w:rsidRDefault="0051796C" w:rsidP="0051796C">
      <w:pPr>
        <w:pStyle w:val="Nadpis3"/>
        <w:numPr>
          <w:ilvl w:val="0"/>
          <w:numId w:val="0"/>
        </w:numPr>
        <w:ind w:left="765"/>
        <w:rPr>
          <w:iCs/>
        </w:rPr>
      </w:pPr>
    </w:p>
    <w:p w14:paraId="29C7967A" w14:textId="77777777" w:rsidR="001C779E" w:rsidRDefault="001C779E" w:rsidP="001C779E">
      <w:pPr>
        <w:pStyle w:val="Nadpis1"/>
        <w:numPr>
          <w:ilvl w:val="0"/>
          <w:numId w:val="1"/>
        </w:numPr>
      </w:pPr>
      <w:bookmarkStart w:id="63" w:name="_Ref168555408"/>
      <w:bookmarkStart w:id="64" w:name="_Toc175127083"/>
      <w:r w:rsidRPr="00461238">
        <w:t>Řešení sporů</w:t>
      </w:r>
      <w:bookmarkEnd w:id="63"/>
      <w:bookmarkEnd w:id="64"/>
    </w:p>
    <w:p w14:paraId="68E483E9" w14:textId="1B334F9D" w:rsidR="001C779E" w:rsidRDefault="001C779E" w:rsidP="00F77AE2">
      <w:pPr>
        <w:pStyle w:val="Nadpis2"/>
      </w:pPr>
      <w:r w:rsidRPr="00F77AE2">
        <w:t>Jakýkoli právní postup</w:t>
      </w:r>
      <w:r w:rsidR="00B820FB" w:rsidRPr="00F77AE2">
        <w:t>,</w:t>
      </w:r>
      <w:r w:rsidRPr="00F77AE2">
        <w:t xml:space="preserve"> nebo soudní spor vedený v souvislosti s touto smlouvou</w:t>
      </w:r>
      <w:r w:rsidR="00B820FB" w:rsidRPr="00F77AE2">
        <w:t>,</w:t>
      </w:r>
      <w:r w:rsidRPr="00F77AE2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 místní příslušnost Obvodního soudu pro Prahu 9 a pro všechny spory, u nichž jsou k řízení v prvním stupni příslušné krajské soudy místní příslušnost Městského soudu v Praze.</w:t>
      </w:r>
    </w:p>
    <w:p w14:paraId="1A820617" w14:textId="77777777" w:rsidR="0051796C" w:rsidRPr="00F77AE2" w:rsidRDefault="0051796C" w:rsidP="0051796C">
      <w:pPr>
        <w:pStyle w:val="Nadpis2"/>
        <w:numPr>
          <w:ilvl w:val="0"/>
          <w:numId w:val="0"/>
        </w:numPr>
        <w:ind w:left="567"/>
      </w:pPr>
    </w:p>
    <w:p w14:paraId="21A56753" w14:textId="77777777" w:rsidR="004F0647" w:rsidRPr="00FA2372" w:rsidRDefault="004F0647" w:rsidP="00FA2372">
      <w:pPr>
        <w:pStyle w:val="Nadpis1"/>
        <w:numPr>
          <w:ilvl w:val="0"/>
          <w:numId w:val="1"/>
        </w:numPr>
      </w:pPr>
      <w:bookmarkStart w:id="65" w:name="_Ref168555469"/>
      <w:bookmarkStart w:id="66" w:name="_Toc175127084"/>
      <w:r w:rsidRPr="00FA2372">
        <w:t>Závěrečná ustanovení</w:t>
      </w:r>
      <w:bookmarkEnd w:id="65"/>
      <w:bookmarkEnd w:id="66"/>
    </w:p>
    <w:p w14:paraId="6179A149" w14:textId="77777777" w:rsidR="001C3231" w:rsidRPr="00D272B2" w:rsidRDefault="00FA2372" w:rsidP="00D272B2">
      <w:pPr>
        <w:pStyle w:val="Nadpis2"/>
      </w:pPr>
      <w:bookmarkStart w:id="67" w:name="_Ref168555595"/>
      <w:r w:rsidRPr="00EE3E24">
        <w:t xml:space="preserve">Vztahy mezi stranami se řídí ustanoveními této Smlouvy, </w:t>
      </w:r>
      <w:r w:rsidRPr="006E52FB">
        <w:t>všeobecnými obchodními podmínkami</w:t>
      </w:r>
      <w:r w:rsidRPr="00EE3E24">
        <w:t xml:space="preserve">, které tvoří </w:t>
      </w:r>
      <w:r w:rsidRPr="0019728A">
        <w:t xml:space="preserve">Přílohu </w:t>
      </w:r>
      <w:r w:rsidR="00FF6DEE">
        <w:t xml:space="preserve">č.1 </w:t>
      </w:r>
      <w:r w:rsidRPr="00EE3E24">
        <w:t>této Smlouvy a ob</w:t>
      </w:r>
      <w:r w:rsidR="007F0A35">
        <w:rPr>
          <w:lang w:val="cs-CZ"/>
        </w:rPr>
        <w:t xml:space="preserve">čanským </w:t>
      </w:r>
      <w:r w:rsidRPr="00EE3E24">
        <w:t>zákoníkem. V částech vztahujících se k udělení práva užití programů splňujících znaky autorského díla se použije režim autorského zákona.</w:t>
      </w:r>
      <w:r w:rsidR="00D272B2">
        <w:t xml:space="preserve"> </w:t>
      </w:r>
      <w:r w:rsidR="001C3231" w:rsidRPr="00D272B2">
        <w:t>Pro případ, že by některé ustanovení této Smlouvy bylo v rozporu s právními předpisy zakotvujícími ochranu práv spotřebitele, pak se takové ustanovení této Smlouvy pro právní vztah definovaný touto Smlouvou nepoužije a bude aplikován příslušný právní předpis.</w:t>
      </w:r>
      <w:bookmarkEnd w:id="67"/>
    </w:p>
    <w:p w14:paraId="122D47F6" w14:textId="77777777" w:rsidR="00FA2372" w:rsidRPr="00B32D8D" w:rsidRDefault="00FA2372" w:rsidP="00FA2372">
      <w:pPr>
        <w:pStyle w:val="Nadpis2"/>
      </w:pPr>
      <w:bookmarkStart w:id="68" w:name="_Ref168555597"/>
      <w:r w:rsidRPr="00B32D8D">
        <w:t xml:space="preserve">Obsah </w:t>
      </w:r>
      <w:r w:rsidR="00945966">
        <w:t>S</w:t>
      </w:r>
      <w:r w:rsidRPr="00B32D8D">
        <w:t xml:space="preserve">mlouvy může být měněn jen dohodou stran smluvních a to vždy jen </w:t>
      </w:r>
      <w:r>
        <w:t xml:space="preserve">vzestupně číslovanými </w:t>
      </w:r>
      <w:r w:rsidRPr="00B32D8D">
        <w:t>písemnými dodatky potvrzený</w:t>
      </w:r>
      <w:r>
        <w:t>mi</w:t>
      </w:r>
      <w:r w:rsidRPr="00B32D8D">
        <w:t xml:space="preserve"> </w:t>
      </w:r>
      <w:r>
        <w:t xml:space="preserve">Oprávněnými osobami smluvních </w:t>
      </w:r>
      <w:r w:rsidRPr="00B32D8D">
        <w:t>stran.</w:t>
      </w:r>
      <w:bookmarkEnd w:id="68"/>
    </w:p>
    <w:p w14:paraId="6E2E650E" w14:textId="77777777" w:rsidR="00FA2372" w:rsidRPr="002B3E0B" w:rsidRDefault="00FA2372" w:rsidP="00FA2372">
      <w:pPr>
        <w:pStyle w:val="Nadpis2"/>
        <w:rPr>
          <w:iCs/>
        </w:rPr>
      </w:pPr>
      <w:bookmarkStart w:id="69" w:name="_Ref168555649"/>
      <w:r w:rsidRPr="00EE3E24">
        <w:t xml:space="preserve">Smlouva se vyhotovuje </w:t>
      </w:r>
      <w:r w:rsidRPr="002B3E0B">
        <w:t xml:space="preserve">ve </w:t>
      </w:r>
      <w:r w:rsidRPr="002B3E0B">
        <w:rPr>
          <w:iCs/>
        </w:rPr>
        <w:t>dvou stejnopisech vlastnoručně signovaných smluvními stranami, z nichž každá smluvní strana obdrží po jedné.</w:t>
      </w:r>
      <w:bookmarkEnd w:id="69"/>
    </w:p>
    <w:p w14:paraId="04E7CF3D" w14:textId="77777777" w:rsidR="00FA2372" w:rsidRPr="00D272B2" w:rsidRDefault="00FA2372" w:rsidP="00FA2372">
      <w:pPr>
        <w:pStyle w:val="Nadpis2"/>
        <w:rPr>
          <w:iCs/>
        </w:rPr>
      </w:pPr>
      <w:bookmarkStart w:id="70" w:name="_Ref168555727"/>
      <w:r w:rsidRPr="00D272B2">
        <w:rPr>
          <w:iCs/>
        </w:rPr>
        <w:t xml:space="preserve">Nedílnou součástí </w:t>
      </w:r>
      <w:r w:rsidR="00945966">
        <w:rPr>
          <w:iCs/>
        </w:rPr>
        <w:t>S</w:t>
      </w:r>
      <w:r w:rsidRPr="00D272B2">
        <w:rPr>
          <w:iCs/>
        </w:rPr>
        <w:t>mlouvy jsou přílohy:</w:t>
      </w:r>
      <w:bookmarkEnd w:id="70"/>
    </w:p>
    <w:p w14:paraId="4C060218" w14:textId="77777777" w:rsidR="00FA2372" w:rsidRPr="002B3E0B" w:rsidRDefault="00FA2372" w:rsidP="00FA2372">
      <w:pPr>
        <w:pStyle w:val="Text2"/>
      </w:pPr>
      <w:r w:rsidRPr="002B3E0B">
        <w:t>Příloha č.1 – Všeobecné obchodní podmínky</w:t>
      </w:r>
    </w:p>
    <w:p w14:paraId="1D8B2FA2" w14:textId="62AE33C0" w:rsidR="00FA2372" w:rsidRPr="002B3E0B" w:rsidRDefault="00FA2372" w:rsidP="002B3E0B">
      <w:pPr>
        <w:pStyle w:val="Odrky"/>
        <w:numPr>
          <w:ilvl w:val="0"/>
          <w:numId w:val="0"/>
        </w:numPr>
        <w:ind w:left="907" w:hanging="340"/>
        <w:rPr>
          <w:iCs w:val="0"/>
          <w:lang w:val="cs-CZ"/>
        </w:rPr>
      </w:pPr>
      <w:r w:rsidRPr="002B3E0B">
        <w:rPr>
          <w:iCs w:val="0"/>
        </w:rPr>
        <w:t xml:space="preserve">Příloha č.2 – </w:t>
      </w:r>
      <w:r w:rsidR="002B3E0B">
        <w:rPr>
          <w:iCs w:val="0"/>
          <w:lang w:val="cs-CZ"/>
        </w:rPr>
        <w:t>Specifikace předmětu plnění</w:t>
      </w:r>
    </w:p>
    <w:p w14:paraId="19CAAADC" w14:textId="77777777" w:rsidR="00B820FB" w:rsidRDefault="00B820FB" w:rsidP="00B820FB"/>
    <w:p w14:paraId="0F097664" w14:textId="7D04F9AA" w:rsidR="004F0647" w:rsidRDefault="004F0647" w:rsidP="006A7FF7"/>
    <w:p w14:paraId="42EADCAE" w14:textId="75C00ED1" w:rsidR="0051796C" w:rsidRDefault="0051796C" w:rsidP="006A7FF7"/>
    <w:p w14:paraId="640569B3" w14:textId="3EB4E8F2" w:rsidR="0051796C" w:rsidRDefault="0051796C" w:rsidP="006A7FF7"/>
    <w:p w14:paraId="3D595B7D" w14:textId="2817A081" w:rsidR="0051796C" w:rsidRDefault="0051796C" w:rsidP="006A7FF7"/>
    <w:p w14:paraId="2D754364" w14:textId="06A71498" w:rsidR="0051796C" w:rsidRDefault="0051796C" w:rsidP="006A7FF7"/>
    <w:p w14:paraId="52CDC6B6" w14:textId="3B4D1680" w:rsidR="0051796C" w:rsidRDefault="0051796C" w:rsidP="006A7FF7"/>
    <w:p w14:paraId="1764F2EF" w14:textId="77777777" w:rsidR="0051796C" w:rsidRDefault="0051796C" w:rsidP="006A7FF7"/>
    <w:p w14:paraId="790FA434" w14:textId="528AF0D3" w:rsidR="00FF6DEE" w:rsidRPr="002F5E62" w:rsidRDefault="00FF6DEE" w:rsidP="00FF6DEE">
      <w:pPr>
        <w:tabs>
          <w:tab w:val="center" w:pos="1980"/>
          <w:tab w:val="center" w:pos="7020"/>
        </w:tabs>
      </w:pPr>
      <w:r w:rsidRPr="002F5E62">
        <w:t>V</w:t>
      </w:r>
      <w:r w:rsidR="0051796C">
        <w:t>e Smiřicích dn</w:t>
      </w:r>
      <w:r w:rsidRPr="002F5E62">
        <w:t>e</w:t>
      </w:r>
      <w:r w:rsidR="00C93179">
        <w:t xml:space="preserve"> </w:t>
      </w:r>
      <w:r w:rsidR="00C93179">
        <w:tab/>
      </w:r>
      <w:r w:rsidR="00EE41DB">
        <w:t>28.04.2023</w:t>
      </w:r>
      <w:r w:rsidRPr="002F5E62">
        <w:tab/>
        <w:t>V</w:t>
      </w:r>
      <w:r w:rsidR="00C93179">
        <w:t xml:space="preserve"> Novém Bydžově </w:t>
      </w:r>
      <w:r w:rsidRPr="002F5E62">
        <w:t>dne</w:t>
      </w:r>
      <w:r w:rsidR="00C93179">
        <w:t xml:space="preserve"> </w:t>
      </w:r>
      <w:r w:rsidR="00EE41DB">
        <w:t>28.04.2023</w:t>
      </w:r>
    </w:p>
    <w:p w14:paraId="681B62D6" w14:textId="77777777" w:rsidR="00FF6DEE" w:rsidRPr="002F5E62" w:rsidRDefault="00FF6DEE" w:rsidP="00FF6DEE"/>
    <w:p w14:paraId="7DABA6FF" w14:textId="09A3DF85" w:rsidR="00FF6DEE" w:rsidRDefault="00FF6DEE" w:rsidP="00FF6DEE"/>
    <w:p w14:paraId="6EC2A3E4" w14:textId="607CF952" w:rsidR="0051796C" w:rsidRDefault="0051796C" w:rsidP="00FF6DEE"/>
    <w:p w14:paraId="35759BB3" w14:textId="7BE304DB" w:rsidR="00C93179" w:rsidRDefault="00C93179" w:rsidP="00FF6DEE"/>
    <w:p w14:paraId="4F3E35CD" w14:textId="20A2D736" w:rsidR="00C93179" w:rsidRDefault="00C93179" w:rsidP="00FF6DEE"/>
    <w:p w14:paraId="2226EF03" w14:textId="4AAC0900" w:rsidR="00C93179" w:rsidRDefault="00C93179" w:rsidP="00FF6DEE"/>
    <w:p w14:paraId="44E226B5" w14:textId="32F3C233" w:rsidR="00C93179" w:rsidRDefault="00C93179" w:rsidP="00FF6DEE"/>
    <w:p w14:paraId="4C6DED34" w14:textId="3031B317" w:rsidR="00C93179" w:rsidRDefault="00C93179" w:rsidP="00FF6DEE"/>
    <w:p w14:paraId="7DB052F7" w14:textId="706BD739" w:rsidR="00C93179" w:rsidRDefault="00C93179" w:rsidP="00FF6DEE"/>
    <w:p w14:paraId="742C8B88" w14:textId="6BF1DAE9" w:rsidR="00C93179" w:rsidRDefault="00C93179" w:rsidP="00FF6DEE"/>
    <w:p w14:paraId="38681C40" w14:textId="77777777" w:rsidR="00C93179" w:rsidRPr="002F5E62" w:rsidRDefault="00C93179" w:rsidP="00FF6DEE"/>
    <w:p w14:paraId="3D327D1F" w14:textId="77777777" w:rsidR="00FF6DEE" w:rsidRPr="002F5E62" w:rsidRDefault="00FF6DEE" w:rsidP="00FF6DEE">
      <w:pPr>
        <w:tabs>
          <w:tab w:val="center" w:pos="1980"/>
          <w:tab w:val="center" w:pos="7020"/>
        </w:tabs>
      </w:pPr>
      <w:r>
        <w:tab/>
      </w:r>
      <w:r w:rsidRPr="002F5E62">
        <w:t xml:space="preserve">______________________ </w:t>
      </w:r>
      <w:r w:rsidRPr="002F5E62">
        <w:tab/>
        <w:t>_______________________</w:t>
      </w:r>
    </w:p>
    <w:p w14:paraId="1FA5F9F2" w14:textId="238002E3" w:rsidR="00FF6DEE" w:rsidRPr="00F97832" w:rsidRDefault="00FF6DEE" w:rsidP="00D329C7">
      <w:pPr>
        <w:tabs>
          <w:tab w:val="center" w:pos="1980"/>
          <w:tab w:val="center" w:pos="7020"/>
        </w:tabs>
      </w:pPr>
      <w:r>
        <w:tab/>
        <w:t>Za Dodavatele</w:t>
      </w:r>
      <w:r w:rsidRPr="002F5E62">
        <w:tab/>
        <w:t xml:space="preserve">Za </w:t>
      </w:r>
      <w:r>
        <w:t>Odběratele</w:t>
      </w:r>
      <w:bookmarkStart w:id="71" w:name="_Hlt415560808"/>
      <w:bookmarkStart w:id="72" w:name="_Hlt413729504"/>
      <w:bookmarkStart w:id="73" w:name="_Hlt413729516"/>
      <w:bookmarkEnd w:id="71"/>
      <w:bookmarkEnd w:id="72"/>
      <w:bookmarkEnd w:id="73"/>
    </w:p>
    <w:p w14:paraId="3D7286EA" w14:textId="77777777" w:rsidR="004F0647" w:rsidRDefault="004F0647" w:rsidP="004F0647">
      <w:pPr>
        <w:rPr>
          <w:highlight w:val="yellow"/>
        </w:rPr>
      </w:pPr>
    </w:p>
    <w:p w14:paraId="6DAE9C37" w14:textId="77777777" w:rsidR="004F0647" w:rsidRDefault="004F0647" w:rsidP="00D20DD4"/>
    <w:p w14:paraId="5EABE8AF" w14:textId="789865BD" w:rsidR="001C779E" w:rsidRPr="00535CED" w:rsidRDefault="00FF6DEE" w:rsidP="001C779E">
      <w:pPr>
        <w:pStyle w:val="Plohy"/>
      </w:pPr>
      <w:r>
        <w:br w:type="page"/>
      </w:r>
      <w:r w:rsidR="001C779E" w:rsidRPr="00D20DD4">
        <w:lastRenderedPageBreak/>
        <w:t xml:space="preserve">Příloha č.1 – </w:t>
      </w:r>
      <w:r w:rsidR="001C779E" w:rsidRPr="00535CED">
        <w:t>Všeobecné obchodní podmínky A</w:t>
      </w:r>
      <w:r w:rsidR="03CD59E8" w:rsidRPr="00535CED">
        <w:t>UTO</w:t>
      </w:r>
      <w:r w:rsidR="001C779E" w:rsidRPr="00535CED">
        <w:t>C</w:t>
      </w:r>
      <w:r w:rsidR="03CD59E8" w:rsidRPr="00535CED">
        <w:t>ONT</w:t>
      </w:r>
      <w:r w:rsidR="001C779E" w:rsidRPr="00535CED">
        <w:t xml:space="preserve"> a.s.</w:t>
      </w:r>
    </w:p>
    <w:p w14:paraId="78F82204" w14:textId="77777777" w:rsidR="002B61C2" w:rsidRDefault="002B61C2">
      <w:pPr>
        <w:rPr>
          <w:b/>
          <w:bCs/>
        </w:rPr>
      </w:pPr>
    </w:p>
    <w:p w14:paraId="7C12B8B6" w14:textId="77777777" w:rsidR="002B61C2" w:rsidRDefault="002B61C2">
      <w:pPr>
        <w:rPr>
          <w:b/>
          <w:bCs/>
        </w:rPr>
      </w:pPr>
    </w:p>
    <w:p w14:paraId="599FABA0" w14:textId="77777777" w:rsidR="002B61C2" w:rsidRPr="002B61C2" w:rsidRDefault="002B61C2">
      <w:pPr>
        <w:rPr>
          <w:rFonts w:asciiTheme="minorHAnsi" w:hAnsiTheme="minorHAnsi" w:cstheme="minorHAnsi"/>
        </w:rPr>
      </w:pPr>
      <w:r w:rsidRPr="002B61C2">
        <w:rPr>
          <w:rFonts w:asciiTheme="minorHAnsi" w:hAnsiTheme="minorHAnsi" w:cstheme="minorHAnsi"/>
        </w:rPr>
        <w:t>Vložena samostatně číslovaná příloha</w:t>
      </w:r>
    </w:p>
    <w:p w14:paraId="3D5AE2E0" w14:textId="3DBB685E" w:rsidR="002B61C2" w:rsidRDefault="002B61C2">
      <w:r>
        <w:rPr>
          <w:b/>
          <w:bCs/>
        </w:rPr>
        <w:br w:type="page"/>
      </w:r>
    </w:p>
    <w:p w14:paraId="1D47B8D6" w14:textId="58B1F041" w:rsidR="001C779E" w:rsidRPr="00D20DD4" w:rsidRDefault="001C779E" w:rsidP="001C779E">
      <w:pPr>
        <w:pStyle w:val="Plohy"/>
      </w:pPr>
      <w:r w:rsidRPr="00D20DD4">
        <w:lastRenderedPageBreak/>
        <w:t>Příloha č.2 –</w:t>
      </w:r>
      <w:r w:rsidR="00FF6DEE">
        <w:t xml:space="preserve"> </w:t>
      </w:r>
      <w:r w:rsidR="002B3E0B">
        <w:t>Specifikace předmětu plnění</w:t>
      </w:r>
    </w:p>
    <w:p w14:paraId="647B0415" w14:textId="77777777" w:rsidR="002B61C2" w:rsidRPr="002B61C2" w:rsidRDefault="002B61C2" w:rsidP="002B61C2">
      <w:pPr>
        <w:spacing w:after="160" w:line="259" w:lineRule="auto"/>
        <w:rPr>
          <w:rFonts w:ascii="Calibri" w:eastAsia="Calibri" w:hAnsi="Calibri"/>
          <w:szCs w:val="22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4635"/>
        <w:gridCol w:w="894"/>
        <w:gridCol w:w="146"/>
      </w:tblGrid>
      <w:tr w:rsidR="002B61C2" w:rsidRPr="002B61C2" w14:paraId="4AAAE7E9" w14:textId="77777777" w:rsidTr="00CE3B1D">
        <w:trPr>
          <w:gridAfter w:val="1"/>
          <w:wAfter w:w="36" w:type="dxa"/>
          <w:trHeight w:val="408"/>
        </w:trPr>
        <w:tc>
          <w:tcPr>
            <w:tcW w:w="13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587D6F" w14:textId="77777777" w:rsidR="002B61C2" w:rsidRPr="002B61C2" w:rsidRDefault="002B61C2" w:rsidP="002B61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61C2">
              <w:rPr>
                <w:rFonts w:ascii="Calibri" w:hAnsi="Calibri" w:cs="Calibri"/>
                <w:b/>
                <w:bCs/>
                <w:sz w:val="20"/>
                <w:szCs w:val="20"/>
              </w:rPr>
              <w:t>Č. položky</w:t>
            </w:r>
          </w:p>
        </w:tc>
        <w:tc>
          <w:tcPr>
            <w:tcW w:w="463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D0E312" w14:textId="77777777" w:rsidR="002B61C2" w:rsidRPr="002B61C2" w:rsidRDefault="002B61C2" w:rsidP="002B61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61C2">
              <w:rPr>
                <w:rFonts w:ascii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81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A3D18C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61C2">
              <w:rPr>
                <w:rFonts w:ascii="Calibri" w:hAnsi="Calibri" w:cs="Calibri"/>
                <w:b/>
                <w:bCs/>
                <w:sz w:val="20"/>
                <w:szCs w:val="20"/>
              </w:rPr>
              <w:t>Jednotka (ks/m)</w:t>
            </w:r>
          </w:p>
        </w:tc>
      </w:tr>
      <w:tr w:rsidR="002B61C2" w:rsidRPr="002B61C2" w14:paraId="40B4DD60" w14:textId="77777777" w:rsidTr="00CE3B1D">
        <w:trPr>
          <w:trHeight w:val="255"/>
        </w:trPr>
        <w:tc>
          <w:tcPr>
            <w:tcW w:w="139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8FBFD2" w14:textId="77777777" w:rsidR="002B61C2" w:rsidRPr="002B61C2" w:rsidRDefault="002B61C2" w:rsidP="002B61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3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BE9D87" w14:textId="77777777" w:rsidR="002B61C2" w:rsidRPr="002B61C2" w:rsidRDefault="002B61C2" w:rsidP="002B61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AE0D66" w14:textId="77777777" w:rsidR="002B61C2" w:rsidRPr="002B61C2" w:rsidRDefault="002B61C2" w:rsidP="002B61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D539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61C2" w:rsidRPr="002B61C2" w14:paraId="343F2DC1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59D7467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4878D07" w14:textId="77777777" w:rsidR="002B61C2" w:rsidRPr="002B61C2" w:rsidRDefault="002B61C2" w:rsidP="002B61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61C2">
              <w:rPr>
                <w:rFonts w:ascii="Calibri" w:hAnsi="Calibri" w:cs="Calibri"/>
                <w:b/>
                <w:bCs/>
                <w:sz w:val="20"/>
                <w:szCs w:val="20"/>
              </w:rPr>
              <w:t>IBM FLASHSYSTEM 5200 NVME CONTROL ENCLOSURE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F3A17E3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B35136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2B55742B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CB143D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-9730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451CF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 xml:space="preserve">POWER </w:t>
            </w:r>
            <w:proofErr w:type="gramStart"/>
            <w:r w:rsidRPr="002B61C2">
              <w:rPr>
                <w:rFonts w:ascii="Calibri" w:hAnsi="Calibri" w:cs="Calibri"/>
                <w:sz w:val="20"/>
                <w:szCs w:val="20"/>
              </w:rPr>
              <w:t>CORD - PDU</w:t>
            </w:r>
            <w:proofErr w:type="gramEnd"/>
            <w:r w:rsidRPr="002B61C2">
              <w:rPr>
                <w:rFonts w:ascii="Calibri" w:hAnsi="Calibri" w:cs="Calibri"/>
                <w:sz w:val="20"/>
                <w:szCs w:val="20"/>
              </w:rPr>
              <w:t xml:space="preserve"> CONNECTION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535088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245658C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6EEEC75A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653F7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-ACSR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DFE300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5M OM3 FIBER CABLE (LC)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460A7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32CC9EA4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4C6E7F54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2B65D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-ADN1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AF290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 xml:space="preserve">ORDER TYPE 1 </w:t>
            </w:r>
            <w:proofErr w:type="gramStart"/>
            <w:r w:rsidRPr="002B61C2">
              <w:rPr>
                <w:rFonts w:ascii="Calibri" w:hAnsi="Calibri" w:cs="Calibri"/>
                <w:sz w:val="20"/>
                <w:szCs w:val="20"/>
              </w:rPr>
              <w:t>INDICATOR - CTO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3863EA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65DED89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04E07E89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179C32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-AG00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D00C79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SHIPPING AND HANDLING NC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7B3D6C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CF02C4D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0A9E4FF4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630B36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-AGSA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1EE5B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4.8TB FLASHCORE MODULE 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120DCC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61A824F2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2985F3D9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6DF6AA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-AHPE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CCC58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AC POWER SUPPLY (PAIR)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83E15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1529E0C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1341CF21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E89C3C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-AHZD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E5975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ALL FLASH SOLUTION INDICATOR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7A7EB3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35B5E69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048D16F5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B3F349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-ALB3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89309B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16 GB FC 4 PORT ADAPTER CARDS (PAIR)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1A722B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B9A9684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7217C721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B666AF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-ALG0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8E0B75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64 GB BASE CACHE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5A7713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C96D935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1A8745AF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3F2704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-ALGC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C878D4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192 GB CACHE UPGRADE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03595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1A4636F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2E86A8DC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89126E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-ALH0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94F2B7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EXPERT CARE INDICATOR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05C74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A579F4A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7ADE4DD6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8C4A1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B61C2">
              <w:rPr>
                <w:rFonts w:ascii="Calibri" w:hAnsi="Calibri" w:cs="Calibri"/>
                <w:sz w:val="18"/>
                <w:szCs w:val="18"/>
              </w:rPr>
              <w:t>4662-6H2</w:t>
            </w:r>
            <w:proofErr w:type="gramEnd"/>
            <w:r w:rsidRPr="002B61C2">
              <w:rPr>
                <w:rFonts w:ascii="Calibri" w:hAnsi="Calibri" w:cs="Calibri"/>
                <w:sz w:val="18"/>
                <w:szCs w:val="18"/>
              </w:rPr>
              <w:t>-ALK5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6C43FC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EC ADVANCED 5 YEAR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78D8CF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9227B3B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0F3E32E7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5D0EEB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r w:rsidRPr="002B61C2">
              <w:rPr>
                <w:rFonts w:ascii="Calibri" w:hAnsi="Calibri" w:cs="Calibri"/>
                <w:sz w:val="18"/>
                <w:szCs w:val="18"/>
              </w:rPr>
              <w:t>4663-A05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1210BC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5 YEAR EXPERT CARE ADVANCED FOR FS5200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8BB16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5CE1D13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27D9F4F2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388F4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r w:rsidRPr="002B61C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19EBF5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DDE62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C94146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  <w:tr w:rsidR="002B61C2" w:rsidRPr="002B61C2" w14:paraId="459109D3" w14:textId="77777777" w:rsidTr="00CE3B1D">
        <w:trPr>
          <w:trHeight w:val="276"/>
        </w:trPr>
        <w:tc>
          <w:tcPr>
            <w:tcW w:w="13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96AB92" w14:textId="77777777" w:rsidR="002B61C2" w:rsidRPr="002B61C2" w:rsidRDefault="002B61C2" w:rsidP="002B61C2">
            <w:pPr>
              <w:rPr>
                <w:rFonts w:ascii="Calibri" w:hAnsi="Calibri" w:cs="Calibri"/>
                <w:sz w:val="18"/>
                <w:szCs w:val="18"/>
              </w:rPr>
            </w:pPr>
            <w:r w:rsidRPr="002B61C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410112" w14:textId="77777777" w:rsidR="002B61C2" w:rsidRPr="002B61C2" w:rsidRDefault="002B61C2" w:rsidP="002B61C2">
            <w:pPr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 xml:space="preserve">instalace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D2BAED" w14:textId="77777777" w:rsidR="002B61C2" w:rsidRPr="002B61C2" w:rsidRDefault="002B61C2" w:rsidP="002B61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959D018" w14:textId="77777777" w:rsidR="002B61C2" w:rsidRPr="002B61C2" w:rsidRDefault="002B61C2" w:rsidP="002B61C2">
            <w:pPr>
              <w:rPr>
                <w:sz w:val="20"/>
                <w:szCs w:val="20"/>
              </w:rPr>
            </w:pPr>
          </w:p>
        </w:tc>
      </w:tr>
    </w:tbl>
    <w:p w14:paraId="6832CD13" w14:textId="77777777" w:rsidR="002B61C2" w:rsidRPr="002B61C2" w:rsidRDefault="002B61C2" w:rsidP="002B61C2">
      <w:pPr>
        <w:spacing w:after="160" w:line="259" w:lineRule="auto"/>
        <w:rPr>
          <w:rFonts w:ascii="Calibri" w:eastAsia="Calibri" w:hAnsi="Calibri"/>
          <w:szCs w:val="22"/>
        </w:rPr>
      </w:pPr>
    </w:p>
    <w:p w14:paraId="7FF2418B" w14:textId="77777777" w:rsidR="002B61C2" w:rsidRPr="002B61C2" w:rsidRDefault="002B61C2" w:rsidP="002B61C2">
      <w:pPr>
        <w:spacing w:after="160" w:line="259" w:lineRule="auto"/>
        <w:rPr>
          <w:rFonts w:ascii="Calibri" w:eastAsia="Calibri" w:hAnsi="Calibri"/>
          <w:szCs w:val="22"/>
        </w:rPr>
      </w:pPr>
      <w:r w:rsidRPr="002B61C2">
        <w:rPr>
          <w:rFonts w:ascii="Calibri" w:eastAsia="Calibri" w:hAnsi="Calibri"/>
          <w:szCs w:val="22"/>
        </w:rPr>
        <w:br w:type="page"/>
      </w:r>
    </w:p>
    <w:p w14:paraId="0BC96411" w14:textId="77777777" w:rsidR="002B61C2" w:rsidRPr="002B61C2" w:rsidRDefault="002B61C2" w:rsidP="002B61C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" w:color="auto"/>
        </w:pBdr>
        <w:shd w:val="clear" w:color="auto" w:fill="FFFFCC"/>
        <w:tabs>
          <w:tab w:val="left" w:pos="9214"/>
        </w:tabs>
        <w:spacing w:after="160" w:line="259" w:lineRule="auto"/>
        <w:ind w:left="284" w:right="-142"/>
        <w:jc w:val="center"/>
        <w:outlineLvl w:val="0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2B61C2">
        <w:rPr>
          <w:rFonts w:ascii="Calibri" w:eastAsia="Calibri" w:hAnsi="Calibri" w:cs="Calibri"/>
          <w:b/>
          <w:sz w:val="32"/>
          <w:szCs w:val="32"/>
          <w:lang w:eastAsia="en-US"/>
        </w:rPr>
        <w:lastRenderedPageBreak/>
        <w:t>Technická specifikace předmětu veřejné zakázky</w:t>
      </w:r>
    </w:p>
    <w:p w14:paraId="48108950" w14:textId="77777777" w:rsidR="002B61C2" w:rsidRPr="002B61C2" w:rsidRDefault="002B61C2" w:rsidP="002B61C2">
      <w:pPr>
        <w:suppressAutoHyphens/>
        <w:ind w:right="-2"/>
        <w:outlineLvl w:val="7"/>
        <w:rPr>
          <w:rFonts w:ascii="Calibri" w:hAnsi="Calibri" w:cs="Calibri"/>
          <w:b/>
          <w:sz w:val="28"/>
          <w:szCs w:val="28"/>
          <w:lang w:eastAsia="ar-SA"/>
        </w:rPr>
      </w:pPr>
    </w:p>
    <w:p w14:paraId="3D709130" w14:textId="77777777" w:rsidR="002B61C2" w:rsidRPr="002B61C2" w:rsidRDefault="002B61C2" w:rsidP="002B61C2">
      <w:pPr>
        <w:suppressAutoHyphens/>
        <w:ind w:right="-2"/>
        <w:jc w:val="center"/>
        <w:outlineLvl w:val="7"/>
        <w:rPr>
          <w:rFonts w:ascii="Calibri" w:hAnsi="Calibri" w:cs="Calibri"/>
          <w:b/>
          <w:color w:val="000000"/>
          <w:sz w:val="28"/>
          <w:szCs w:val="28"/>
          <w:lang w:eastAsia="ar-SA"/>
        </w:rPr>
      </w:pPr>
      <w:r w:rsidRPr="002B61C2">
        <w:rPr>
          <w:rFonts w:ascii="Calibri" w:hAnsi="Calibri" w:cs="Calibri"/>
          <w:b/>
          <w:color w:val="000000"/>
          <w:sz w:val="28"/>
          <w:szCs w:val="28"/>
          <w:lang w:eastAsia="ar-SA"/>
        </w:rPr>
        <w:t>Diskové pole pro TC ORP Nový Bydžov</w:t>
      </w:r>
    </w:p>
    <w:p w14:paraId="227EB116" w14:textId="77777777" w:rsidR="002B61C2" w:rsidRPr="002B61C2" w:rsidRDefault="002B61C2" w:rsidP="002B61C2">
      <w:pPr>
        <w:suppressAutoHyphens/>
        <w:ind w:right="-2"/>
        <w:outlineLvl w:val="7"/>
        <w:rPr>
          <w:rFonts w:ascii="Calibri" w:hAnsi="Calibri" w:cs="Calibri"/>
          <w:szCs w:val="22"/>
          <w:u w:val="single"/>
          <w:lang w:eastAsia="ar-SA"/>
        </w:rPr>
      </w:pPr>
    </w:p>
    <w:p w14:paraId="715C59E1" w14:textId="77777777" w:rsidR="002B61C2" w:rsidRPr="002B61C2" w:rsidRDefault="002B61C2" w:rsidP="002B61C2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2B61C2">
        <w:rPr>
          <w:rFonts w:ascii="Calibri" w:eastAsia="Calibri" w:hAnsi="Calibri" w:cs="Calibri"/>
          <w:b/>
          <w:bCs/>
          <w:szCs w:val="22"/>
          <w:lang w:eastAsia="en-US"/>
        </w:rPr>
        <w:t>Je požadováno diskové pole, níže jsou uvedené minimální parametry pro nabízené diskové pole:</w:t>
      </w:r>
    </w:p>
    <w:tbl>
      <w:tblPr>
        <w:tblpPr w:leftFromText="141" w:rightFromText="141" w:vertAnchor="text" w:horzAnchor="margin" w:tblpY="109"/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6237"/>
        <w:gridCol w:w="1275"/>
      </w:tblGrid>
      <w:tr w:rsidR="002B61C2" w:rsidRPr="002B61C2" w14:paraId="6B32E58D" w14:textId="77777777" w:rsidTr="002B61C2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EF0F21D" w14:textId="77777777" w:rsidR="002B61C2" w:rsidRPr="002B61C2" w:rsidRDefault="002B61C2" w:rsidP="002B61C2">
            <w:pPr>
              <w:spacing w:after="160" w:line="259" w:lineRule="auto"/>
              <w:ind w:right="142"/>
              <w:jc w:val="center"/>
              <w:rPr>
                <w:rFonts w:ascii="Calibri" w:eastAsia="Calibri" w:hAnsi="Calibri" w:cs="Calibri"/>
                <w:b/>
                <w:caps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b/>
                <w:caps/>
                <w:szCs w:val="22"/>
                <w:lang w:eastAsia="en-US"/>
              </w:rPr>
              <w:t>Technické údaje: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</w:tcPr>
          <w:p w14:paraId="7C853998" w14:textId="77777777" w:rsidR="002B61C2" w:rsidRPr="002B61C2" w:rsidRDefault="002B61C2" w:rsidP="002B61C2">
            <w:pPr>
              <w:spacing w:after="160" w:line="259" w:lineRule="auto"/>
              <w:ind w:right="142"/>
              <w:jc w:val="center"/>
              <w:rPr>
                <w:rFonts w:ascii="Calibri" w:eastAsia="Calibri" w:hAnsi="Calibri" w:cs="Calibri"/>
                <w:b/>
                <w:caps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b/>
                <w:caps/>
                <w:szCs w:val="22"/>
                <w:lang w:eastAsia="en-US"/>
              </w:rPr>
              <w:t>Požadavek: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</w:tcPr>
          <w:p w14:paraId="1DFF6E30" w14:textId="77777777" w:rsidR="002B61C2" w:rsidRPr="002B61C2" w:rsidRDefault="002B61C2" w:rsidP="002B61C2">
            <w:pPr>
              <w:spacing w:after="160" w:line="259" w:lineRule="auto"/>
              <w:ind w:right="142"/>
              <w:jc w:val="center"/>
              <w:rPr>
                <w:rFonts w:ascii="Calibri" w:eastAsia="Calibri" w:hAnsi="Calibri" w:cs="Calibri"/>
                <w:b/>
                <w:caps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b/>
                <w:caps/>
                <w:szCs w:val="22"/>
                <w:lang w:eastAsia="en-US"/>
              </w:rPr>
              <w:t>Nabídka uchazeče:</w:t>
            </w:r>
          </w:p>
        </w:tc>
      </w:tr>
      <w:tr w:rsidR="002B61C2" w:rsidRPr="002B61C2" w14:paraId="0A64A423" w14:textId="77777777" w:rsidTr="002B61C2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A9D4251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E05ED14" w14:textId="77777777" w:rsidR="002B61C2" w:rsidRPr="002B61C2" w:rsidRDefault="002B61C2" w:rsidP="002B61C2">
            <w:pPr>
              <w:spacing w:after="160" w:line="259" w:lineRule="auto"/>
              <w:ind w:left="142"/>
              <w:jc w:val="right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464CEF6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b/>
                <w:i/>
                <w:caps/>
                <w:szCs w:val="22"/>
                <w:lang w:eastAsia="en-US"/>
              </w:rPr>
              <w:t>(UVEĎTE ANO/NE)</w:t>
            </w:r>
          </w:p>
        </w:tc>
      </w:tr>
      <w:tr w:rsidR="002B61C2" w:rsidRPr="002B61C2" w14:paraId="4D6D542F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945A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Architektura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EBD1F07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modulární, minimálně dvou řadičové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all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flash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diskové pole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active-active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designu založené na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NVMe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architektuře, řešení je koncipováno jako HW, </w:t>
            </w:r>
          </w:p>
          <w:p w14:paraId="685C43AE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SW a FW od jednoho výrobce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369D5908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289CAED8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36577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Výkonnost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129870A2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</w:rPr>
              <w:t>škálování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výkonnosti je možné přidáváním dalších řadičů minimálně do osmi řadičové konfigurace a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škálování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kapacit pomocí expanzních jednotek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D25A7A0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538AF3A5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EC68EA" w14:textId="77777777" w:rsidR="002B61C2" w:rsidRPr="002B61C2" w:rsidRDefault="002B61C2" w:rsidP="002B61C2">
            <w:pPr>
              <w:spacing w:before="120"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Rozšiřitelnost, podporované disky a moduly</w:t>
            </w:r>
          </w:p>
          <w:p w14:paraId="1181A7B0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360AB3C6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 xml:space="preserve">celková velikost </w:t>
            </w:r>
            <w:proofErr w:type="spellStart"/>
            <w:r w:rsidRPr="002B61C2">
              <w:rPr>
                <w:rFonts w:ascii="Calibri" w:hAnsi="Calibri" w:cs="Calibri"/>
                <w:sz w:val="20"/>
                <w:szCs w:val="20"/>
              </w:rPr>
              <w:t>cache</w:t>
            </w:r>
            <w:proofErr w:type="spellEnd"/>
            <w:r w:rsidRPr="002B61C2">
              <w:rPr>
                <w:rFonts w:ascii="Calibri" w:hAnsi="Calibri" w:cs="Calibri"/>
                <w:sz w:val="20"/>
                <w:szCs w:val="20"/>
              </w:rPr>
              <w:t xml:space="preserve">/RAM v jednom řadiči je minimálně </w:t>
            </w:r>
            <w:proofErr w:type="gramStart"/>
            <w:r w:rsidRPr="002B61C2">
              <w:rPr>
                <w:rFonts w:ascii="Calibri" w:hAnsi="Calibri" w:cs="Calibri"/>
                <w:sz w:val="20"/>
                <w:szCs w:val="20"/>
              </w:rPr>
              <w:t>128GB</w:t>
            </w:r>
            <w:proofErr w:type="gramEnd"/>
          </w:p>
          <w:p w14:paraId="539F8C8B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celková rozšiřitelnost je minimálně 700 disků, v případě nasazení více řadičů až čtyřikrát tolik disků</w:t>
            </w:r>
          </w:p>
          <w:p w14:paraId="2ADF93A1" w14:textId="77777777" w:rsidR="002B61C2" w:rsidRPr="002B61C2" w:rsidRDefault="002B61C2" w:rsidP="002B61C2">
            <w:pPr>
              <w:ind w:left="680" w:hanging="396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>podpora 2,5” nebo 3,5” disků výhradně technologie SSD/</w:t>
            </w:r>
            <w:proofErr w:type="spellStart"/>
            <w:r w:rsidRPr="002B61C2">
              <w:rPr>
                <w:rFonts w:ascii="Calibri" w:hAnsi="Calibri" w:cs="Calibri"/>
                <w:sz w:val="20"/>
                <w:szCs w:val="20"/>
              </w:rPr>
              <w:t>flash</w:t>
            </w:r>
            <w:proofErr w:type="spellEnd"/>
            <w:r w:rsidRPr="002B61C2">
              <w:rPr>
                <w:rFonts w:ascii="Calibri" w:hAnsi="Calibri" w:cs="Calibri"/>
                <w:sz w:val="20"/>
                <w:szCs w:val="20"/>
              </w:rPr>
              <w:t xml:space="preserve"> a to současně:</w:t>
            </w:r>
          </w:p>
          <w:p w14:paraId="5E2F46E0" w14:textId="77777777" w:rsidR="002B61C2" w:rsidRPr="002B61C2" w:rsidRDefault="002B61C2" w:rsidP="002B61C2">
            <w:pPr>
              <w:spacing w:before="120" w:after="160" w:line="259" w:lineRule="auto"/>
              <w:ind w:left="72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   podpora SCM (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Storage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Class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Memory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  <w:p w14:paraId="56BEF2D7" w14:textId="77777777" w:rsidR="002B61C2" w:rsidRPr="002B61C2" w:rsidRDefault="002B61C2" w:rsidP="002B61C2">
            <w:pPr>
              <w:numPr>
                <w:ilvl w:val="1"/>
                <w:numId w:val="32"/>
              </w:numPr>
              <w:spacing w:before="120" w:after="160" w:line="259" w:lineRule="auto"/>
              <w:ind w:left="998" w:hanging="27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enterprise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úrovně tzn. minimálně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eMLC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3D</w:t>
            </w:r>
            <w:proofErr w:type="gram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TLC, SLC nebo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eSLC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nebo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enterprise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flash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modulů s hodnotou DWPD 2 a vyšší</w:t>
            </w:r>
          </w:p>
          <w:p w14:paraId="7676F86B" w14:textId="77777777" w:rsidR="002B61C2" w:rsidRPr="002B61C2" w:rsidRDefault="002B61C2" w:rsidP="002B61C2">
            <w:pPr>
              <w:numPr>
                <w:ilvl w:val="1"/>
                <w:numId w:val="32"/>
              </w:numPr>
              <w:spacing w:before="120" w:after="160" w:line="259" w:lineRule="auto"/>
              <w:ind w:left="998" w:hanging="27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SSD s hodnotou DWPD minimálně 1</w:t>
            </w:r>
          </w:p>
          <w:p w14:paraId="4D252AAA" w14:textId="77777777" w:rsidR="002B61C2" w:rsidRPr="002B61C2" w:rsidRDefault="002B61C2" w:rsidP="002B61C2">
            <w:pPr>
              <w:numPr>
                <w:ilvl w:val="1"/>
                <w:numId w:val="32"/>
              </w:numPr>
              <w:spacing w:before="120" w:after="160" w:line="259" w:lineRule="auto"/>
              <w:ind w:left="998" w:hanging="27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všechny požadované typy SSD musí být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NVMe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standardu</w:t>
            </w:r>
          </w:p>
          <w:p w14:paraId="25E29719" w14:textId="77777777" w:rsidR="002B61C2" w:rsidRPr="002B61C2" w:rsidRDefault="002B61C2" w:rsidP="002B61C2">
            <w:pPr>
              <w:numPr>
                <w:ilvl w:val="1"/>
                <w:numId w:val="32"/>
              </w:numPr>
              <w:spacing w:before="120" w:after="160" w:line="259" w:lineRule="auto"/>
              <w:ind w:left="998" w:hanging="27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řešení musí umožňovat nasazení redukce dat tak v reálném čase tak, aby nedošlo k žádnému ovlivnění výkonu jednotlivých řadičů, tzn. je požadována separátní HW technologie, která je nezávislá na výpočetním výkonu jednotlivých řadičů a zajišťuje maximálně efektivní redukci dat nezávisle na typu ukládaných dat</w:t>
            </w:r>
          </w:p>
          <w:p w14:paraId="00CB5DAC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B61C2">
              <w:rPr>
                <w:rFonts w:ascii="Calibri" w:hAnsi="Calibri" w:cs="Calibri"/>
                <w:sz w:val="20"/>
                <w:szCs w:val="20"/>
              </w:rPr>
              <w:t xml:space="preserve">podpora minimálně následujících režimů RAID </w:t>
            </w:r>
            <w:proofErr w:type="gramStart"/>
            <w:r w:rsidRPr="002B61C2">
              <w:rPr>
                <w:rFonts w:ascii="Calibri" w:hAnsi="Calibri" w:cs="Calibri"/>
                <w:sz w:val="20"/>
                <w:szCs w:val="20"/>
              </w:rPr>
              <w:t>-  1</w:t>
            </w:r>
            <w:proofErr w:type="gramEnd"/>
            <w:r w:rsidRPr="002B61C2">
              <w:rPr>
                <w:rFonts w:ascii="Calibri" w:hAnsi="Calibri" w:cs="Calibri"/>
                <w:sz w:val="20"/>
                <w:szCs w:val="20"/>
              </w:rPr>
              <w:t>, 5, 6, 10 nebo minimálně DRAID 1, 5,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14D53CD2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1B4E30D9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B1DE7E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Minimální požadovaná hrubá kapacita a ochrana dat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6B145F8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</w:rPr>
              <w:t>Tier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0: minimálně 33 TB na SSD /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Flash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bez započítání datové redukce ve variantě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enterprise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(DWPD 2 a vyšší). </w:t>
            </w:r>
          </w:p>
          <w:p w14:paraId="59D5E56D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Pro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tier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0 je požadována ochrana dat minimálně proti výpadku 2 disků/modulů současně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DCF787C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39C3BDD1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B4BBCB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Konektivita k hostitelským serverům (front-end)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D950EBF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diskové pole obsahuje připojení diskového pole blokovým přístupem pomocí 16Gbit FC a 10Gbit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iSCSI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s možností rozšíření pomocí rozšiřujících karet do řadičů diskového pole o další přenosové protokoly (min. 25Gbit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Ethernet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RoCE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v2 nebo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iWARP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>)</w:t>
            </w:r>
          </w:p>
          <w:p w14:paraId="4A639179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je požadováno min. 4 porty 16Gb FC a 2 porty 10Gb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iSCSI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na řadič, tzn. minimálně 8x </w:t>
            </w:r>
            <w:proofErr w:type="gramStart"/>
            <w:r w:rsidRPr="002B61C2">
              <w:rPr>
                <w:rFonts w:ascii="Calibri" w:hAnsi="Calibri" w:cs="Calibri"/>
                <w:sz w:val="20"/>
              </w:rPr>
              <w:t>16GB</w:t>
            </w:r>
            <w:proofErr w:type="gramEnd"/>
            <w:r w:rsidRPr="002B61C2">
              <w:rPr>
                <w:rFonts w:ascii="Calibri" w:hAnsi="Calibri" w:cs="Calibri"/>
                <w:sz w:val="20"/>
              </w:rPr>
              <w:t xml:space="preserve"> FC portů a 4x 10Gbit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iSCSI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porty na jedno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dvouřadičové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diskové pole</w:t>
            </w:r>
          </w:p>
          <w:p w14:paraId="68D0B1DC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lastRenderedPageBreak/>
              <w:t>je požadována možnost rozšíření na min. 16 portů 16Gb FC na diskové pole celkem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9443C22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lastRenderedPageBreak/>
              <w:t>ANO</w:t>
            </w:r>
          </w:p>
        </w:tc>
      </w:tr>
      <w:tr w:rsidR="002B61C2" w:rsidRPr="002B61C2" w14:paraId="2C515F08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55D01F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Funkcionality pro efektivní ukládání a správu dat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81DFCE4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vytváření virtuálních logických disků</w:t>
            </w:r>
          </w:p>
          <w:p w14:paraId="617BA98B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  <w:lang w:val="en-US"/>
              </w:rPr>
              <w:t>thin provisioning (</w:t>
            </w:r>
            <w:proofErr w:type="spellStart"/>
            <w:r w:rsidRPr="002B61C2">
              <w:rPr>
                <w:rFonts w:ascii="Calibri" w:hAnsi="Calibri" w:cs="Calibri"/>
                <w:sz w:val="20"/>
                <w:lang w:val="en-US"/>
              </w:rPr>
              <w:t>včetně</w:t>
            </w:r>
            <w:proofErr w:type="spellEnd"/>
            <w:r w:rsidRPr="002B61C2"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r w:rsidRPr="002B61C2">
              <w:rPr>
                <w:rFonts w:ascii="Calibri" w:hAnsi="Calibri" w:cs="Calibri"/>
                <w:sz w:val="20"/>
              </w:rPr>
              <w:t>detekce a reklamace prázdného prostoru)</w:t>
            </w:r>
          </w:p>
          <w:p w14:paraId="602416DB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komprese dat v reálném čase bez nutnosti dedikování dodatečného diskového prostoru pro post-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processing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pro celou nabízenou kapacitu včetně patřičného HW akcelerátoru nebo na jednotlivých modulech</w:t>
            </w:r>
          </w:p>
          <w:p w14:paraId="638DB5D5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</w:rPr>
              <w:t>deduplikace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dat v reálném čase bez nutnosti dedikování dodatečného diskového prostoru pro post-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processing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pro celou požadovanou kapacitu včetně SW licence </w:t>
            </w:r>
          </w:p>
          <w:p w14:paraId="4E85AA42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šifrování dat bez nutnosti přítomnosti speciálních pevných disků včetně příslušné licence. Pokud nabízené řešení neumožňuje šifrování dat nad úrovní disků, jsou požadovány SED disky pro celou nabízenou kapacitu</w:t>
            </w:r>
          </w:p>
          <w:p w14:paraId="78E185CF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inteligentní správa výkonnostních charakteristik (pro minimálně 3 </w:t>
            </w:r>
            <w:proofErr w:type="spellStart"/>
            <w:proofErr w:type="gramStart"/>
            <w:r w:rsidRPr="002B61C2">
              <w:rPr>
                <w:rFonts w:ascii="Calibri" w:hAnsi="Calibri" w:cs="Calibri"/>
                <w:sz w:val="20"/>
              </w:rPr>
              <w:t>tiery</w:t>
            </w:r>
            <w:proofErr w:type="spellEnd"/>
            <w:proofErr w:type="gramEnd"/>
            <w:r w:rsidRPr="002B61C2">
              <w:rPr>
                <w:rFonts w:ascii="Calibri" w:hAnsi="Calibri" w:cs="Calibri"/>
                <w:sz w:val="20"/>
              </w:rPr>
              <w:t xml:space="preserve"> a to včetně SCM)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virtualizovaných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diskových prostorů (automatická migrace více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utilizovaných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dat na rychlejší disky nebo SSD/SCM)</w:t>
            </w:r>
          </w:p>
          <w:p w14:paraId="7ED73C40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podpora externí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storage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virtualizace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pro stávající disková pole a možnost dalšího připojení externích diskových polí od různých výrobců min. pro účely migrace. Seznam podporovaných diskových systému je veřejně dostupný.</w:t>
            </w:r>
          </w:p>
          <w:p w14:paraId="222F4C60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Podpora nástrojů pro sledování historických dat o vytížení datového úložiště (minimálně počet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IOps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, latence, propustnost, alokovaná kapacita, využití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keší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) s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granularitou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na hosta či LUN s historií minimálně 1 rok (možnost řešit externích SW nástrojem v rámci dodávky)</w:t>
            </w:r>
          </w:p>
          <w:p w14:paraId="0B91D2B9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Microsoft VSS podpora</w:t>
            </w:r>
          </w:p>
          <w:p w14:paraId="744DC07F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</w:rPr>
              <w:t>VMware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VAAI, VASA a VVOL podpora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5DEB84D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4B83A827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B76F73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 xml:space="preserve">Podpora operačních systémů a </w:t>
            </w:r>
            <w:proofErr w:type="spellStart"/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hypervizorů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03B7BCC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RHEL 6.x a vyšší</w:t>
            </w:r>
          </w:p>
          <w:p w14:paraId="450925F6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</w:rPr>
              <w:t>VMware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7.x a 8.x včetně VAAI a VASA integrací</w:t>
            </w:r>
          </w:p>
          <w:p w14:paraId="0B023AF1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Windows server 2016 a vyšší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F9BEA97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54CCFC3D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D6BF68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Typ přístupu k datům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D79A717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blokový, standard FCP a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iSCSI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F0BDA93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10D8ECCA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F58AE6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 xml:space="preserve">Kopírovací </w:t>
            </w:r>
            <w:proofErr w:type="gramStart"/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funkce - licence</w:t>
            </w:r>
            <w:proofErr w:type="gramEnd"/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 xml:space="preserve"> musí být součástí nabídky a musí být na neomezenou kapacitu, počet disků, expanzích jednotek atd.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4DE721F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zrcadlení virtuálního disku tzn. ochrana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virtualizovaných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dat v režimu RAID1 (s možností zdvojení dat virtuálního disku i na dvě pole)</w:t>
            </w:r>
          </w:p>
          <w:p w14:paraId="04CCDD91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možnost vytváření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snapshotů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(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CoW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a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RoW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>) a klonů v následujících režimech:</w:t>
            </w:r>
          </w:p>
          <w:p w14:paraId="425CB009" w14:textId="77777777" w:rsidR="002B61C2" w:rsidRPr="002B61C2" w:rsidRDefault="002B61C2" w:rsidP="002B61C2">
            <w:pPr>
              <w:numPr>
                <w:ilvl w:val="0"/>
                <w:numId w:val="33"/>
              </w:numPr>
              <w:spacing w:before="120"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snapshot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se po určité době může automaticky stát klonem </w:t>
            </w:r>
          </w:p>
          <w:p w14:paraId="78DA111F" w14:textId="77777777" w:rsidR="002B61C2" w:rsidRPr="002B61C2" w:rsidRDefault="002B61C2" w:rsidP="002B61C2">
            <w:pPr>
              <w:numPr>
                <w:ilvl w:val="0"/>
                <w:numId w:val="33"/>
              </w:numPr>
              <w:spacing w:before="120"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inkrementální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snapshoty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tzn. kopírují se jen rozdílová data mezi dvěma okamžiky iniciace klonu</w:t>
            </w:r>
          </w:p>
          <w:p w14:paraId="60CFD9E1" w14:textId="77777777" w:rsidR="002B61C2" w:rsidRPr="002B61C2" w:rsidRDefault="002B61C2" w:rsidP="002B61C2">
            <w:pPr>
              <w:numPr>
                <w:ilvl w:val="0"/>
                <w:numId w:val="33"/>
              </w:numPr>
              <w:spacing w:before="120"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reverzní </w:t>
            </w:r>
            <w:proofErr w:type="spellStart"/>
            <w:proofErr w:type="gram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snapshoty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 lze</w:t>
            </w:r>
            <w:proofErr w:type="gram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provést zpětné přesunutí dat z klonu do původního originálního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Volume</w:t>
            </w:r>
            <w:proofErr w:type="spellEnd"/>
          </w:p>
          <w:p w14:paraId="20E68440" w14:textId="77777777" w:rsidR="002B61C2" w:rsidRPr="002B61C2" w:rsidRDefault="002B61C2" w:rsidP="002B61C2">
            <w:pPr>
              <w:numPr>
                <w:ilvl w:val="0"/>
                <w:numId w:val="33"/>
              </w:numPr>
              <w:spacing w:before="120" w:after="160"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lze udržovat až 4 inkrementálně pořizované klony z jednoho originálu (s možností reverzních </w:t>
            </w:r>
            <w:proofErr w:type="spellStart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snapshotů</w:t>
            </w:r>
            <w:proofErr w:type="spellEnd"/>
            <w:r w:rsidRPr="002B61C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  <w:p w14:paraId="466C5A39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interní/externí zrcadlení logického (virtuálního) disku z jednoho zdroje do dvou cílů pro zvýšení dostupnosti v případě výpadku jednoho cíle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5CE27C8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42FCE621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00BFA5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 xml:space="preserve">Zajištění kontinuální dostupnosti dat (DR a HA řešení) - licence musí být součástí </w:t>
            </w: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lastRenderedPageBreak/>
              <w:t>nabídky a musí být na neomezenou kapacitu, počet disků, expanzích jednotek atd.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50C51AF8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lastRenderedPageBreak/>
              <w:t>upgrade software a hardware u řadičů je proveditelné za chodu a bez ztráty přístupu hostitelských serverů k datum</w:t>
            </w:r>
          </w:p>
          <w:p w14:paraId="34A88A04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jednotlivá disková je možné spojit do clusteru, který umožňuje vytvoření jednoho funkčního celku, zrcadlení dat mezi jednotlivými poli apod.</w:t>
            </w:r>
          </w:p>
          <w:p w14:paraId="40C380D6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lastRenderedPageBreak/>
              <w:t xml:space="preserve">vytvoření HA řešení s automatickým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failover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bez dalších vícenákladů, které je navíc nezávislé na OS nebo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virtualizační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platformě včetně příslušných licencí</w:t>
            </w:r>
          </w:p>
          <w:p w14:paraId="2732733A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  <w:lang w:val="en-GB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  <w:lang w:val="en-GB"/>
              </w:rPr>
              <w:t>podpora</w:t>
            </w:r>
            <w:proofErr w:type="spellEnd"/>
            <w:r w:rsidRPr="002B61C2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proofErr w:type="spellStart"/>
            <w:r w:rsidRPr="002B61C2">
              <w:rPr>
                <w:rFonts w:ascii="Calibri" w:hAnsi="Calibri" w:cs="Calibri"/>
                <w:sz w:val="20"/>
                <w:lang w:val="en-GB"/>
              </w:rPr>
              <w:t>replikace</w:t>
            </w:r>
            <w:proofErr w:type="spellEnd"/>
            <w:r w:rsidRPr="002B61C2">
              <w:rPr>
                <w:rFonts w:ascii="Calibri" w:hAnsi="Calibri" w:cs="Calibri"/>
                <w:sz w:val="20"/>
                <w:lang w:val="en-GB"/>
              </w:rPr>
              <w:t xml:space="preserve"> do </w:t>
            </w:r>
            <w:proofErr w:type="spellStart"/>
            <w:r w:rsidRPr="002B61C2">
              <w:rPr>
                <w:rFonts w:ascii="Calibri" w:hAnsi="Calibri" w:cs="Calibri"/>
                <w:sz w:val="20"/>
                <w:lang w:val="en-GB"/>
              </w:rPr>
              <w:t>třetí</w:t>
            </w:r>
            <w:proofErr w:type="spellEnd"/>
            <w:r w:rsidRPr="002B61C2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proofErr w:type="spellStart"/>
            <w:r w:rsidRPr="002B61C2">
              <w:rPr>
                <w:rFonts w:ascii="Calibri" w:hAnsi="Calibri" w:cs="Calibri"/>
                <w:sz w:val="20"/>
                <w:lang w:val="en-GB"/>
              </w:rPr>
              <w:t>lokality</w:t>
            </w:r>
            <w:proofErr w:type="spellEnd"/>
          </w:p>
          <w:p w14:paraId="557B379C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2B61C2">
              <w:rPr>
                <w:rFonts w:ascii="Calibri" w:hAnsi="Calibri" w:cs="Calibri"/>
                <w:sz w:val="20"/>
              </w:rPr>
              <w:t>SW pro redundantní datové cesty v ceně řešení</w:t>
            </w:r>
          </w:p>
          <w:p w14:paraId="731136B5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Nabízené řešení musí být plně kompatibilní s 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VMware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Metro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Storage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Cluster funkcionalitou, tzn. musí být dohledatelné v matici kompatibility na stránkách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VMware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66CB231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lastRenderedPageBreak/>
              <w:t>ANO</w:t>
            </w:r>
          </w:p>
        </w:tc>
      </w:tr>
      <w:tr w:rsidR="002B61C2" w:rsidRPr="002B61C2" w14:paraId="56EA7344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156237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Migrace dat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E65DD33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transparentní migrace (tzn. možnost zdarma migrovat data ze stávajících diskových polí na nová disková úložiště) </w:t>
            </w:r>
            <w:proofErr w:type="gramStart"/>
            <w:r w:rsidRPr="002B61C2">
              <w:rPr>
                <w:rFonts w:ascii="Calibri" w:hAnsi="Calibri" w:cs="Calibri"/>
                <w:sz w:val="20"/>
              </w:rPr>
              <w:t>s</w:t>
            </w:r>
            <w:proofErr w:type="gramEnd"/>
            <w:r w:rsidRPr="002B61C2">
              <w:rPr>
                <w:rFonts w:ascii="Calibri" w:hAnsi="Calibri" w:cs="Calibri"/>
                <w:sz w:val="20"/>
              </w:rPr>
              <w:t> možnosti rozšíření o synchronní a asynchronní zrcadlení logických (virtuálních) disků v případě více lokalit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4E3EC3C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55B4DC3D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54DDC1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Počet hostitelských serverů připojovaných k diskovému poli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1CC1E18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řešení obsahuje licence na neomezený počet připojení hostitelských serverů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EAB1E44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64CD2F10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71F039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Správa diskového pole a další dostupné funkcionality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C1968F0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SW pro plnohodnotnou správu diskového pole a diskových subsystémů, možnost ovládání přes CLI, GUI (ze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std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>. web browseru HTML5)</w:t>
            </w:r>
          </w:p>
          <w:p w14:paraId="65DB9BCC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2B61C2">
              <w:rPr>
                <w:rFonts w:ascii="Calibri" w:hAnsi="Calibri" w:cs="Calibri"/>
                <w:sz w:val="20"/>
              </w:rPr>
              <w:t>Remote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Service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(call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home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>) v ceně řešení</w:t>
            </w:r>
          </w:p>
          <w:p w14:paraId="34F4CE6E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Příkazy prováděné v GUI jsou uchovávány v tzv. "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AuditLogu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>" v podobě standardních CLI příkazů, které lze později snadno zkopírovat a aplikovat při programování uživatelských skriptů např. pro podporu automatizace zálohování atd.</w:t>
            </w:r>
          </w:p>
          <w:p w14:paraId="2EA02C53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Je požadováno potvrzení od lokálního zastoupení výrobce, že nabízené řešení je určeno pro český (EU) trh a bude servisním střediskem výrobce plně podporováno. Servisní podpora výrobce bude v českém jazyce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51D1483D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58202058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937006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Příslušenství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93D6FA4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>Součástí dodávky je veškerá potřebná kabeláž pro plné zapojení všech portů do instalovaného prostředí a potřebná napájecí kabeláž kompatibilní s napájecími lištami v RACK skříních.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4F0E222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  <w:tr w:rsidR="002B61C2" w:rsidRPr="002B61C2" w14:paraId="250847F7" w14:textId="77777777" w:rsidTr="00CE3B1D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85C2AF" w14:textId="77777777" w:rsidR="002B61C2" w:rsidRPr="002B61C2" w:rsidRDefault="002B61C2" w:rsidP="002B61C2">
            <w:pPr>
              <w:spacing w:after="160" w:line="259" w:lineRule="auto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>Servisní podpora</w:t>
            </w:r>
            <w:r w:rsidRPr="002B61C2">
              <w:rPr>
                <w:rFonts w:ascii="Calibri" w:eastAsia="Calibri" w:hAnsi="Calibri" w:cs="Calibri"/>
                <w:szCs w:val="22"/>
                <w:lang w:eastAsia="en-US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1D8A90F0" w14:textId="77777777" w:rsidR="002B61C2" w:rsidRPr="002B61C2" w:rsidRDefault="002B61C2" w:rsidP="002B61C2">
            <w:pPr>
              <w:ind w:left="680" w:hanging="396"/>
              <w:jc w:val="both"/>
              <w:rPr>
                <w:rFonts w:ascii="Calibri" w:hAnsi="Calibri" w:cs="Calibri"/>
                <w:sz w:val="20"/>
              </w:rPr>
            </w:pPr>
            <w:r w:rsidRPr="002B61C2">
              <w:rPr>
                <w:rFonts w:ascii="Calibri" w:hAnsi="Calibri" w:cs="Calibri"/>
                <w:sz w:val="20"/>
              </w:rPr>
              <w:t xml:space="preserve">5 let; min. SLA 24x7 s odezvou stejný den (SD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onsite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) včetně SW podpory, která umožňuje přístup k novým verzím FW, opravným </w:t>
            </w:r>
            <w:proofErr w:type="spellStart"/>
            <w:r w:rsidRPr="002B61C2">
              <w:rPr>
                <w:rFonts w:ascii="Calibri" w:hAnsi="Calibri" w:cs="Calibri"/>
                <w:sz w:val="20"/>
              </w:rPr>
              <w:t>patchům</w:t>
            </w:r>
            <w:proofErr w:type="spellEnd"/>
            <w:r w:rsidRPr="002B61C2">
              <w:rPr>
                <w:rFonts w:ascii="Calibri" w:hAnsi="Calibri" w:cs="Calibri"/>
                <w:sz w:val="20"/>
              </w:rPr>
              <w:t xml:space="preserve"> atd.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7E70719" w14:textId="77777777" w:rsidR="002B61C2" w:rsidRPr="002B61C2" w:rsidRDefault="002B61C2" w:rsidP="002B61C2">
            <w:pPr>
              <w:spacing w:after="160"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2B61C2">
              <w:rPr>
                <w:rFonts w:ascii="Calibri" w:eastAsia="Calibri" w:hAnsi="Calibri" w:cs="Calibri"/>
                <w:szCs w:val="22"/>
              </w:rPr>
              <w:t>ANO</w:t>
            </w:r>
          </w:p>
        </w:tc>
      </w:tr>
    </w:tbl>
    <w:p w14:paraId="49BD8833" w14:textId="77777777" w:rsidR="002B61C2" w:rsidRPr="002B61C2" w:rsidRDefault="002B61C2" w:rsidP="002B61C2">
      <w:pPr>
        <w:suppressAutoHyphens/>
        <w:ind w:right="-2"/>
        <w:jc w:val="both"/>
        <w:outlineLvl w:val="7"/>
        <w:rPr>
          <w:rFonts w:ascii="Calibri" w:hAnsi="Calibri" w:cs="Calibri"/>
          <w:szCs w:val="22"/>
          <w:lang w:eastAsia="ar-SA"/>
        </w:rPr>
      </w:pPr>
    </w:p>
    <w:p w14:paraId="5A02E4E4" w14:textId="77777777" w:rsidR="001C779E" w:rsidRDefault="001C779E" w:rsidP="001C779E"/>
    <w:p w14:paraId="26A437F5" w14:textId="77777777" w:rsidR="002A7619" w:rsidRDefault="002A7619" w:rsidP="001C779E"/>
    <w:p w14:paraId="1BA074FF" w14:textId="43A68C8C" w:rsidR="007E6426" w:rsidRDefault="007E6426" w:rsidP="002B3E0B">
      <w:pPr>
        <w:pStyle w:val="Plohy"/>
      </w:pPr>
    </w:p>
    <w:sectPr w:rsidR="007E6426" w:rsidSect="009D02EB">
      <w:headerReference w:type="default" r:id="rId11"/>
      <w:footerReference w:type="default" r:id="rId12"/>
      <w:headerReference w:type="first" r:id="rId13"/>
      <w:footerReference w:type="first" r:id="rId14"/>
      <w:endnotePr>
        <w:numFmt w:val="upperLetter"/>
      </w:endnotePr>
      <w:pgSz w:w="11907" w:h="16834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4367" w14:textId="77777777" w:rsidR="00CE3B1D" w:rsidRDefault="00CE3B1D">
      <w:r>
        <w:separator/>
      </w:r>
    </w:p>
  </w:endnote>
  <w:endnote w:type="continuationSeparator" w:id="0">
    <w:p w14:paraId="2FB00FC2" w14:textId="77777777" w:rsidR="00CE3B1D" w:rsidRDefault="00CE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F47B8" w14:textId="44611AC3" w:rsidR="0096384F" w:rsidRDefault="0096384F" w:rsidP="0038117B">
    <w:pPr>
      <w:pStyle w:val="Zpat"/>
      <w:pBdr>
        <w:top w:val="single" w:sz="4" w:space="1" w:color="auto"/>
      </w:pBdr>
      <w:tabs>
        <w:tab w:val="clear" w:pos="9072"/>
        <w:tab w:val="right" w:pos="9540"/>
      </w:tabs>
      <w:spacing w:before="120"/>
      <w:rPr>
        <w:rStyle w:val="slostrnky"/>
      </w:rPr>
    </w:pPr>
    <w:r>
      <w:rPr>
        <w:rStyle w:val="slostrnky"/>
      </w:rPr>
      <w:t xml:space="preserve">Kupní smlouva </w:t>
    </w:r>
    <w:r>
      <w:rPr>
        <w:rStyle w:val="slostrnky"/>
      </w:rPr>
      <w:fldChar w:fldCharType="begin"/>
    </w:r>
    <w:r>
      <w:rPr>
        <w:rStyle w:val="slostrnky"/>
      </w:rPr>
      <w:instrText xml:space="preserve"> SUBJECT  \* MERGEFORMAT </w:instrTex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14F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714F8">
      <w:rPr>
        <w:rStyle w:val="slostrnky"/>
        <w:noProof/>
      </w:rPr>
      <w:t>16</w:t>
    </w:r>
    <w:r>
      <w:rPr>
        <w:rStyle w:val="slostrnky"/>
      </w:rPr>
      <w:fldChar w:fldCharType="end"/>
    </w:r>
  </w:p>
  <w:p w14:paraId="640F4EE9" w14:textId="77777777" w:rsidR="0096384F" w:rsidRDefault="009638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E262" w14:textId="77777777" w:rsidR="0096384F" w:rsidRDefault="0096384F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</w:t>
    </w:r>
    <w:proofErr w:type="spellStart"/>
    <w:r>
      <w:rPr>
        <w:rStyle w:val="slostrnky"/>
      </w:rPr>
      <w:t>AutoCont</w:t>
    </w:r>
    <w:proofErr w:type="spellEnd"/>
    <w:r>
      <w:rPr>
        <w:rStyle w:val="slostrnky"/>
      </w:rPr>
      <w:t xml:space="preserve">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642D5">
      <w:rPr>
        <w:rStyle w:val="slostrnky"/>
        <w:noProof/>
      </w:rPr>
      <w:t>15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3E341" w14:textId="77777777" w:rsidR="00CE3B1D" w:rsidRDefault="00CE3B1D">
      <w:r>
        <w:separator/>
      </w:r>
    </w:p>
  </w:footnote>
  <w:footnote w:type="continuationSeparator" w:id="0">
    <w:p w14:paraId="2AB248B9" w14:textId="77777777" w:rsidR="00CE3B1D" w:rsidRDefault="00CE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563DC" w14:textId="77777777" w:rsidR="0096384F" w:rsidRDefault="0096384F" w:rsidP="00FF6DEE">
    <w:pPr>
      <w:pStyle w:val="Zhlav"/>
      <w:pBdr>
        <w:bottom w:val="single" w:sz="6" w:space="23" w:color="808080"/>
      </w:pBdr>
      <w:ind w:left="0"/>
    </w:pPr>
    <w:r>
      <w:tab/>
      <w:t>Kupní smlouva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9241" w14:textId="77777777" w:rsidR="0096384F" w:rsidRDefault="0096384F">
    <w:pPr>
      <w:pStyle w:val="Zhlav"/>
    </w:pPr>
  </w:p>
  <w:p w14:paraId="33E692C4" w14:textId="77777777" w:rsidR="0096384F" w:rsidRDefault="0096384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A7CF6CC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482"/>
        </w:tabs>
        <w:ind w:left="765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F58"/>
    <w:multiLevelType w:val="hybridMultilevel"/>
    <w:tmpl w:val="7F58C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E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7992"/>
    <w:multiLevelType w:val="hybridMultilevel"/>
    <w:tmpl w:val="4F840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202E21"/>
    <w:multiLevelType w:val="multilevel"/>
    <w:tmpl w:val="DD7EBE6E"/>
    <w:lvl w:ilvl="0">
      <w:start w:val="1"/>
      <w:numFmt w:val="decimal"/>
      <w:pStyle w:val="Koule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16581D"/>
    <w:multiLevelType w:val="hybridMultilevel"/>
    <w:tmpl w:val="9AC04EC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3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2"/>
  </w:num>
  <w:num w:numId="25">
    <w:abstractNumId w:val="0"/>
  </w:num>
  <w:num w:numId="26">
    <w:abstractNumId w:val="8"/>
  </w:num>
  <w:num w:numId="27">
    <w:abstractNumId w:val="8"/>
  </w:num>
  <w:num w:numId="28">
    <w:abstractNumId w:val="0"/>
  </w:num>
  <w:num w:numId="29">
    <w:abstractNumId w:val="6"/>
  </w:num>
  <w:num w:numId="30">
    <w:abstractNumId w:val="7"/>
  </w:num>
  <w:num w:numId="31">
    <w:abstractNumId w:val="12"/>
  </w:num>
  <w:num w:numId="32">
    <w:abstractNumId w:val="5"/>
  </w:num>
  <w:num w:numId="33">
    <w:abstractNumId w:val="9"/>
  </w:num>
  <w:num w:numId="3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92"/>
    <w:rsid w:val="00003119"/>
    <w:rsid w:val="00015852"/>
    <w:rsid w:val="0001754F"/>
    <w:rsid w:val="00020FC6"/>
    <w:rsid w:val="000306EF"/>
    <w:rsid w:val="000314CC"/>
    <w:rsid w:val="000352EA"/>
    <w:rsid w:val="00036A1F"/>
    <w:rsid w:val="000438BF"/>
    <w:rsid w:val="00044CD0"/>
    <w:rsid w:val="00046F3E"/>
    <w:rsid w:val="00047147"/>
    <w:rsid w:val="00053100"/>
    <w:rsid w:val="000564B6"/>
    <w:rsid w:val="000639B1"/>
    <w:rsid w:val="0006429F"/>
    <w:rsid w:val="00064755"/>
    <w:rsid w:val="00073D55"/>
    <w:rsid w:val="00076551"/>
    <w:rsid w:val="00083251"/>
    <w:rsid w:val="00086430"/>
    <w:rsid w:val="0009459F"/>
    <w:rsid w:val="00094CDF"/>
    <w:rsid w:val="0009643E"/>
    <w:rsid w:val="00096A6B"/>
    <w:rsid w:val="000A2C10"/>
    <w:rsid w:val="000A6488"/>
    <w:rsid w:val="000A717B"/>
    <w:rsid w:val="000B038D"/>
    <w:rsid w:val="000B15B4"/>
    <w:rsid w:val="000B346D"/>
    <w:rsid w:val="000B4E85"/>
    <w:rsid w:val="000B65A8"/>
    <w:rsid w:val="000B6762"/>
    <w:rsid w:val="000B746B"/>
    <w:rsid w:val="000C6216"/>
    <w:rsid w:val="000D28DD"/>
    <w:rsid w:val="000D54BD"/>
    <w:rsid w:val="000D636E"/>
    <w:rsid w:val="000E231A"/>
    <w:rsid w:val="000E7EDE"/>
    <w:rsid w:val="000F3CD6"/>
    <w:rsid w:val="0010056F"/>
    <w:rsid w:val="00104A18"/>
    <w:rsid w:val="00111E6E"/>
    <w:rsid w:val="001155A1"/>
    <w:rsid w:val="0011654C"/>
    <w:rsid w:val="001219BC"/>
    <w:rsid w:val="001304FE"/>
    <w:rsid w:val="001343B2"/>
    <w:rsid w:val="00134F89"/>
    <w:rsid w:val="0014359E"/>
    <w:rsid w:val="00145C48"/>
    <w:rsid w:val="00145E22"/>
    <w:rsid w:val="00155FED"/>
    <w:rsid w:val="001572AA"/>
    <w:rsid w:val="00160995"/>
    <w:rsid w:val="001642A4"/>
    <w:rsid w:val="001706E9"/>
    <w:rsid w:val="00172B24"/>
    <w:rsid w:val="0017356F"/>
    <w:rsid w:val="00175EBA"/>
    <w:rsid w:val="00180283"/>
    <w:rsid w:val="00180779"/>
    <w:rsid w:val="001826FE"/>
    <w:rsid w:val="00182F06"/>
    <w:rsid w:val="00183832"/>
    <w:rsid w:val="00186656"/>
    <w:rsid w:val="001901D2"/>
    <w:rsid w:val="0019065B"/>
    <w:rsid w:val="001907AA"/>
    <w:rsid w:val="001963D0"/>
    <w:rsid w:val="0019728A"/>
    <w:rsid w:val="001A7C1B"/>
    <w:rsid w:val="001B3152"/>
    <w:rsid w:val="001B378F"/>
    <w:rsid w:val="001B608B"/>
    <w:rsid w:val="001B6D63"/>
    <w:rsid w:val="001C2B58"/>
    <w:rsid w:val="001C3231"/>
    <w:rsid w:val="001C3FBC"/>
    <w:rsid w:val="001C779E"/>
    <w:rsid w:val="001D45F6"/>
    <w:rsid w:val="001E20FA"/>
    <w:rsid w:val="001E2F1C"/>
    <w:rsid w:val="001E3DD7"/>
    <w:rsid w:val="001F1243"/>
    <w:rsid w:val="001F2AA2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315C"/>
    <w:rsid w:val="0020325C"/>
    <w:rsid w:val="002063DE"/>
    <w:rsid w:val="00210B2D"/>
    <w:rsid w:val="002174EA"/>
    <w:rsid w:val="00220BC1"/>
    <w:rsid w:val="0022235A"/>
    <w:rsid w:val="00225C98"/>
    <w:rsid w:val="002267A1"/>
    <w:rsid w:val="002344DE"/>
    <w:rsid w:val="00242EBB"/>
    <w:rsid w:val="00243BC9"/>
    <w:rsid w:val="00246C9B"/>
    <w:rsid w:val="00246FE9"/>
    <w:rsid w:val="002517C1"/>
    <w:rsid w:val="00251DA1"/>
    <w:rsid w:val="00252D6E"/>
    <w:rsid w:val="00262C9C"/>
    <w:rsid w:val="00265D8F"/>
    <w:rsid w:val="00267967"/>
    <w:rsid w:val="002739D7"/>
    <w:rsid w:val="0027472B"/>
    <w:rsid w:val="00281E83"/>
    <w:rsid w:val="00285AB1"/>
    <w:rsid w:val="00290CBB"/>
    <w:rsid w:val="00294E99"/>
    <w:rsid w:val="0029684F"/>
    <w:rsid w:val="00296E75"/>
    <w:rsid w:val="002A0139"/>
    <w:rsid w:val="002A12F5"/>
    <w:rsid w:val="002A313F"/>
    <w:rsid w:val="002A4261"/>
    <w:rsid w:val="002A6A0B"/>
    <w:rsid w:val="002A7619"/>
    <w:rsid w:val="002B1431"/>
    <w:rsid w:val="002B1A37"/>
    <w:rsid w:val="002B3E0B"/>
    <w:rsid w:val="002B61C2"/>
    <w:rsid w:val="002C0EB4"/>
    <w:rsid w:val="002C668E"/>
    <w:rsid w:val="002D068B"/>
    <w:rsid w:val="002D2104"/>
    <w:rsid w:val="002D22F4"/>
    <w:rsid w:val="002D563F"/>
    <w:rsid w:val="002E239E"/>
    <w:rsid w:val="002E459B"/>
    <w:rsid w:val="002E5300"/>
    <w:rsid w:val="002E738B"/>
    <w:rsid w:val="002F0F16"/>
    <w:rsid w:val="002F1996"/>
    <w:rsid w:val="002F1A42"/>
    <w:rsid w:val="002F5E62"/>
    <w:rsid w:val="00301C5A"/>
    <w:rsid w:val="00301CD5"/>
    <w:rsid w:val="00301D6A"/>
    <w:rsid w:val="003048BE"/>
    <w:rsid w:val="003126C0"/>
    <w:rsid w:val="0032144A"/>
    <w:rsid w:val="00321D38"/>
    <w:rsid w:val="00322C6D"/>
    <w:rsid w:val="003345FB"/>
    <w:rsid w:val="003349CE"/>
    <w:rsid w:val="00340F2D"/>
    <w:rsid w:val="0034315B"/>
    <w:rsid w:val="00350BD9"/>
    <w:rsid w:val="003518FB"/>
    <w:rsid w:val="00352031"/>
    <w:rsid w:val="00352ADE"/>
    <w:rsid w:val="003633D2"/>
    <w:rsid w:val="0036539B"/>
    <w:rsid w:val="00366C1E"/>
    <w:rsid w:val="0037408A"/>
    <w:rsid w:val="00377307"/>
    <w:rsid w:val="00377663"/>
    <w:rsid w:val="003801E1"/>
    <w:rsid w:val="0038117B"/>
    <w:rsid w:val="00382F64"/>
    <w:rsid w:val="00383029"/>
    <w:rsid w:val="00383EE7"/>
    <w:rsid w:val="00385BEA"/>
    <w:rsid w:val="00390C59"/>
    <w:rsid w:val="00395416"/>
    <w:rsid w:val="003959C1"/>
    <w:rsid w:val="003967F6"/>
    <w:rsid w:val="003A04E7"/>
    <w:rsid w:val="003A1A12"/>
    <w:rsid w:val="003A6D9F"/>
    <w:rsid w:val="003A7229"/>
    <w:rsid w:val="003B47BF"/>
    <w:rsid w:val="003C14C6"/>
    <w:rsid w:val="003C48A8"/>
    <w:rsid w:val="003C51BB"/>
    <w:rsid w:val="003C65E7"/>
    <w:rsid w:val="003C71CF"/>
    <w:rsid w:val="003C7F3E"/>
    <w:rsid w:val="003D0718"/>
    <w:rsid w:val="003D19DB"/>
    <w:rsid w:val="003D45FF"/>
    <w:rsid w:val="003D6314"/>
    <w:rsid w:val="003D69DD"/>
    <w:rsid w:val="003E085A"/>
    <w:rsid w:val="003E27D3"/>
    <w:rsid w:val="003E287A"/>
    <w:rsid w:val="003E28D9"/>
    <w:rsid w:val="003E3BE3"/>
    <w:rsid w:val="003E55F7"/>
    <w:rsid w:val="003E6643"/>
    <w:rsid w:val="003F04EF"/>
    <w:rsid w:val="003F0D2D"/>
    <w:rsid w:val="003F0DAE"/>
    <w:rsid w:val="003F3807"/>
    <w:rsid w:val="003F39C3"/>
    <w:rsid w:val="003F3D01"/>
    <w:rsid w:val="003F5A56"/>
    <w:rsid w:val="003F6E72"/>
    <w:rsid w:val="004015B5"/>
    <w:rsid w:val="0040497F"/>
    <w:rsid w:val="004133A3"/>
    <w:rsid w:val="004250E1"/>
    <w:rsid w:val="00426B86"/>
    <w:rsid w:val="00430689"/>
    <w:rsid w:val="004454CC"/>
    <w:rsid w:val="00445B9B"/>
    <w:rsid w:val="00446358"/>
    <w:rsid w:val="00447FEC"/>
    <w:rsid w:val="004543E6"/>
    <w:rsid w:val="00461238"/>
    <w:rsid w:val="00462EEA"/>
    <w:rsid w:val="004639C5"/>
    <w:rsid w:val="004642D5"/>
    <w:rsid w:val="00466E29"/>
    <w:rsid w:val="004740F8"/>
    <w:rsid w:val="0048537A"/>
    <w:rsid w:val="00495BCB"/>
    <w:rsid w:val="004A05C9"/>
    <w:rsid w:val="004A07D9"/>
    <w:rsid w:val="004A30F5"/>
    <w:rsid w:val="004B6661"/>
    <w:rsid w:val="004C5F01"/>
    <w:rsid w:val="004C7B9A"/>
    <w:rsid w:val="004D183E"/>
    <w:rsid w:val="004D193F"/>
    <w:rsid w:val="004D252E"/>
    <w:rsid w:val="004D57AB"/>
    <w:rsid w:val="004D5D11"/>
    <w:rsid w:val="004E13F6"/>
    <w:rsid w:val="004E1617"/>
    <w:rsid w:val="004E2844"/>
    <w:rsid w:val="004F0647"/>
    <w:rsid w:val="004F2AE1"/>
    <w:rsid w:val="004F4109"/>
    <w:rsid w:val="0050098B"/>
    <w:rsid w:val="00500C1A"/>
    <w:rsid w:val="005019F5"/>
    <w:rsid w:val="00501E6A"/>
    <w:rsid w:val="00505561"/>
    <w:rsid w:val="00506499"/>
    <w:rsid w:val="00506636"/>
    <w:rsid w:val="00511954"/>
    <w:rsid w:val="0051310C"/>
    <w:rsid w:val="00515E50"/>
    <w:rsid w:val="0051796C"/>
    <w:rsid w:val="0052159B"/>
    <w:rsid w:val="00526321"/>
    <w:rsid w:val="00535CED"/>
    <w:rsid w:val="005436EB"/>
    <w:rsid w:val="00547D92"/>
    <w:rsid w:val="005501CF"/>
    <w:rsid w:val="00550730"/>
    <w:rsid w:val="0055763B"/>
    <w:rsid w:val="00561BE8"/>
    <w:rsid w:val="0056217A"/>
    <w:rsid w:val="005640B0"/>
    <w:rsid w:val="0056417C"/>
    <w:rsid w:val="005670B3"/>
    <w:rsid w:val="005671DA"/>
    <w:rsid w:val="00567ECA"/>
    <w:rsid w:val="005714F8"/>
    <w:rsid w:val="00572DA1"/>
    <w:rsid w:val="00575BC2"/>
    <w:rsid w:val="00576116"/>
    <w:rsid w:val="00582EAA"/>
    <w:rsid w:val="00583B3B"/>
    <w:rsid w:val="00583D78"/>
    <w:rsid w:val="00586608"/>
    <w:rsid w:val="00587900"/>
    <w:rsid w:val="005968C3"/>
    <w:rsid w:val="005A0448"/>
    <w:rsid w:val="005A1C49"/>
    <w:rsid w:val="005A4D1A"/>
    <w:rsid w:val="005C26F2"/>
    <w:rsid w:val="005C5F64"/>
    <w:rsid w:val="005D2591"/>
    <w:rsid w:val="005D57A2"/>
    <w:rsid w:val="005E07FF"/>
    <w:rsid w:val="005E0E02"/>
    <w:rsid w:val="005E25D2"/>
    <w:rsid w:val="005E3263"/>
    <w:rsid w:val="005E4C98"/>
    <w:rsid w:val="005E55A1"/>
    <w:rsid w:val="005F032D"/>
    <w:rsid w:val="005F2A9D"/>
    <w:rsid w:val="005F2D80"/>
    <w:rsid w:val="005F6223"/>
    <w:rsid w:val="006021B6"/>
    <w:rsid w:val="0061214C"/>
    <w:rsid w:val="006142DC"/>
    <w:rsid w:val="00622244"/>
    <w:rsid w:val="006224AD"/>
    <w:rsid w:val="00630089"/>
    <w:rsid w:val="0063045F"/>
    <w:rsid w:val="00632406"/>
    <w:rsid w:val="00636781"/>
    <w:rsid w:val="00636B2B"/>
    <w:rsid w:val="00637000"/>
    <w:rsid w:val="00640AB3"/>
    <w:rsid w:val="00642168"/>
    <w:rsid w:val="00650873"/>
    <w:rsid w:val="00652FA7"/>
    <w:rsid w:val="00653921"/>
    <w:rsid w:val="0066481E"/>
    <w:rsid w:val="00664947"/>
    <w:rsid w:val="0066740E"/>
    <w:rsid w:val="00675224"/>
    <w:rsid w:val="006753E2"/>
    <w:rsid w:val="00676322"/>
    <w:rsid w:val="00677944"/>
    <w:rsid w:val="00681684"/>
    <w:rsid w:val="0068316E"/>
    <w:rsid w:val="00683BA5"/>
    <w:rsid w:val="006879EA"/>
    <w:rsid w:val="00687C08"/>
    <w:rsid w:val="00690D22"/>
    <w:rsid w:val="00691578"/>
    <w:rsid w:val="0069463B"/>
    <w:rsid w:val="006A71DE"/>
    <w:rsid w:val="006A7FF7"/>
    <w:rsid w:val="006B2A09"/>
    <w:rsid w:val="006B4564"/>
    <w:rsid w:val="006C18D6"/>
    <w:rsid w:val="006C39B7"/>
    <w:rsid w:val="006C733F"/>
    <w:rsid w:val="006D098C"/>
    <w:rsid w:val="006D15FA"/>
    <w:rsid w:val="006D2D6F"/>
    <w:rsid w:val="006D5A27"/>
    <w:rsid w:val="006D6E88"/>
    <w:rsid w:val="006E0744"/>
    <w:rsid w:val="006E1EFD"/>
    <w:rsid w:val="006E33E2"/>
    <w:rsid w:val="006E52FB"/>
    <w:rsid w:val="006E6AE3"/>
    <w:rsid w:val="006E7468"/>
    <w:rsid w:val="006F0887"/>
    <w:rsid w:val="006F1E0F"/>
    <w:rsid w:val="006F7916"/>
    <w:rsid w:val="006F7FD2"/>
    <w:rsid w:val="007072C2"/>
    <w:rsid w:val="00707F13"/>
    <w:rsid w:val="0071158D"/>
    <w:rsid w:val="00716D38"/>
    <w:rsid w:val="00717A4D"/>
    <w:rsid w:val="00730A30"/>
    <w:rsid w:val="00732138"/>
    <w:rsid w:val="00734FE9"/>
    <w:rsid w:val="00753693"/>
    <w:rsid w:val="00764249"/>
    <w:rsid w:val="00764946"/>
    <w:rsid w:val="0077106B"/>
    <w:rsid w:val="00775467"/>
    <w:rsid w:val="007806B9"/>
    <w:rsid w:val="007810D7"/>
    <w:rsid w:val="007832D3"/>
    <w:rsid w:val="0078715D"/>
    <w:rsid w:val="00790AFF"/>
    <w:rsid w:val="00791C21"/>
    <w:rsid w:val="00795E70"/>
    <w:rsid w:val="00796B64"/>
    <w:rsid w:val="007A0518"/>
    <w:rsid w:val="007A5650"/>
    <w:rsid w:val="007A56FE"/>
    <w:rsid w:val="007A7777"/>
    <w:rsid w:val="007B2943"/>
    <w:rsid w:val="007B297B"/>
    <w:rsid w:val="007B3353"/>
    <w:rsid w:val="007B356E"/>
    <w:rsid w:val="007C0320"/>
    <w:rsid w:val="007C19C6"/>
    <w:rsid w:val="007C3CA1"/>
    <w:rsid w:val="007C3F50"/>
    <w:rsid w:val="007C48ED"/>
    <w:rsid w:val="007D05C8"/>
    <w:rsid w:val="007D0E2F"/>
    <w:rsid w:val="007D6ED4"/>
    <w:rsid w:val="007E4991"/>
    <w:rsid w:val="007E6426"/>
    <w:rsid w:val="007E68D9"/>
    <w:rsid w:val="007F0A35"/>
    <w:rsid w:val="007F1806"/>
    <w:rsid w:val="007F6CD4"/>
    <w:rsid w:val="0080474E"/>
    <w:rsid w:val="008052ED"/>
    <w:rsid w:val="00805354"/>
    <w:rsid w:val="00805740"/>
    <w:rsid w:val="00821F02"/>
    <w:rsid w:val="00832206"/>
    <w:rsid w:val="0083531B"/>
    <w:rsid w:val="00843CBD"/>
    <w:rsid w:val="008479D1"/>
    <w:rsid w:val="00850A58"/>
    <w:rsid w:val="00853002"/>
    <w:rsid w:val="0085678E"/>
    <w:rsid w:val="0086205C"/>
    <w:rsid w:val="00867D6D"/>
    <w:rsid w:val="00870657"/>
    <w:rsid w:val="00870936"/>
    <w:rsid w:val="00874DBF"/>
    <w:rsid w:val="008813A5"/>
    <w:rsid w:val="008840EB"/>
    <w:rsid w:val="00886AD9"/>
    <w:rsid w:val="008873D8"/>
    <w:rsid w:val="00891E43"/>
    <w:rsid w:val="00893C3D"/>
    <w:rsid w:val="00896E44"/>
    <w:rsid w:val="0089763F"/>
    <w:rsid w:val="008A26EA"/>
    <w:rsid w:val="008A3819"/>
    <w:rsid w:val="008A3AB3"/>
    <w:rsid w:val="008B3018"/>
    <w:rsid w:val="008B37DB"/>
    <w:rsid w:val="008B4581"/>
    <w:rsid w:val="008C51D8"/>
    <w:rsid w:val="008C5B42"/>
    <w:rsid w:val="008C76CF"/>
    <w:rsid w:val="008D1A85"/>
    <w:rsid w:val="008D3153"/>
    <w:rsid w:val="008D36CA"/>
    <w:rsid w:val="008D47F3"/>
    <w:rsid w:val="008D4984"/>
    <w:rsid w:val="008E1686"/>
    <w:rsid w:val="008E450E"/>
    <w:rsid w:val="008E798B"/>
    <w:rsid w:val="008F0811"/>
    <w:rsid w:val="008F1EC4"/>
    <w:rsid w:val="008F210C"/>
    <w:rsid w:val="008F3BF2"/>
    <w:rsid w:val="008F6AE8"/>
    <w:rsid w:val="009012A3"/>
    <w:rsid w:val="00901B7C"/>
    <w:rsid w:val="0090359D"/>
    <w:rsid w:val="00910018"/>
    <w:rsid w:val="00910CC8"/>
    <w:rsid w:val="009125B5"/>
    <w:rsid w:val="00914B21"/>
    <w:rsid w:val="00914E30"/>
    <w:rsid w:val="00915ABC"/>
    <w:rsid w:val="00920B89"/>
    <w:rsid w:val="00931A8F"/>
    <w:rsid w:val="009423B2"/>
    <w:rsid w:val="00945966"/>
    <w:rsid w:val="00945CC4"/>
    <w:rsid w:val="00954FB1"/>
    <w:rsid w:val="00957EA2"/>
    <w:rsid w:val="009608D4"/>
    <w:rsid w:val="009609EE"/>
    <w:rsid w:val="0096384F"/>
    <w:rsid w:val="009658C7"/>
    <w:rsid w:val="009667E9"/>
    <w:rsid w:val="00972894"/>
    <w:rsid w:val="00974B46"/>
    <w:rsid w:val="00980303"/>
    <w:rsid w:val="0098155C"/>
    <w:rsid w:val="0098210C"/>
    <w:rsid w:val="00983E5E"/>
    <w:rsid w:val="0098438A"/>
    <w:rsid w:val="009857B7"/>
    <w:rsid w:val="00986012"/>
    <w:rsid w:val="0099670D"/>
    <w:rsid w:val="00997573"/>
    <w:rsid w:val="009A4DD9"/>
    <w:rsid w:val="009B2B52"/>
    <w:rsid w:val="009B779F"/>
    <w:rsid w:val="009C038A"/>
    <w:rsid w:val="009C1CAA"/>
    <w:rsid w:val="009C2002"/>
    <w:rsid w:val="009C2B7E"/>
    <w:rsid w:val="009C326F"/>
    <w:rsid w:val="009C67CE"/>
    <w:rsid w:val="009D02EB"/>
    <w:rsid w:val="009D4464"/>
    <w:rsid w:val="009D7CC3"/>
    <w:rsid w:val="009E03C8"/>
    <w:rsid w:val="009E3986"/>
    <w:rsid w:val="009E57FA"/>
    <w:rsid w:val="009F0208"/>
    <w:rsid w:val="009F3C67"/>
    <w:rsid w:val="009F40A6"/>
    <w:rsid w:val="00A00009"/>
    <w:rsid w:val="00A01AC5"/>
    <w:rsid w:val="00A121D5"/>
    <w:rsid w:val="00A1648F"/>
    <w:rsid w:val="00A178F0"/>
    <w:rsid w:val="00A20B1D"/>
    <w:rsid w:val="00A20D50"/>
    <w:rsid w:val="00A26802"/>
    <w:rsid w:val="00A27438"/>
    <w:rsid w:val="00A308FD"/>
    <w:rsid w:val="00A3254E"/>
    <w:rsid w:val="00A34632"/>
    <w:rsid w:val="00A34A63"/>
    <w:rsid w:val="00A4337D"/>
    <w:rsid w:val="00A477C4"/>
    <w:rsid w:val="00A51E75"/>
    <w:rsid w:val="00A53ABE"/>
    <w:rsid w:val="00A5534F"/>
    <w:rsid w:val="00A71F78"/>
    <w:rsid w:val="00A74693"/>
    <w:rsid w:val="00A77C6B"/>
    <w:rsid w:val="00A8310E"/>
    <w:rsid w:val="00A840CC"/>
    <w:rsid w:val="00A8562F"/>
    <w:rsid w:val="00A85661"/>
    <w:rsid w:val="00A86C5E"/>
    <w:rsid w:val="00A90DA9"/>
    <w:rsid w:val="00A9102D"/>
    <w:rsid w:val="00A955BE"/>
    <w:rsid w:val="00A95A52"/>
    <w:rsid w:val="00A966D7"/>
    <w:rsid w:val="00A96F6B"/>
    <w:rsid w:val="00A9782B"/>
    <w:rsid w:val="00AA273C"/>
    <w:rsid w:val="00AA3CAB"/>
    <w:rsid w:val="00AB2818"/>
    <w:rsid w:val="00AB324F"/>
    <w:rsid w:val="00AB58E9"/>
    <w:rsid w:val="00AB6B77"/>
    <w:rsid w:val="00AC0F88"/>
    <w:rsid w:val="00AC119F"/>
    <w:rsid w:val="00AC3E7C"/>
    <w:rsid w:val="00AC613C"/>
    <w:rsid w:val="00AC61E2"/>
    <w:rsid w:val="00AD42D2"/>
    <w:rsid w:val="00AE1ED5"/>
    <w:rsid w:val="00AE3FD1"/>
    <w:rsid w:val="00AF22F1"/>
    <w:rsid w:val="00AF544E"/>
    <w:rsid w:val="00B019F4"/>
    <w:rsid w:val="00B04042"/>
    <w:rsid w:val="00B04A62"/>
    <w:rsid w:val="00B10264"/>
    <w:rsid w:val="00B117F2"/>
    <w:rsid w:val="00B13BCD"/>
    <w:rsid w:val="00B149A5"/>
    <w:rsid w:val="00B15266"/>
    <w:rsid w:val="00B16760"/>
    <w:rsid w:val="00B230CA"/>
    <w:rsid w:val="00B30B0D"/>
    <w:rsid w:val="00B32D8D"/>
    <w:rsid w:val="00B33A16"/>
    <w:rsid w:val="00B40CD0"/>
    <w:rsid w:val="00B4309D"/>
    <w:rsid w:val="00B44AC5"/>
    <w:rsid w:val="00B44C15"/>
    <w:rsid w:val="00B471A1"/>
    <w:rsid w:val="00B60A87"/>
    <w:rsid w:val="00B7056F"/>
    <w:rsid w:val="00B705E4"/>
    <w:rsid w:val="00B728D3"/>
    <w:rsid w:val="00B7429E"/>
    <w:rsid w:val="00B81577"/>
    <w:rsid w:val="00B820FB"/>
    <w:rsid w:val="00B8285A"/>
    <w:rsid w:val="00B84EDB"/>
    <w:rsid w:val="00B94218"/>
    <w:rsid w:val="00BA0325"/>
    <w:rsid w:val="00BA56F8"/>
    <w:rsid w:val="00BA6056"/>
    <w:rsid w:val="00BB197A"/>
    <w:rsid w:val="00BB2A27"/>
    <w:rsid w:val="00BB6465"/>
    <w:rsid w:val="00BB768B"/>
    <w:rsid w:val="00BD0608"/>
    <w:rsid w:val="00BD1C25"/>
    <w:rsid w:val="00BD25BC"/>
    <w:rsid w:val="00BD75CD"/>
    <w:rsid w:val="00BE145C"/>
    <w:rsid w:val="00BE7C52"/>
    <w:rsid w:val="00BF209A"/>
    <w:rsid w:val="00BF32DC"/>
    <w:rsid w:val="00BF3B6D"/>
    <w:rsid w:val="00C03DA4"/>
    <w:rsid w:val="00C04E4F"/>
    <w:rsid w:val="00C104F1"/>
    <w:rsid w:val="00C13711"/>
    <w:rsid w:val="00C15915"/>
    <w:rsid w:val="00C17B60"/>
    <w:rsid w:val="00C17DD4"/>
    <w:rsid w:val="00C2208B"/>
    <w:rsid w:val="00C262D8"/>
    <w:rsid w:val="00C26BD5"/>
    <w:rsid w:val="00C30A79"/>
    <w:rsid w:val="00C31626"/>
    <w:rsid w:val="00C33181"/>
    <w:rsid w:val="00C33237"/>
    <w:rsid w:val="00C341FE"/>
    <w:rsid w:val="00C36979"/>
    <w:rsid w:val="00C400C4"/>
    <w:rsid w:val="00C40CD0"/>
    <w:rsid w:val="00C41214"/>
    <w:rsid w:val="00C512AE"/>
    <w:rsid w:val="00C51AA8"/>
    <w:rsid w:val="00C60175"/>
    <w:rsid w:val="00C6102F"/>
    <w:rsid w:val="00C630B8"/>
    <w:rsid w:val="00C64549"/>
    <w:rsid w:val="00C658A8"/>
    <w:rsid w:val="00C66E48"/>
    <w:rsid w:val="00C74C6C"/>
    <w:rsid w:val="00C854A1"/>
    <w:rsid w:val="00C85B98"/>
    <w:rsid w:val="00C93179"/>
    <w:rsid w:val="00C93B77"/>
    <w:rsid w:val="00C94381"/>
    <w:rsid w:val="00C94847"/>
    <w:rsid w:val="00C97C97"/>
    <w:rsid w:val="00CA35B1"/>
    <w:rsid w:val="00CA48B3"/>
    <w:rsid w:val="00CA6E52"/>
    <w:rsid w:val="00CA7803"/>
    <w:rsid w:val="00CB5086"/>
    <w:rsid w:val="00CB5DE0"/>
    <w:rsid w:val="00CB7755"/>
    <w:rsid w:val="00CC090B"/>
    <w:rsid w:val="00CC248E"/>
    <w:rsid w:val="00CC5396"/>
    <w:rsid w:val="00CC73D8"/>
    <w:rsid w:val="00CE3B1D"/>
    <w:rsid w:val="00CE4F7D"/>
    <w:rsid w:val="00CE543E"/>
    <w:rsid w:val="00CE6EB0"/>
    <w:rsid w:val="00CE7CA8"/>
    <w:rsid w:val="00CF132C"/>
    <w:rsid w:val="00CF6DE6"/>
    <w:rsid w:val="00D00367"/>
    <w:rsid w:val="00D06B56"/>
    <w:rsid w:val="00D126D2"/>
    <w:rsid w:val="00D12738"/>
    <w:rsid w:val="00D202CC"/>
    <w:rsid w:val="00D20DD4"/>
    <w:rsid w:val="00D20EA7"/>
    <w:rsid w:val="00D2206F"/>
    <w:rsid w:val="00D22DC1"/>
    <w:rsid w:val="00D25B96"/>
    <w:rsid w:val="00D272B2"/>
    <w:rsid w:val="00D31CF3"/>
    <w:rsid w:val="00D329C7"/>
    <w:rsid w:val="00D35E19"/>
    <w:rsid w:val="00D47992"/>
    <w:rsid w:val="00D51414"/>
    <w:rsid w:val="00D51A5D"/>
    <w:rsid w:val="00D55B5B"/>
    <w:rsid w:val="00D629CB"/>
    <w:rsid w:val="00D6646E"/>
    <w:rsid w:val="00D7055F"/>
    <w:rsid w:val="00D76206"/>
    <w:rsid w:val="00D76C6A"/>
    <w:rsid w:val="00D80E81"/>
    <w:rsid w:val="00D82938"/>
    <w:rsid w:val="00D849E2"/>
    <w:rsid w:val="00D85376"/>
    <w:rsid w:val="00D856C7"/>
    <w:rsid w:val="00D85865"/>
    <w:rsid w:val="00D92F91"/>
    <w:rsid w:val="00D940EF"/>
    <w:rsid w:val="00DA272C"/>
    <w:rsid w:val="00DA2FBA"/>
    <w:rsid w:val="00DA35FF"/>
    <w:rsid w:val="00DA640B"/>
    <w:rsid w:val="00DB0524"/>
    <w:rsid w:val="00DB3A87"/>
    <w:rsid w:val="00DC092A"/>
    <w:rsid w:val="00DC0A7D"/>
    <w:rsid w:val="00DC0AFC"/>
    <w:rsid w:val="00DC1118"/>
    <w:rsid w:val="00DC402D"/>
    <w:rsid w:val="00DD439D"/>
    <w:rsid w:val="00DD70FA"/>
    <w:rsid w:val="00DD793A"/>
    <w:rsid w:val="00DE57A5"/>
    <w:rsid w:val="00DE6D60"/>
    <w:rsid w:val="00DE7C83"/>
    <w:rsid w:val="00DE7F1E"/>
    <w:rsid w:val="00DF34D3"/>
    <w:rsid w:val="00E038BD"/>
    <w:rsid w:val="00E0485E"/>
    <w:rsid w:val="00E17241"/>
    <w:rsid w:val="00E25796"/>
    <w:rsid w:val="00E35296"/>
    <w:rsid w:val="00E352C0"/>
    <w:rsid w:val="00E36A0B"/>
    <w:rsid w:val="00E36B95"/>
    <w:rsid w:val="00E3776D"/>
    <w:rsid w:val="00E43B71"/>
    <w:rsid w:val="00E45F54"/>
    <w:rsid w:val="00E56F28"/>
    <w:rsid w:val="00E5711A"/>
    <w:rsid w:val="00E609C1"/>
    <w:rsid w:val="00E6704D"/>
    <w:rsid w:val="00E70122"/>
    <w:rsid w:val="00E70A7F"/>
    <w:rsid w:val="00E725AF"/>
    <w:rsid w:val="00E72B28"/>
    <w:rsid w:val="00E8301D"/>
    <w:rsid w:val="00E830FF"/>
    <w:rsid w:val="00E83288"/>
    <w:rsid w:val="00E871AD"/>
    <w:rsid w:val="00E92EC2"/>
    <w:rsid w:val="00E93DE7"/>
    <w:rsid w:val="00EB187B"/>
    <w:rsid w:val="00EB336B"/>
    <w:rsid w:val="00EB48BD"/>
    <w:rsid w:val="00EC119A"/>
    <w:rsid w:val="00EC27AB"/>
    <w:rsid w:val="00EC3AF7"/>
    <w:rsid w:val="00EC5C9F"/>
    <w:rsid w:val="00EC6698"/>
    <w:rsid w:val="00EC71E0"/>
    <w:rsid w:val="00ED2D96"/>
    <w:rsid w:val="00ED2E40"/>
    <w:rsid w:val="00ED2EC4"/>
    <w:rsid w:val="00ED39E4"/>
    <w:rsid w:val="00ED68C9"/>
    <w:rsid w:val="00ED70F3"/>
    <w:rsid w:val="00EE3E24"/>
    <w:rsid w:val="00EE41DB"/>
    <w:rsid w:val="00EE4661"/>
    <w:rsid w:val="00EF28DE"/>
    <w:rsid w:val="00EF495B"/>
    <w:rsid w:val="00EF6712"/>
    <w:rsid w:val="00EF7BF3"/>
    <w:rsid w:val="00F0056B"/>
    <w:rsid w:val="00F0152A"/>
    <w:rsid w:val="00F016FC"/>
    <w:rsid w:val="00F029FA"/>
    <w:rsid w:val="00F07AE0"/>
    <w:rsid w:val="00F07F65"/>
    <w:rsid w:val="00F118CD"/>
    <w:rsid w:val="00F12006"/>
    <w:rsid w:val="00F124E5"/>
    <w:rsid w:val="00F1506F"/>
    <w:rsid w:val="00F216B9"/>
    <w:rsid w:val="00F25846"/>
    <w:rsid w:val="00F25923"/>
    <w:rsid w:val="00F32A50"/>
    <w:rsid w:val="00F41677"/>
    <w:rsid w:val="00F4366D"/>
    <w:rsid w:val="00F449E7"/>
    <w:rsid w:val="00F4689A"/>
    <w:rsid w:val="00F47D53"/>
    <w:rsid w:val="00F535B5"/>
    <w:rsid w:val="00F5384F"/>
    <w:rsid w:val="00F6393E"/>
    <w:rsid w:val="00F639F2"/>
    <w:rsid w:val="00F64DF1"/>
    <w:rsid w:val="00F65441"/>
    <w:rsid w:val="00F66D85"/>
    <w:rsid w:val="00F677E0"/>
    <w:rsid w:val="00F7004C"/>
    <w:rsid w:val="00F76B5A"/>
    <w:rsid w:val="00F770C5"/>
    <w:rsid w:val="00F77AE2"/>
    <w:rsid w:val="00F82E3A"/>
    <w:rsid w:val="00F87EF1"/>
    <w:rsid w:val="00F90AF9"/>
    <w:rsid w:val="00F91DAF"/>
    <w:rsid w:val="00F93B8D"/>
    <w:rsid w:val="00F94598"/>
    <w:rsid w:val="00F94A8E"/>
    <w:rsid w:val="00F95E9C"/>
    <w:rsid w:val="00F97274"/>
    <w:rsid w:val="00F9742A"/>
    <w:rsid w:val="00FA14B7"/>
    <w:rsid w:val="00FA1ECE"/>
    <w:rsid w:val="00FA2372"/>
    <w:rsid w:val="00FB05D7"/>
    <w:rsid w:val="00FB4B15"/>
    <w:rsid w:val="00FB5B14"/>
    <w:rsid w:val="00FC05B9"/>
    <w:rsid w:val="00FC1002"/>
    <w:rsid w:val="00FC4A55"/>
    <w:rsid w:val="00FD5F99"/>
    <w:rsid w:val="00FE4801"/>
    <w:rsid w:val="00FF0BD0"/>
    <w:rsid w:val="00FF1A4E"/>
    <w:rsid w:val="00FF3B97"/>
    <w:rsid w:val="00FF6DEE"/>
    <w:rsid w:val="03CD59E8"/>
    <w:rsid w:val="4B6B7007"/>
    <w:rsid w:val="4E77184A"/>
    <w:rsid w:val="6597B588"/>
    <w:rsid w:val="7F88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EE73"/>
  <w15:chartTrackingRefBased/>
  <w15:docId w15:val="{16474E90-63B2-43DE-8503-0C8D927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  <w:lang w:val="x-none" w:eastAsia="x-non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95E9C"/>
    <w:rPr>
      <w:kern w:val="28"/>
      <w:sz w:val="22"/>
      <w:lang w:val="x-none" w:eastAsia="x-none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  <w:lang w:val="x-none" w:eastAsia="x-none"/>
    </w:rPr>
  </w:style>
  <w:style w:type="paragraph" w:customStyle="1" w:styleId="Textodst1sl">
    <w:name w:val="Text odst.1čísl"/>
    <w:basedOn w:val="Normln"/>
    <w:link w:val="Textodst1slChar"/>
    <w:rsid w:val="0056217A"/>
    <w:pPr>
      <w:numPr>
        <w:ilvl w:val="1"/>
        <w:numId w:val="30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  <w:szCs w:val="20"/>
      <w:lang w:val="x-none" w:eastAsia="x-none"/>
    </w:rPr>
  </w:style>
  <w:style w:type="character" w:customStyle="1" w:styleId="OdrkyChar">
    <w:name w:val="Odrážky Char"/>
    <w:link w:val="Odrky"/>
    <w:rsid w:val="0098438A"/>
    <w:rPr>
      <w:iCs/>
      <w:sz w:val="22"/>
      <w:szCs w:val="24"/>
    </w:rPr>
  </w:style>
  <w:style w:type="paragraph" w:customStyle="1" w:styleId="Textodst3psmena">
    <w:name w:val="Text odst. 3 písmena"/>
    <w:basedOn w:val="Textodst1sl"/>
    <w:rsid w:val="0056217A"/>
    <w:pPr>
      <w:numPr>
        <w:ilvl w:val="3"/>
      </w:numPr>
      <w:tabs>
        <w:tab w:val="clear" w:pos="2778"/>
        <w:tab w:val="num" w:pos="624"/>
      </w:tabs>
      <w:spacing w:before="0"/>
      <w:ind w:left="907" w:hanging="567"/>
      <w:outlineLvl w:val="3"/>
    </w:pPr>
  </w:style>
  <w:style w:type="paragraph" w:customStyle="1" w:styleId="Textodst2slovan">
    <w:name w:val="Text odst.2 číslovaný"/>
    <w:basedOn w:val="Textodst1sl"/>
    <w:rsid w:val="0056217A"/>
    <w:pPr>
      <w:numPr>
        <w:ilvl w:val="2"/>
      </w:numPr>
      <w:tabs>
        <w:tab w:val="clear" w:pos="0"/>
        <w:tab w:val="clear" w:pos="284"/>
        <w:tab w:val="clear" w:pos="992"/>
        <w:tab w:val="num" w:pos="624"/>
      </w:tabs>
      <w:spacing w:before="0"/>
      <w:ind w:left="907" w:hanging="623"/>
      <w:outlineLvl w:val="2"/>
    </w:pPr>
  </w:style>
  <w:style w:type="paragraph" w:customStyle="1" w:styleId="Koule">
    <w:name w:val="Koule"/>
    <w:basedOn w:val="Normln"/>
    <w:rsid w:val="0056217A"/>
    <w:pPr>
      <w:numPr>
        <w:numId w:val="30"/>
      </w:numPr>
      <w:ind w:left="1702" w:hanging="284"/>
      <w:jc w:val="both"/>
    </w:pPr>
    <w:rPr>
      <w:rFonts w:ascii="Arial" w:hAnsi="Arial"/>
      <w:szCs w:val="20"/>
    </w:rPr>
  </w:style>
  <w:style w:type="character" w:customStyle="1" w:styleId="Textodst1slChar">
    <w:name w:val="Text odst.1čísl Char"/>
    <w:link w:val="Textodst1sl"/>
    <w:rsid w:val="005621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hrnoutDocVNotifikaci xmlns="782c8c4e-d822-499b-bc98-9f7ddddd5cbc">false</ZahrnoutDocVNotifikac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4DF5B7DFDE6478164B4815AB75C84" ma:contentTypeVersion="6" ma:contentTypeDescription="Vytvoří nový dokument" ma:contentTypeScope="" ma:versionID="45f14b0f469b54056b8242f1b4d29845">
  <xsd:schema xmlns:xsd="http://www.w3.org/2001/XMLSchema" xmlns:xs="http://www.w3.org/2001/XMLSchema" xmlns:p="http://schemas.microsoft.com/office/2006/metadata/properties" xmlns:ns2="782c8c4e-d822-499b-bc98-9f7ddddd5cbc" xmlns:ns3="7adef618-d942-4fcf-8309-6104b2c41918" targetNamespace="http://schemas.microsoft.com/office/2006/metadata/properties" ma:root="true" ma:fieldsID="aef32daee61e0cef1c720f2f4f0193cf" ns2:_="" ns3:_="">
    <xsd:import namespace="782c8c4e-d822-499b-bc98-9f7ddddd5cbc"/>
    <xsd:import namespace="7adef618-d942-4fcf-8309-6104b2c41918"/>
    <xsd:element name="properties">
      <xsd:complexType>
        <xsd:sequence>
          <xsd:element name="documentManagement">
            <xsd:complexType>
              <xsd:all>
                <xsd:element ref="ns2:ZahrnoutDocVNotifikaci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c8c4e-d822-499b-bc98-9f7ddddd5cbc" elementFormDefault="qualified">
    <xsd:import namespace="http://schemas.microsoft.com/office/2006/documentManagement/types"/>
    <xsd:import namespace="http://schemas.microsoft.com/office/infopath/2007/PartnerControls"/>
    <xsd:element name="ZahrnoutDocVNotifikaci" ma:index="4" nillable="true" ma:displayName="Zahrnout dokument v notifikaci" ma:default="0" ma:internalName="Zahrnout_x0020_dokument_x0020_v_x0020_notifikaci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ef618-d942-4fcf-8309-6104b2c419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31B3-BA06-4B8E-A0AB-CB7CA56AF48F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7adef618-d942-4fcf-8309-6104b2c41918"/>
    <ds:schemaRef ds:uri="http://schemas.microsoft.com/office/2006/documentManagement/types"/>
    <ds:schemaRef ds:uri="http://schemas.openxmlformats.org/package/2006/metadata/core-properties"/>
    <ds:schemaRef ds:uri="782c8c4e-d822-499b-bc98-9f7ddddd5cb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439D02-2272-454E-8EEE-A1964F95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c8c4e-d822-499b-bc98-9f7ddddd5cbc"/>
    <ds:schemaRef ds:uri="7adef618-d942-4fcf-8309-6104b2c41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F6F7B-28E0-4925-A47D-A2261BBDC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9ECFC-4574-4653-AA5A-40C75A08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2955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ACCZ</vt:lpstr>
    </vt:vector>
  </TitlesOfParts>
  <Company>AUTOCONT a.s.</Company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ACCZ</dc:title>
  <dc:subject/>
  <dc:creator>Tomáš Macourek</dc:creator>
  <cp:keywords/>
  <dc:description/>
  <cp:lastModifiedBy>Schovánek, Filip</cp:lastModifiedBy>
  <cp:revision>3</cp:revision>
  <cp:lastPrinted>2023-04-19T13:47:00Z</cp:lastPrinted>
  <dcterms:created xsi:type="dcterms:W3CDTF">2023-05-12T06:57:00Z</dcterms:created>
  <dcterms:modified xsi:type="dcterms:W3CDTF">2023-05-12T06:58:00Z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kupní smlouva, platnost od 1.1.2014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  <property fmtid="{D5CDD505-2E9C-101B-9397-08002B2CF9AE}" pid="9" name="ContentTypeId">
    <vt:lpwstr>0x01010054F4DF5B7DFDE6478164B4815AB75C84</vt:lpwstr>
  </property>
  <property fmtid="{D5CDD505-2E9C-101B-9397-08002B2CF9AE}" pid="10" name="_dlc_DocIdItemGuid">
    <vt:lpwstr>a81d3c47-1411-4d61-95a5-5aa55428401b</vt:lpwstr>
  </property>
  <property fmtid="{D5CDD505-2E9C-101B-9397-08002B2CF9AE}" pid="11" name="MSIP_Label_82a99ebc-0f39-4fac-abab-b8d6469272ed_Enabled">
    <vt:lpwstr>true</vt:lpwstr>
  </property>
  <property fmtid="{D5CDD505-2E9C-101B-9397-08002B2CF9AE}" pid="12" name="MSIP_Label_82a99ebc-0f39-4fac-abab-b8d6469272ed_SetDate">
    <vt:lpwstr>2023-04-11T13:46:12Z</vt:lpwstr>
  </property>
  <property fmtid="{D5CDD505-2E9C-101B-9397-08002B2CF9AE}" pid="13" name="MSIP_Label_82a99ebc-0f39-4fac-abab-b8d6469272ed_Method">
    <vt:lpwstr>Standard</vt:lpwstr>
  </property>
  <property fmtid="{D5CDD505-2E9C-101B-9397-08002B2CF9AE}" pid="14" name="MSIP_Label_82a99ebc-0f39-4fac-abab-b8d6469272ed_Name">
    <vt:lpwstr>Interní informace (Internal use)</vt:lpwstr>
  </property>
  <property fmtid="{D5CDD505-2E9C-101B-9397-08002B2CF9AE}" pid="15" name="MSIP_Label_82a99ebc-0f39-4fac-abab-b8d6469272ed_SiteId">
    <vt:lpwstr>0e9caf50-a549-4565-9c6d-4dc78e847c80</vt:lpwstr>
  </property>
  <property fmtid="{D5CDD505-2E9C-101B-9397-08002B2CF9AE}" pid="16" name="MSIP_Label_82a99ebc-0f39-4fac-abab-b8d6469272ed_ActionId">
    <vt:lpwstr>4a684fe8-6e5b-405e-85f7-275793ea0e7e</vt:lpwstr>
  </property>
  <property fmtid="{D5CDD505-2E9C-101B-9397-08002B2CF9AE}" pid="17" name="MSIP_Label_82a99ebc-0f39-4fac-abab-b8d6469272ed_ContentBits">
    <vt:lpwstr>0</vt:lpwstr>
  </property>
</Properties>
</file>