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40" w:rsidRDefault="00BD283C">
      <w:pPr>
        <w:pStyle w:val="Standard"/>
        <w:spacing w:after="0" w:line="249" w:lineRule="auto"/>
        <w:ind w:left="0" w:right="7" w:firstLine="0"/>
        <w:jc w:val="center"/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-218523</wp:posOffset>
            </wp:positionH>
            <wp:positionV relativeFrom="page">
              <wp:posOffset>-3959</wp:posOffset>
            </wp:positionV>
            <wp:extent cx="5428079" cy="48956"/>
            <wp:effectExtent l="0" t="0" r="1171" b="8194"/>
            <wp:wrapSquare wrapText="bothSides"/>
            <wp:docPr id="3" name="Picture 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079" cy="48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-218523</wp:posOffset>
            </wp:positionH>
            <wp:positionV relativeFrom="page">
              <wp:posOffset>-3959</wp:posOffset>
            </wp:positionV>
            <wp:extent cx="5428079" cy="48956"/>
            <wp:effectExtent l="0" t="0" r="1171" b="8194"/>
            <wp:wrapSquare wrapText="bothSides"/>
            <wp:docPr id="4" name="Picture 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079" cy="48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-218523</wp:posOffset>
            </wp:positionH>
            <wp:positionV relativeFrom="page">
              <wp:posOffset>-3959</wp:posOffset>
            </wp:positionV>
            <wp:extent cx="5428079" cy="48956"/>
            <wp:effectExtent l="0" t="0" r="1171" b="8194"/>
            <wp:wrapSquare wrapText="bothSides"/>
            <wp:docPr id="5" name="Picture 7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079" cy="48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t>PŘÍKAZNÍ SMLOUVA</w:t>
      </w:r>
    </w:p>
    <w:p w:rsidR="00380C40" w:rsidRDefault="00380C40">
      <w:pPr>
        <w:pStyle w:val="Standard"/>
        <w:spacing w:after="0" w:line="249" w:lineRule="auto"/>
        <w:ind w:left="0" w:right="7" w:firstLine="0"/>
        <w:jc w:val="center"/>
        <w:rPr>
          <w:sz w:val="28"/>
        </w:rPr>
      </w:pPr>
    </w:p>
    <w:p w:rsidR="00380C40" w:rsidRDefault="00BD283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uzavřená podle § 2430 zákona č. 89/2012 Sb., Občanského zákoníku o koordinaci všech prací probíhajících při realizaci akce: </w:t>
      </w:r>
    </w:p>
    <w:p w:rsidR="00380C40" w:rsidRDefault="00BD283C">
      <w:pPr>
        <w:pStyle w:val="Bezmez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činnost koordinátora BOZP </w:t>
      </w:r>
    </w:p>
    <w:p w:rsidR="00380C40" w:rsidRDefault="00BD283C">
      <w:pPr>
        <w:pStyle w:val="Bezmezer"/>
      </w:pPr>
      <w:r>
        <w:rPr>
          <w:rFonts w:cs="Calibri"/>
          <w:b/>
          <w:sz w:val="20"/>
          <w:szCs w:val="20"/>
        </w:rPr>
        <w:t xml:space="preserve">v rámci projektu CZ.06.6.127/0.0/0.0/21_124/0017351 „Stavební úpravy a nástavba objektu pro služby následné péče a terapeutické komunity – podpora infrastruktury se zvýšenou energetickou účinností“ </w:t>
      </w:r>
      <w:r>
        <w:rPr>
          <w:rFonts w:cs="Calibri"/>
          <w:sz w:val="20"/>
          <w:szCs w:val="20"/>
        </w:rPr>
        <w:t>(dále jen projekt)</w:t>
      </w:r>
    </w:p>
    <w:p w:rsidR="00380C40" w:rsidRDefault="00380C40">
      <w:pPr>
        <w:pStyle w:val="Bezmezer"/>
        <w:rPr>
          <w:rFonts w:cs="Calibri"/>
          <w:sz w:val="20"/>
          <w:szCs w:val="20"/>
        </w:rPr>
      </w:pPr>
    </w:p>
    <w:p w:rsidR="00380C40" w:rsidRDefault="00BD283C">
      <w:pPr>
        <w:pStyle w:val="Nadpis1"/>
        <w:ind w:left="711" w:right="6" w:hanging="36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</w:t>
      </w:r>
    </w:p>
    <w:tbl>
      <w:tblPr>
        <w:tblW w:w="87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349"/>
      </w:tblGrid>
      <w:tr w:rsidR="00380C40">
        <w:trPr>
          <w:trHeight w:val="259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Příkazce: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Magdaléna o.p.s.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Zapsaná v rejstříku obecně prospěšných společností vedeném: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Městským soudem v Praze, oddíl O, vložka 29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Zastoupený:</w:t>
            </w:r>
          </w:p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3048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Sídlo :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ředitelem společnosti, Mgr. Ondřejem Sklenářem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br/>
              <w:t>Včelník 1070, 252 10 Mníšek pod Brdy</w:t>
            </w:r>
          </w:p>
        </w:tc>
      </w:tr>
      <w:tr w:rsidR="00380C40">
        <w:trPr>
          <w:trHeight w:val="72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IČ, DIČ: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25617401, CZ25617401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Bankovní spojení: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Česká Spořitelna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Číslo účtu: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388061319/0800</w:t>
            </w:r>
          </w:p>
        </w:tc>
      </w:tr>
      <w:tr w:rsidR="00380C40">
        <w:trPr>
          <w:trHeight w:val="546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43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ID datové schránky: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Odpovědní zástupci pro jednání: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u9bapmm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380C40">
        <w:trPr>
          <w:trHeight w:val="550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394"/>
                <w:tab w:val="center" w:pos="1670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-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ve věcech smluvních: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28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394"/>
                <w:tab w:val="center" w:pos="1743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-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ve věcech technických:  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267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Telefon/mobil: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1641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6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E-mail: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80C40" w:rsidRDefault="00BD283C">
            <w:pPr>
              <w:pStyle w:val="Standard"/>
              <w:spacing w:after="37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(dále jen „příkazce“)</w:t>
            </w:r>
          </w:p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Příkazník: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Hastex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&amp; 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Haspr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s.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r. o.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Zapsaný v obchodním rejstříku u: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Krajského soudu v Hradci Králové ,oddíl C, vložka 1537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Zastoupený: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jednatelem, Patrikem Filipem  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Sídlo: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Srch 229, 533 52</w:t>
            </w:r>
          </w:p>
        </w:tc>
      </w:tr>
      <w:tr w:rsidR="00380C40">
        <w:trPr>
          <w:trHeight w:val="275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IČ, DIČ: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 35 442 , CZ - 455 35 442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Bankovní spojení: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ČSOB Pardubice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Číslo účtu: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č.ú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02 71 88 39 33/0300</w:t>
            </w:r>
          </w:p>
        </w:tc>
      </w:tr>
      <w:tr w:rsidR="00380C40">
        <w:trPr>
          <w:trHeight w:val="27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ID datové schránky: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ksz9tgc</w:t>
            </w:r>
          </w:p>
        </w:tc>
      </w:tr>
      <w:tr w:rsidR="00380C40">
        <w:trPr>
          <w:trHeight w:val="274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Odpovědní zástupci pro jednání: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spacing w:after="0" w:line="240" w:lineRule="auto"/>
              <w:ind w:left="28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80C40">
        <w:trPr>
          <w:trHeight w:val="283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394"/>
                <w:tab w:val="center" w:pos="1670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-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ve věcech smluvních:  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277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394"/>
                <w:tab w:val="center" w:pos="1743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-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ve věcech technických:  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267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2126"/>
                <w:tab w:val="center" w:pos="2832"/>
              </w:tabs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Telefon/mobil: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0C40">
        <w:trPr>
          <w:trHeight w:val="532"/>
        </w:trPr>
        <w:tc>
          <w:tcPr>
            <w:tcW w:w="336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BD283C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48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380C40" w:rsidRDefault="00BD283C">
            <w:pPr>
              <w:pStyle w:val="Standard"/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(dále jen „příkazník“)</w:t>
            </w:r>
          </w:p>
        </w:tc>
        <w:tc>
          <w:tcPr>
            <w:tcW w:w="5349" w:type="dxa"/>
            <w:shd w:val="clear" w:color="auto" w:fill="auto"/>
            <w:tcMar>
              <w:top w:w="8" w:type="dxa"/>
              <w:left w:w="108" w:type="dxa"/>
              <w:bottom w:w="0" w:type="dxa"/>
              <w:right w:w="108" w:type="dxa"/>
            </w:tcMar>
          </w:tcPr>
          <w:p w:rsidR="00380C40" w:rsidRDefault="00380C40">
            <w:pPr>
              <w:pStyle w:val="Standard"/>
              <w:tabs>
                <w:tab w:val="center" w:pos="1416"/>
                <w:tab w:val="center" w:pos="2126"/>
                <w:tab w:val="center" w:pos="2832"/>
              </w:tabs>
              <w:spacing w:after="48" w:line="240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0C40" w:rsidRDefault="00BD283C">
      <w:pPr>
        <w:pStyle w:val="Standard"/>
        <w:spacing w:after="0" w:line="249" w:lineRule="auto"/>
        <w:ind w:left="0" w:righ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380C40" w:rsidRDefault="00BD283C">
      <w:pPr>
        <w:pStyle w:val="Standard"/>
        <w:spacing w:after="160" w:line="249" w:lineRule="auto"/>
        <w:ind w:left="0" w:righ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380C40" w:rsidRDefault="00380C40">
      <w:pPr>
        <w:pStyle w:val="Standard"/>
        <w:spacing w:after="160" w:line="249" w:lineRule="auto"/>
        <w:ind w:left="0" w:right="0" w:firstLine="0"/>
        <w:jc w:val="left"/>
      </w:pPr>
    </w:p>
    <w:p w:rsidR="00380C40" w:rsidRDefault="00380C40">
      <w:pPr>
        <w:pStyle w:val="Standard"/>
        <w:spacing w:after="160" w:line="249" w:lineRule="auto"/>
        <w:ind w:left="0" w:right="0" w:firstLine="0"/>
        <w:jc w:val="left"/>
      </w:pPr>
    </w:p>
    <w:p w:rsidR="00380C40" w:rsidRDefault="00380C40">
      <w:pPr>
        <w:pStyle w:val="Standard"/>
        <w:spacing w:after="160" w:line="249" w:lineRule="auto"/>
        <w:ind w:left="0" w:right="0" w:firstLine="0"/>
        <w:jc w:val="left"/>
      </w:pPr>
    </w:p>
    <w:p w:rsidR="00380C40" w:rsidRDefault="00BD283C">
      <w:pPr>
        <w:pStyle w:val="Nadpis1"/>
        <w:ind w:left="711" w:right="5" w:hanging="36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PŘEDMĚT SMLOUVY</w:t>
      </w:r>
    </w:p>
    <w:p w:rsidR="00380C40" w:rsidRDefault="00BD283C">
      <w:pPr>
        <w:pStyle w:val="Standard"/>
        <w:spacing w:after="44" w:line="249" w:lineRule="auto"/>
        <w:ind w:left="721" w:righ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2.1.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Předmětem této smlouvy je obstarání záležitosti příkazce, spočívající v zajištění činností příkazníkem:  </w:t>
      </w:r>
    </w:p>
    <w:p w:rsidR="00380C40" w:rsidRDefault="00BD283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Koordinátor bezpečnosti a ochrany zdraví při práci na staveništi (dále jen koordinátor BOZP) při realizaci stavby dle výše uvedeného projektu včetně provádění činností za příkazce ve smyslu zákona č. 309/2006 Sb., o zajištění dalších podmínek bezpečnosti a ochrany zdraví při práci a nařízení vlády č. 591/2006 Sb.  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2.2.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Příkazník se zavazuje obstarat záležitost příkazce a výslovně prohlašuje, že uzavřením této smlouvy na sebe bere obstarání předmětu smlouvy, tedy výkon činností koordinátora bezpečnosti a ochrany zdraví při práci ve vztahu k objektům a provozním souborům stavby.</w:t>
      </w:r>
      <w:r>
        <w:t xml:space="preserve">   </w:t>
      </w:r>
    </w:p>
    <w:p w:rsidR="00380C40" w:rsidRDefault="00380C40">
      <w:pPr>
        <w:pStyle w:val="Bezmezer"/>
      </w:pPr>
    </w:p>
    <w:p w:rsidR="00380C40" w:rsidRDefault="00BD283C">
      <w:pPr>
        <w:pStyle w:val="Nadpis1"/>
        <w:spacing w:after="150"/>
        <w:ind w:right="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MÍSTO A DOBA PLNĚNÍ</w:t>
      </w:r>
    </w:p>
    <w:p w:rsidR="00380C40" w:rsidRDefault="00BD283C">
      <w:pPr>
        <w:pStyle w:val="Standard"/>
        <w:spacing w:after="0"/>
        <w:ind w:left="0"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3.1.Místem plnění je objekt na adrese Včelník 1070, 252 10 Mníšek pod Brdy </w:t>
      </w:r>
    </w:p>
    <w:p w:rsidR="00380C40" w:rsidRDefault="00BD283C">
      <w:pPr>
        <w:pStyle w:val="Standard"/>
        <w:spacing w:after="0"/>
        <w:ind w:left="0" w:right="0" w:firstLine="0"/>
      </w:pPr>
      <w:r>
        <w:rPr>
          <w:rFonts w:ascii="Calibri" w:hAnsi="Calibri" w:cs="Calibri"/>
          <w:sz w:val="20"/>
          <w:szCs w:val="20"/>
        </w:rPr>
        <w:t xml:space="preserve">3.2 Předpokládaná doba plnění předmětu smlouvy: </w:t>
      </w:r>
      <w:proofErr w:type="gramStart"/>
      <w:r>
        <w:rPr>
          <w:rFonts w:ascii="Calibri" w:hAnsi="Calibri" w:cs="Calibri"/>
          <w:sz w:val="20"/>
          <w:szCs w:val="20"/>
        </w:rPr>
        <w:t>30.3.2023  –</w:t>
      </w:r>
      <w:proofErr w:type="gramEnd"/>
      <w:r>
        <w:rPr>
          <w:rFonts w:ascii="Calibri" w:hAnsi="Calibri" w:cs="Calibri"/>
          <w:sz w:val="20"/>
          <w:szCs w:val="20"/>
        </w:rPr>
        <w:t xml:space="preserve"> 31.12.2023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</w:t>
      </w:r>
    </w:p>
    <w:p w:rsidR="00380C40" w:rsidRDefault="00380C40">
      <w:pPr>
        <w:pStyle w:val="Standard"/>
        <w:spacing w:after="154"/>
        <w:ind w:left="0" w:right="0" w:firstLine="0"/>
        <w:rPr>
          <w:rFonts w:ascii="Calibri" w:hAnsi="Calibri" w:cs="Calibri"/>
          <w:sz w:val="20"/>
          <w:szCs w:val="20"/>
        </w:rPr>
      </w:pPr>
    </w:p>
    <w:p w:rsidR="00380C40" w:rsidRDefault="00BD283C">
      <w:pPr>
        <w:pStyle w:val="Nadpis1"/>
        <w:spacing w:after="150"/>
        <w:ind w:left="0" w:right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CENA ZA PLNĚNÍ PŘEDMĚTU SMLOUVY</w:t>
      </w:r>
    </w:p>
    <w:p w:rsidR="00380C40" w:rsidRDefault="00BD283C">
      <w:pPr>
        <w:pStyle w:val="Bezmezer"/>
      </w:pPr>
      <w:r>
        <w:rPr>
          <w:sz w:val="20"/>
          <w:szCs w:val="20"/>
        </w:rPr>
        <w:t>4.1.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 výkon činností dle této smlouvy se příkazce zavazuje zaplatit příkazníkovi ujednanou odměnu ve výši: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Kč 30.000 – za zpracování plánu a dokumentace BOZP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Kč 81.000 – za pravidelné kontroly, účast na kontrolních dnech koordinátora BOZP na staveništi včetně zápisu a doplnění    změn Plánu BOZP.  Předpokládaný počet kontrol: 9                  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Všechny uvedené ceny jsou bez DPH.</w:t>
      </w:r>
    </w:p>
    <w:p w:rsidR="00380C40" w:rsidRDefault="00BD283C">
      <w:pPr>
        <w:pStyle w:val="Bezmezer"/>
      </w:pPr>
      <w:r>
        <w:rPr>
          <w:sz w:val="20"/>
          <w:szCs w:val="20"/>
        </w:rPr>
        <w:t xml:space="preserve">4.2. Celková odměna, ujednaná touto smlouvou, je stanovena na </w:t>
      </w:r>
      <w:r>
        <w:rPr>
          <w:b/>
          <w:sz w:val="20"/>
          <w:szCs w:val="20"/>
        </w:rPr>
        <w:t>Kč 134.310 včetně DPH</w:t>
      </w:r>
      <w:r>
        <w:rPr>
          <w:sz w:val="20"/>
          <w:szCs w:val="20"/>
        </w:rPr>
        <w:t xml:space="preserve">, jako nejvýše přípustná, maximální a nepřekročitelná. Cena zahrnuje veškeré náklady příkazníka s předmětem této smlouvy související. 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4.3. Příkazce neposkytuje zálohy. </w:t>
      </w:r>
    </w:p>
    <w:p w:rsidR="00380C40" w:rsidRDefault="00380C40">
      <w:pPr>
        <w:pStyle w:val="Standard"/>
        <w:spacing w:after="48" w:line="249" w:lineRule="auto"/>
        <w:ind w:left="0" w:right="0" w:firstLine="0"/>
        <w:jc w:val="left"/>
      </w:pPr>
    </w:p>
    <w:p w:rsidR="00380C40" w:rsidRDefault="00BD283C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PLATEBNÍ PODMÍNKY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80C40" w:rsidRDefault="00BD283C">
      <w:pPr>
        <w:pStyle w:val="Bezmezer"/>
      </w:pPr>
      <w:r>
        <w:rPr>
          <w:sz w:val="20"/>
          <w:szCs w:val="20"/>
        </w:rPr>
        <w:t>5.1.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Odměna za provedení předmětu této smlouvy bude hrazena na základě faktur vystavených příkazníkem a odsouhlasených zástupcem příkazce ve věcech technických, uvedeným v článku 1.1 této smlouvy. Fakturace bude prováděna jedenkrát měsíčně (vždy za předchozí kalendářní měsíc).</w:t>
      </w:r>
    </w:p>
    <w:p w:rsidR="00380C40" w:rsidRDefault="00BD283C">
      <w:pPr>
        <w:pStyle w:val="Bezmezer"/>
      </w:pPr>
      <w:r>
        <w:rPr>
          <w:sz w:val="20"/>
          <w:szCs w:val="20"/>
        </w:rPr>
        <w:t>5.2.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Lhůta splatnosti je 30 dní od doručení faktury.</w:t>
      </w:r>
    </w:p>
    <w:p w:rsidR="00380C40" w:rsidRDefault="00BD283C">
      <w:pPr>
        <w:pStyle w:val="Bezmezer"/>
      </w:pPr>
      <w:r>
        <w:rPr>
          <w:sz w:val="20"/>
          <w:szCs w:val="20"/>
        </w:rPr>
        <w:t>5.3.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Daňový doklad (dále jen „faktura“) musí obsahovat údaje podle zákona č. 235/2004 Sb., o dani z přidané hodnoty, ve znění pozdějších předpisů a § 435 Občanského zákoníku.</w:t>
      </w:r>
    </w:p>
    <w:p w:rsidR="00380C40" w:rsidRDefault="00BD283C">
      <w:pPr>
        <w:pStyle w:val="Bezmezer"/>
      </w:pPr>
      <w:r>
        <w:rPr>
          <w:sz w:val="20"/>
          <w:szCs w:val="20"/>
        </w:rPr>
        <w:t>5.4.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Příkazník je povinen v předmětu fakturace uvést číslo </w:t>
      </w:r>
      <w:r>
        <w:rPr>
          <w:rFonts w:cs="Calibri"/>
          <w:sz w:val="20"/>
          <w:szCs w:val="20"/>
        </w:rPr>
        <w:t>projektu CZ.06.6.127/0.0/0.0/21_124/0017351.</w:t>
      </w:r>
      <w:r>
        <w:rPr>
          <w:rFonts w:cs="Calibri"/>
          <w:sz w:val="20"/>
          <w:szCs w:val="20"/>
        </w:rPr>
        <w:br/>
      </w:r>
      <w:r>
        <w:rPr>
          <w:sz w:val="20"/>
          <w:szCs w:val="20"/>
        </w:rPr>
        <w:t>5.5.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Nebude-li faktura obsahovat některou povinnou nebo dohodnutou náležitost, je příkazce oprávněn fakturu před uplynutím lhůty splatnosti vrátit příkazníkovi k provedení opravy s 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380C40" w:rsidRDefault="00BD283C">
      <w:pPr>
        <w:pStyle w:val="Bezmezer"/>
      </w:pPr>
      <w:r>
        <w:rPr>
          <w:sz w:val="20"/>
          <w:szCs w:val="20"/>
        </w:rPr>
        <w:t>5.6.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Cena bude uhrazena bezhotovostním převodem na účet příkazníka uvedeného v záhlaví této smlouvy.</w:t>
      </w:r>
    </w:p>
    <w:p w:rsidR="00380C40" w:rsidRDefault="00BD283C">
      <w:pPr>
        <w:pStyle w:val="Standard"/>
        <w:spacing w:after="47" w:line="249" w:lineRule="auto"/>
        <w:ind w:left="0" w:right="0" w:firstLine="0"/>
        <w:jc w:val="left"/>
      </w:pPr>
      <w:r>
        <w:t xml:space="preserve"> </w:t>
      </w:r>
    </w:p>
    <w:p w:rsidR="00380C40" w:rsidRDefault="00BD283C">
      <w:pPr>
        <w:pStyle w:val="Bezmezer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SMLUVNÍ POKUTY</w:t>
      </w:r>
    </w:p>
    <w:p w:rsidR="00380C40" w:rsidRDefault="00BD283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6.1.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Je-li příkazce v prodlení s úhradou faktur ve lhůtě splatnosti uvedené v čl. 5. odst. 5.2 této smlouvy, uhradí příkazníkovi smluvní pokutu ve výši 0,05% z dlužné částky za každý započatý den prodlení.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6.2.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Nesplní-li příkazník povinnost provádět průběžnou kontrolu těch částí stavby a montážních prací, které se stanou dalším postupem zakryté či nebude pořizovat o provedené kontrole záznam do stavebního deníku, zaplatí příkazci smluvní pokutu ve výši 5.000,- Kč za každé jednotlivé porušení této povinnosti.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6.3.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Smluvní pokuty, které vzniknou v souvislosti s realizací díla, zanedbáním povinností příkazníka, bude příkazce uplatňovat.</w:t>
      </w:r>
    </w:p>
    <w:p w:rsidR="00380C40" w:rsidRDefault="00BD283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6.4.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Zaplacením smluvní pokuty není dotčeno právo smluvní strany na náhradu škody vzniklé porušením smluvní povinnosti a zároveň nezaniká povinnost závazek splnit. V případě, že příkazci vznikne z ujednání této smlouvy nárok na smluvní pokutu nebo jinou majetkovou sankci vůči příkazníkovi, je příkazce oprávněn odečíst tuto částku z jakéhokoliv daňového dokladu a snížit o ni částku k úhradě nebo pozastávku.</w:t>
      </w:r>
    </w:p>
    <w:p w:rsidR="00BD283C" w:rsidRDefault="00BD283C">
      <w:pPr>
        <w:pStyle w:val="Bezmezer"/>
      </w:pPr>
    </w:p>
    <w:p w:rsidR="00380C40" w:rsidRDefault="00BD283C">
      <w:pPr>
        <w:pStyle w:val="Standard"/>
        <w:spacing w:after="46" w:line="249" w:lineRule="auto"/>
        <w:ind w:left="0" w:right="0" w:firstLine="0"/>
        <w:jc w:val="left"/>
      </w:pPr>
      <w:r>
        <w:t xml:space="preserve"> </w:t>
      </w:r>
    </w:p>
    <w:p w:rsidR="00380C40" w:rsidRDefault="00BD283C">
      <w:pPr>
        <w:pStyle w:val="Bezmeze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POVINNOSTI SMLUVNÍCH STRAN</w:t>
      </w:r>
    </w:p>
    <w:p w:rsidR="00380C40" w:rsidRDefault="00380C40">
      <w:pPr>
        <w:pStyle w:val="Bezmezer"/>
        <w:rPr>
          <w:sz w:val="20"/>
          <w:szCs w:val="20"/>
        </w:rPr>
      </w:pPr>
    </w:p>
    <w:p w:rsidR="00380C40" w:rsidRDefault="00BD283C">
      <w:pPr>
        <w:pStyle w:val="Bezmezer"/>
      </w:pPr>
      <w:r>
        <w:rPr>
          <w:sz w:val="20"/>
          <w:szCs w:val="20"/>
        </w:rPr>
        <w:t>7.1.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Příkazník se zavazuje akceptovat požadavky na provádění prací ze strany stavebních nebo jiných oprávněných orgánů státní správy.</w:t>
      </w:r>
    </w:p>
    <w:p w:rsidR="00380C40" w:rsidRDefault="00BD283C">
      <w:pPr>
        <w:pStyle w:val="Bezmezer"/>
      </w:pPr>
      <w:r>
        <w:rPr>
          <w:sz w:val="20"/>
          <w:szCs w:val="20"/>
        </w:rPr>
        <w:t>7.2.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bCs/>
          <w:sz w:val="20"/>
          <w:szCs w:val="20"/>
        </w:rPr>
        <w:t xml:space="preserve">říkazce předá příkazníkovi podklady nezbytné k plnění předmětu této smlouvy, tj. projekt pro provedení stavby (v digitální podobě) včetně kompletní dokladové části, vydaná stavební a další související povolení, rozpočet stavby (v tištěné a digitální podobě), a to bezprostředně poté, co je bude mít k dispozici. </w:t>
      </w:r>
    </w:p>
    <w:p w:rsidR="00380C40" w:rsidRDefault="00BD283C">
      <w:pPr>
        <w:pStyle w:val="Bezmezer"/>
      </w:pPr>
      <w:r>
        <w:rPr>
          <w:sz w:val="20"/>
          <w:szCs w:val="20"/>
        </w:rPr>
        <w:t>7.3.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Příkazník se zavazuje upozornit příkazce v případě nesprávnosti jeho pokynů a činí tak vždy písemně.</w:t>
      </w:r>
    </w:p>
    <w:p w:rsidR="00380C40" w:rsidRDefault="00BD283C">
      <w:pPr>
        <w:pStyle w:val="Bezmezer"/>
      </w:pPr>
      <w:r>
        <w:rPr>
          <w:sz w:val="20"/>
          <w:szCs w:val="20"/>
        </w:rPr>
        <w:t>7.4.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Příkazník se zavazuje splnit předmět této smlouvy v souladu s obdrženými podklady a s pokyny příkazce. Od pokynů příkazce se může příkazník odchýlit, jen je-li to naléhavě nezbytné v zájmu příkazce, a pokud nemůže včas obdržet jeho souhlas.</w:t>
      </w:r>
    </w:p>
    <w:p w:rsidR="00380C40" w:rsidRDefault="00BD283C">
      <w:pPr>
        <w:pStyle w:val="Bezmezer"/>
      </w:pPr>
      <w:r>
        <w:rPr>
          <w:sz w:val="20"/>
          <w:szCs w:val="20"/>
        </w:rPr>
        <w:t>7.5.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Příkazník se zavazuje předkládat pravidelně elektronickou formou (e-mailem), vždy do druhého pracovního dne v týdnu, kdy byl proveden kontrolní den koordinátora BOZP na staveništi, příkazci informace o postupu zařizování jeho záležitostí jmenovanému zástupci pro věci technické příkazce.</w:t>
      </w:r>
    </w:p>
    <w:p w:rsidR="00380C40" w:rsidRDefault="00BD283C">
      <w:pPr>
        <w:pStyle w:val="Bezmezer"/>
      </w:pPr>
      <w:r>
        <w:rPr>
          <w:sz w:val="20"/>
          <w:szCs w:val="20"/>
        </w:rPr>
        <w:t>7.6. Příkazce odešle Oznámení o zahájení prací oblastnímu inspektorátu práce příslušnému podle místa stavby před předáním staveniště.</w:t>
      </w:r>
    </w:p>
    <w:p w:rsidR="00380C40" w:rsidRDefault="00380C40">
      <w:pPr>
        <w:pStyle w:val="Standard"/>
        <w:ind w:left="706" w:right="0" w:hanging="360"/>
      </w:pPr>
    </w:p>
    <w:p w:rsidR="00380C40" w:rsidRDefault="00BD283C">
      <w:pPr>
        <w:pStyle w:val="Bezmezer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DOBA PLNĚNÍ A MOŽNOSTI UKONČENÍ SMLOUVY</w:t>
      </w:r>
    </w:p>
    <w:p w:rsidR="00380C40" w:rsidRDefault="00BD283C">
      <w:pPr>
        <w:pStyle w:val="Bezmez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8.1.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Tato smlouva se uzavírá na dobu určitou, po dobu realizace stavebních akcí, tj. od zahájení činností uvedených v čl. 3.2., do doby předání a převzetí dokončené stavby nebo její poslední části a vydání kolaudačního souhlasu na stavbu jako celek, nebo její poslední část; nebo do termínu uvedení stavby do předběžného zkušebního provozu. Doba trvání předmětu smlouvy je závislá na průběhu stavebních prací na stavbě.</w:t>
      </w:r>
    </w:p>
    <w:p w:rsidR="00380C40" w:rsidRDefault="00BD283C">
      <w:pPr>
        <w:pStyle w:val="Bezmezer"/>
      </w:pPr>
      <w:r>
        <w:rPr>
          <w:rFonts w:cs="Calibri"/>
          <w:sz w:val="20"/>
          <w:szCs w:val="20"/>
        </w:rPr>
        <w:t>8.2.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Obě smluvní strany mohou příkaz vypovědět, a to písemně, bez udání důvodů, nejdříve však k poslednímu dni měsíce následujícího po měsíci, v němž byla výpověď doručena. Za rozhodné datum se považuje účinné doručení druhé smluvní straně.</w:t>
      </w:r>
    </w:p>
    <w:p w:rsidR="00380C40" w:rsidRDefault="00380C40">
      <w:pPr>
        <w:pStyle w:val="Standard"/>
        <w:spacing w:after="204" w:line="249" w:lineRule="auto"/>
        <w:ind w:left="0" w:right="0" w:firstLine="0"/>
        <w:jc w:val="left"/>
      </w:pPr>
    </w:p>
    <w:p w:rsidR="00380C40" w:rsidRDefault="00BD283C">
      <w:pPr>
        <w:pStyle w:val="Bezmezer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ZÁVĚREČNÁ USTANOVENÍ</w:t>
      </w:r>
    </w:p>
    <w:p w:rsidR="00380C40" w:rsidRDefault="00380C40">
      <w:pPr>
        <w:pStyle w:val="Bezmezer"/>
        <w:rPr>
          <w:rFonts w:cs="Calibri"/>
          <w:sz w:val="20"/>
          <w:szCs w:val="20"/>
        </w:rPr>
      </w:pP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9.1. Smlouvu lze měnit pouze písemnými a vzestupně číslovanými dodatky vydanými ve stejném počtu vyhotovení jako tato smlouva a podepsanými oprávněnými zástupci obou smluvních stran.  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9.2. Tato smlouva je vyhotovena ve čtyřech vyhotoveních, přičemž příkazce obdrží 3 stejnopisy a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příkazník 1 stejnopis.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9.3. Tato smlouva je platná a účinná dnem podpisu té smluvní strany, která ji podepíše jako poslední.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9.4. Smluvní strany prohlašují, že si celou smlouvu přečetly a že s jejím obsahem souhlasí. Dále prohlašují, že smlouva byla sepsána na základě pravdivých údajů, z jejich pravé, svobodné a vážné vůle, což stvrzují vlastnoručním podpisem.</w:t>
      </w:r>
    </w:p>
    <w:p w:rsidR="00380C40" w:rsidRDefault="00BD283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9.5. Příkazník bere na vědomí, že příkazce na základě ustanovení §2 odst. 1 a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§4 zákona č. 106/1999 Sb. je subjektem povinným poskytovat na žádost třetí osoby informace, vztahující se k působnosti Magdaléna o.p.s. . Na základě výše uvedeného uděluje příkazník příkazci souhlas, aby veškeré informace obsažené v této smlouvě byly poskytnuty třetím osobám na jejich žádost kromě osobních dat příkazníka. Při porušení této dohody má příkazník právo požadovat náhradu újmy, která mu tím vznikla.</w:t>
      </w:r>
    </w:p>
    <w:p w:rsidR="00380C40" w:rsidRDefault="00380C40">
      <w:pPr>
        <w:pStyle w:val="Bezmezer"/>
        <w:rPr>
          <w:sz w:val="20"/>
          <w:szCs w:val="20"/>
        </w:rPr>
      </w:pPr>
    </w:p>
    <w:p w:rsidR="00380C40" w:rsidRDefault="00380C40">
      <w:pPr>
        <w:pStyle w:val="Standard"/>
        <w:spacing w:after="195" w:line="249" w:lineRule="auto"/>
        <w:ind w:left="0" w:right="0" w:firstLine="0"/>
        <w:jc w:val="left"/>
      </w:pPr>
    </w:p>
    <w:p w:rsidR="00380C40" w:rsidRDefault="00BD283C">
      <w:pPr>
        <w:pStyle w:val="Standard"/>
        <w:tabs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5668"/>
          <w:tab w:val="center" w:pos="7011"/>
        </w:tabs>
        <w:spacing w:after="173"/>
        <w:ind w:left="0" w:right="0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Příkazce: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Za Příkazníka:</w:t>
      </w:r>
    </w:p>
    <w:p w:rsidR="00380C40" w:rsidRDefault="00BD283C">
      <w:pPr>
        <w:pStyle w:val="Standard"/>
        <w:tabs>
          <w:tab w:val="center" w:pos="2126"/>
          <w:tab w:val="center" w:pos="2832"/>
          <w:tab w:val="center" w:pos="3542"/>
          <w:tab w:val="center" w:pos="4252"/>
          <w:tab w:val="center" w:pos="4957"/>
          <w:tab w:val="center" w:pos="5668"/>
          <w:tab w:val="center" w:pos="6951"/>
        </w:tabs>
        <w:spacing w:after="159"/>
        <w:ind w:left="0" w:righ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V Mníšek pod Brdy dne:</w:t>
      </w:r>
      <w:r w:rsidR="00314721">
        <w:rPr>
          <w:rFonts w:ascii="Calibri" w:hAnsi="Calibri" w:cs="Calibri"/>
          <w:sz w:val="20"/>
          <w:szCs w:val="20"/>
        </w:rPr>
        <w:t xml:space="preserve"> 30.3.2023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</w:t>
      </w: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V Srch dne:</w:t>
      </w:r>
      <w:r w:rsidR="00314721">
        <w:rPr>
          <w:rFonts w:ascii="Calibri" w:hAnsi="Calibri" w:cs="Calibri"/>
          <w:sz w:val="20"/>
          <w:szCs w:val="20"/>
        </w:rPr>
        <w:t xml:space="preserve"> </w:t>
      </w:r>
      <w:r w:rsidR="00314721">
        <w:rPr>
          <w:rFonts w:ascii="Calibri" w:hAnsi="Calibri" w:cs="Calibri"/>
          <w:sz w:val="20"/>
          <w:szCs w:val="20"/>
        </w:rPr>
        <w:t xml:space="preserve">30.3.2023  </w:t>
      </w:r>
    </w:p>
    <w:p w:rsidR="00380C40" w:rsidRDefault="00380C40">
      <w:pPr>
        <w:pStyle w:val="Standard"/>
        <w:spacing w:after="155" w:line="249" w:lineRule="auto"/>
        <w:ind w:left="0" w:right="0" w:firstLine="0"/>
        <w:jc w:val="center"/>
        <w:rPr>
          <w:rFonts w:ascii="Calibri" w:hAnsi="Calibri" w:cs="Calibri"/>
          <w:sz w:val="20"/>
          <w:szCs w:val="20"/>
        </w:rPr>
      </w:pPr>
    </w:p>
    <w:p w:rsidR="00380C40" w:rsidRDefault="00380C40">
      <w:pPr>
        <w:pStyle w:val="Standard"/>
        <w:spacing w:after="155" w:line="249" w:lineRule="auto"/>
        <w:ind w:left="0" w:right="0" w:firstLine="0"/>
        <w:jc w:val="center"/>
        <w:rPr>
          <w:rFonts w:ascii="Calibri" w:hAnsi="Calibri" w:cs="Calibri"/>
          <w:sz w:val="20"/>
          <w:szCs w:val="20"/>
        </w:rPr>
      </w:pPr>
    </w:p>
    <w:p w:rsidR="00380C40" w:rsidRDefault="00380C40">
      <w:pPr>
        <w:pStyle w:val="Standard"/>
        <w:spacing w:after="155" w:line="249" w:lineRule="auto"/>
        <w:ind w:left="0" w:right="0" w:firstLine="0"/>
        <w:jc w:val="center"/>
        <w:rPr>
          <w:rFonts w:ascii="Calibri" w:hAnsi="Calibri" w:cs="Calibri"/>
          <w:sz w:val="20"/>
          <w:szCs w:val="20"/>
        </w:rPr>
      </w:pPr>
    </w:p>
    <w:p w:rsidR="00380C40" w:rsidRDefault="00BD283C">
      <w:pPr>
        <w:pStyle w:val="Standard"/>
        <w:tabs>
          <w:tab w:val="center" w:pos="3542"/>
          <w:tab w:val="center" w:pos="4252"/>
          <w:tab w:val="center" w:pos="4957"/>
          <w:tab w:val="right" w:pos="9078"/>
        </w:tabs>
        <w:spacing w:after="194"/>
        <w:ind w:left="0" w:right="0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………………………………….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                   ……….……..…………………</w:t>
      </w:r>
    </w:p>
    <w:p w:rsidR="00380C40" w:rsidRDefault="00BD283C">
      <w:pPr>
        <w:pStyle w:val="Standard"/>
        <w:tabs>
          <w:tab w:val="center" w:pos="2832"/>
          <w:tab w:val="center" w:pos="3542"/>
          <w:tab w:val="center" w:pos="4252"/>
          <w:tab w:val="center" w:pos="4957"/>
          <w:tab w:val="center" w:pos="6790"/>
        </w:tabs>
        <w:spacing w:after="0"/>
        <w:ind w:left="0" w:right="0" w:firstLine="0"/>
        <w:jc w:val="center"/>
      </w:pPr>
      <w:r>
        <w:rPr>
          <w:rFonts w:ascii="Calibri" w:hAnsi="Calibri" w:cs="Calibri"/>
          <w:sz w:val="20"/>
          <w:szCs w:val="20"/>
        </w:rPr>
        <w:t xml:space="preserve">Mgr. Ondřej Sklenář, ředitel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                   Patrik Filip, jednatel</w:t>
      </w:r>
    </w:p>
    <w:sectPr w:rsidR="00380C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D1" w:rsidRDefault="00BD283C">
      <w:pPr>
        <w:spacing w:after="0" w:line="240" w:lineRule="auto"/>
      </w:pPr>
      <w:r>
        <w:separator/>
      </w:r>
    </w:p>
  </w:endnote>
  <w:endnote w:type="continuationSeparator" w:id="0">
    <w:p w:rsidR="004C7CD1" w:rsidRDefault="00BD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CE9" w:rsidRDefault="00BD283C">
    <w:pPr>
      <w:pStyle w:val="Standard"/>
      <w:spacing w:after="0" w:line="249" w:lineRule="auto"/>
      <w:ind w:left="0" w:right="184" w:firstLine="0"/>
      <w:jc w:val="right"/>
    </w:pPr>
    <w:r>
      <w:rPr>
        <w:rFonts w:ascii="Calibri" w:eastAsia="Calibri" w:hAnsi="Calibri" w:cs="Calibri"/>
        <w:noProof/>
      </w:rPr>
      <w:drawing>
        <wp:inline distT="0" distB="0" distL="0" distR="0">
          <wp:extent cx="5428079" cy="48243"/>
          <wp:effectExtent l="0" t="0" r="1171" b="8907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8079" cy="48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55CE9" w:rsidRDefault="00BD283C">
    <w:pPr>
      <w:pStyle w:val="Standard"/>
      <w:spacing w:after="0" w:line="249" w:lineRule="auto"/>
      <w:ind w:left="0" w:right="2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D55CE9" w:rsidRDefault="00BD283C">
    <w:pPr>
      <w:pStyle w:val="Standard"/>
      <w:spacing w:after="0" w:line="249" w:lineRule="auto"/>
      <w:ind w:left="0" w:right="0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CE9" w:rsidRDefault="00BD283C">
    <w:pPr>
      <w:pStyle w:val="Standard"/>
      <w:spacing w:after="0" w:line="249" w:lineRule="auto"/>
      <w:ind w:left="0" w:right="184" w:firstLine="0"/>
      <w:jc w:val="right"/>
    </w:pPr>
    <w:r>
      <w:rPr>
        <w:noProof/>
      </w:rPr>
      <w:drawing>
        <wp:inline distT="0" distB="0" distL="0" distR="0">
          <wp:extent cx="5428079" cy="48243"/>
          <wp:effectExtent l="0" t="0" r="1171" b="8907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8079" cy="48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55CE9" w:rsidRDefault="00BD283C">
    <w:pPr>
      <w:pStyle w:val="Standard"/>
      <w:spacing w:after="0" w:line="249" w:lineRule="auto"/>
      <w:ind w:left="0" w:right="2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D55CE9" w:rsidRDefault="00BD283C">
    <w:pPr>
      <w:pStyle w:val="Standard"/>
      <w:spacing w:after="0" w:line="249" w:lineRule="auto"/>
      <w:ind w:left="0" w:right="0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D1" w:rsidRDefault="00BD2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7CD1" w:rsidRDefault="00BD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CE9" w:rsidRDefault="00314721">
    <w:pPr>
      <w:pStyle w:val="Standard"/>
      <w:spacing w:after="0" w:line="249" w:lineRule="auto"/>
      <w:ind w:left="0" w:right="0" w:firstLine="0"/>
      <w:jc w:val="left"/>
    </w:pPr>
  </w:p>
  <w:p w:rsidR="00D55CE9" w:rsidRDefault="00BD283C">
    <w:pPr>
      <w:pStyle w:val="Standard"/>
      <w:spacing w:after="0" w:line="249" w:lineRule="auto"/>
      <w:ind w:left="0" w:right="0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CE9" w:rsidRDefault="00314721">
    <w:pPr>
      <w:pStyle w:val="Standard"/>
      <w:spacing w:after="0" w:line="249" w:lineRule="auto"/>
      <w:ind w:left="0" w:right="0" w:firstLine="0"/>
      <w:jc w:val="left"/>
    </w:pPr>
  </w:p>
  <w:p w:rsidR="00D55CE9" w:rsidRDefault="00BD283C">
    <w:pPr>
      <w:pStyle w:val="Standard"/>
      <w:spacing w:after="0" w:line="249" w:lineRule="auto"/>
      <w:ind w:left="0" w:right="0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307B"/>
    <w:multiLevelType w:val="multilevel"/>
    <w:tmpl w:val="2A7E6D20"/>
    <w:styleLink w:val="WWNum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7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68955A1D"/>
    <w:multiLevelType w:val="multilevel"/>
    <w:tmpl w:val="88FC9CC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D350CE"/>
    <w:multiLevelType w:val="multilevel"/>
    <w:tmpl w:val="4C14F008"/>
    <w:styleLink w:val="WWNum1"/>
    <w:lvl w:ilvl="0">
      <w:start w:val="1"/>
      <w:numFmt w:val="lowerLetter"/>
      <w:lvlText w:val="%1)"/>
      <w:lvlJc w:val="left"/>
      <w:pPr>
        <w:ind w:left="108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52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24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96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68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40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12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841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40"/>
    <w:rsid w:val="00314721"/>
    <w:rsid w:val="00380C40"/>
    <w:rsid w:val="004C7CD1"/>
    <w:rsid w:val="005E6E58"/>
    <w:rsid w:val="008E3560"/>
    <w:rsid w:val="00BD283C"/>
    <w:rsid w:val="00BF554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2BF7"/>
  <w15:docId w15:val="{886DE11A-C4BD-4ADC-AD3E-CA4026B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keepLines/>
      <w:spacing w:before="0" w:after="0"/>
      <w:ind w:left="10" w:right="7" w:firstLine="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9" w:line="264" w:lineRule="auto"/>
      <w:ind w:left="1461" w:right="139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6280"/>
        <w:tab w:val="right" w:pos="11099"/>
      </w:tabs>
    </w:pPr>
  </w:style>
  <w:style w:type="paragraph" w:styleId="Zpat">
    <w:name w:val="footer"/>
    <w:basedOn w:val="Standard"/>
    <w:pPr>
      <w:suppressLineNumbers/>
      <w:tabs>
        <w:tab w:val="center" w:pos="6280"/>
        <w:tab w:val="right" w:pos="11099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paragraph" w:styleId="Bezmezer">
    <w:name w:val="No Spacing"/>
    <w:pPr>
      <w:suppressAutoHyphens/>
      <w:spacing w:after="0" w:line="240" w:lineRule="auto"/>
    </w:p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Martina JOCOVOVÁ</cp:lastModifiedBy>
  <cp:revision>5</cp:revision>
  <dcterms:created xsi:type="dcterms:W3CDTF">2023-05-10T11:11:00Z</dcterms:created>
  <dcterms:modified xsi:type="dcterms:W3CDTF">2023-05-10T12:15:00Z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