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0D24" w14:textId="377C6EEC" w:rsidR="00CD0E3B" w:rsidRDefault="002C2562" w:rsidP="008531C9">
      <w:pPr>
        <w:pStyle w:val="Title"/>
        <w:spacing w:before="240" w:after="360" w:line="276" w:lineRule="auto"/>
        <w:jc w:val="both"/>
        <w:rPr>
          <w:sz w:val="44"/>
          <w:szCs w:val="44"/>
        </w:rPr>
      </w:pPr>
      <w:r w:rsidRPr="0088439D">
        <w:rPr>
          <w:sz w:val="44"/>
          <w:szCs w:val="44"/>
        </w:rPr>
        <w:t>Příloha č</w:t>
      </w:r>
      <w:r w:rsidR="00CB4475">
        <w:rPr>
          <w:sz w:val="44"/>
          <w:szCs w:val="44"/>
        </w:rPr>
        <w:t>.2</w:t>
      </w:r>
      <w:r w:rsidRPr="0088439D">
        <w:rPr>
          <w:sz w:val="44"/>
          <w:szCs w:val="44"/>
        </w:rPr>
        <w:t xml:space="preserve"> </w:t>
      </w:r>
      <w:r w:rsidR="00CD0E3B">
        <w:rPr>
          <w:sz w:val="44"/>
          <w:szCs w:val="44"/>
        </w:rPr>
        <w:t>– smlouva o dílo – LMS</w:t>
      </w:r>
    </w:p>
    <w:p w14:paraId="1495B56C" w14:textId="6BE13E34" w:rsidR="00F64279" w:rsidRPr="0088439D" w:rsidRDefault="00196402" w:rsidP="008531C9">
      <w:pPr>
        <w:pStyle w:val="Title"/>
        <w:spacing w:before="240" w:after="360" w:line="276" w:lineRule="auto"/>
        <w:jc w:val="both"/>
        <w:rPr>
          <w:sz w:val="44"/>
          <w:szCs w:val="44"/>
        </w:rPr>
      </w:pPr>
      <w:r>
        <w:rPr>
          <w:sz w:val="44"/>
          <w:szCs w:val="44"/>
        </w:rPr>
        <w:t>Požadavky na uživatelskou podporu a servisní podmínky</w:t>
      </w:r>
    </w:p>
    <w:p w14:paraId="692E178B" w14:textId="0D5BFA62" w:rsidR="002E7A91" w:rsidRDefault="00196402" w:rsidP="000D6D54">
      <w:pPr>
        <w:pStyle w:val="Heading1"/>
        <w:spacing w:line="276" w:lineRule="auto"/>
      </w:pPr>
      <w:r>
        <w:t>Servisní podmínky a uživatelská podpora</w:t>
      </w:r>
    </w:p>
    <w:p w14:paraId="5238F49F" w14:textId="1B064881" w:rsidR="003D4F27" w:rsidRPr="003D4F27" w:rsidRDefault="003D4F27" w:rsidP="000D6D54">
      <w:pPr>
        <w:pStyle w:val="Heading2"/>
        <w:spacing w:line="276" w:lineRule="auto"/>
      </w:pPr>
      <w:r>
        <w:t xml:space="preserve">Služby poskytované v rámci </w:t>
      </w:r>
      <w:r w:rsidR="009236EF">
        <w:t>uživatelské a servisní podpory</w:t>
      </w:r>
    </w:p>
    <w:p w14:paraId="6F7E11EF" w14:textId="7FE85C62" w:rsidR="00196402" w:rsidRDefault="00D3224A" w:rsidP="000D6D54">
      <w:pPr>
        <w:spacing w:line="276" w:lineRule="auto"/>
      </w:pPr>
      <w:r>
        <w:t xml:space="preserve">Dodavatel </w:t>
      </w:r>
      <w:r w:rsidR="00503232">
        <w:t xml:space="preserve">po dobu jednoho roku od akceptace Díla zajistí </w:t>
      </w:r>
      <w:r w:rsidR="00A6105C">
        <w:t>podporu s těmito parametry:</w:t>
      </w:r>
    </w:p>
    <w:p w14:paraId="5E828545" w14:textId="77777777" w:rsidR="000760EB" w:rsidRDefault="000760EB" w:rsidP="000D6D54">
      <w:pPr>
        <w:pStyle w:val="ListParagraph"/>
        <w:numPr>
          <w:ilvl w:val="0"/>
          <w:numId w:val="14"/>
        </w:numPr>
        <w:spacing w:line="276" w:lineRule="auto"/>
      </w:pPr>
      <w:r>
        <w:t xml:space="preserve">čtvrtletní aktualizace LMS systému dle nových </w:t>
      </w:r>
      <w:proofErr w:type="spellStart"/>
      <w:r>
        <w:t>release</w:t>
      </w:r>
      <w:proofErr w:type="spellEnd"/>
      <w:r>
        <w:t>;</w:t>
      </w:r>
    </w:p>
    <w:p w14:paraId="503FA173" w14:textId="77777777" w:rsidR="000760EB" w:rsidRDefault="000760EB" w:rsidP="000D6D54">
      <w:pPr>
        <w:pStyle w:val="ListParagraph"/>
        <w:numPr>
          <w:ilvl w:val="0"/>
          <w:numId w:val="14"/>
        </w:numPr>
        <w:spacing w:line="276" w:lineRule="auto"/>
      </w:pPr>
      <w:r>
        <w:t xml:space="preserve">správa a údržba zdrojových kódů systému, zajištění udržitelnosti a kompatibility s novými </w:t>
      </w:r>
      <w:proofErr w:type="spellStart"/>
      <w:r>
        <w:t>release</w:t>
      </w:r>
      <w:proofErr w:type="spellEnd"/>
      <w:r>
        <w:t>;</w:t>
      </w:r>
    </w:p>
    <w:p w14:paraId="34219C82" w14:textId="77777777" w:rsidR="000760EB" w:rsidRDefault="000760EB" w:rsidP="000D6D54">
      <w:pPr>
        <w:pStyle w:val="ListParagraph"/>
        <w:numPr>
          <w:ilvl w:val="0"/>
          <w:numId w:val="14"/>
        </w:numPr>
        <w:spacing w:line="276" w:lineRule="auto"/>
      </w:pPr>
      <w:r>
        <w:t>identifikace výkonnostních problémů a optimalizace;</w:t>
      </w:r>
    </w:p>
    <w:p w14:paraId="2C6E2CB9" w14:textId="41D60C82" w:rsidR="00A6105C" w:rsidRDefault="000760EB" w:rsidP="000D6D54">
      <w:pPr>
        <w:pStyle w:val="ListParagraph"/>
        <w:numPr>
          <w:ilvl w:val="0"/>
          <w:numId w:val="14"/>
        </w:numPr>
        <w:spacing w:line="276" w:lineRule="auto"/>
      </w:pPr>
      <w:r>
        <w:t>zajištění a provoz HelpDesk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>) systému Dodavatele (</w:t>
      </w:r>
      <w:proofErr w:type="spellStart"/>
      <w:r>
        <w:t>SPoC</w:t>
      </w:r>
      <w:proofErr w:type="spellEnd"/>
      <w:r>
        <w:t>).</w:t>
      </w:r>
    </w:p>
    <w:p w14:paraId="6EBF2630" w14:textId="689AC04E" w:rsidR="000760EB" w:rsidRDefault="00A128C9" w:rsidP="000D6D54">
      <w:pPr>
        <w:pStyle w:val="Heading2"/>
        <w:spacing w:line="276" w:lineRule="auto"/>
      </w:pPr>
      <w:r>
        <w:t>HelpDesk</w:t>
      </w:r>
    </w:p>
    <w:p w14:paraId="2E61D4A1" w14:textId="061F69C3" w:rsidR="005770EA" w:rsidRDefault="00A128C9" w:rsidP="000D6D54">
      <w:pPr>
        <w:spacing w:line="276" w:lineRule="auto"/>
      </w:pPr>
      <w:r>
        <w:t xml:space="preserve">Dodavatel </w:t>
      </w:r>
      <w:r w:rsidR="005770EA" w:rsidRPr="00F56460">
        <w:t xml:space="preserve">poskytne služby Help Desku, tj. </w:t>
      </w:r>
      <w:r w:rsidR="005770EA" w:rsidRPr="00F56460">
        <w:rPr>
          <w:b/>
          <w:bCs/>
        </w:rPr>
        <w:t xml:space="preserve">Single Point </w:t>
      </w:r>
      <w:proofErr w:type="spellStart"/>
      <w:r w:rsidR="005770EA" w:rsidRPr="00F56460">
        <w:rPr>
          <w:b/>
          <w:bCs/>
        </w:rPr>
        <w:t>of</w:t>
      </w:r>
      <w:proofErr w:type="spellEnd"/>
      <w:r w:rsidR="005770EA" w:rsidRPr="00F56460">
        <w:rPr>
          <w:b/>
          <w:bCs/>
        </w:rPr>
        <w:t xml:space="preserve"> </w:t>
      </w:r>
      <w:proofErr w:type="spellStart"/>
      <w:r w:rsidR="005770EA" w:rsidRPr="00F56460">
        <w:rPr>
          <w:b/>
          <w:bCs/>
        </w:rPr>
        <w:t>Contact</w:t>
      </w:r>
      <w:proofErr w:type="spellEnd"/>
      <w:r w:rsidR="005770EA" w:rsidRPr="00F56460">
        <w:t>“ (</w:t>
      </w:r>
      <w:proofErr w:type="spellStart"/>
      <w:r w:rsidR="005770EA" w:rsidRPr="00F56460">
        <w:t>SPoC</w:t>
      </w:r>
      <w:proofErr w:type="spellEnd"/>
      <w:r w:rsidR="005770EA" w:rsidRPr="00F56460">
        <w:t xml:space="preserve">) pro technickou podporu LMS </w:t>
      </w:r>
      <w:proofErr w:type="spellStart"/>
      <w:r w:rsidR="005770EA" w:rsidRPr="00F56460">
        <w:t>Moodle</w:t>
      </w:r>
      <w:proofErr w:type="spellEnd"/>
      <w:r w:rsidR="005770EA" w:rsidRPr="00F56460">
        <w:t xml:space="preserve"> (</w:t>
      </w:r>
      <w:r w:rsidR="005770EA" w:rsidRPr="00F56460">
        <w:rPr>
          <w:b/>
          <w:bCs/>
        </w:rPr>
        <w:t>3rd level support</w:t>
      </w:r>
      <w:r w:rsidR="005770EA" w:rsidRPr="00F56460">
        <w:t xml:space="preserve"> pro oprávněné uživatele </w:t>
      </w:r>
      <w:r w:rsidR="005770EA">
        <w:t>CzechTourism</w:t>
      </w:r>
      <w:r w:rsidR="005770EA" w:rsidRPr="00F56460">
        <w:t>) a spravuje servisní požadavky oprávněných uživatelů.</w:t>
      </w:r>
    </w:p>
    <w:p w14:paraId="7E620163" w14:textId="0A9EE1D1" w:rsidR="00AA6690" w:rsidRDefault="00AA6690" w:rsidP="000D6D54">
      <w:pPr>
        <w:spacing w:line="276" w:lineRule="auto"/>
        <w:rPr>
          <w:b/>
          <w:bCs/>
        </w:rPr>
      </w:pPr>
      <w:r>
        <w:rPr>
          <w:b/>
          <w:bCs/>
        </w:rPr>
        <w:t>Servisní požadavky se člení na:</w:t>
      </w:r>
    </w:p>
    <w:p w14:paraId="39EA8F80" w14:textId="3AB772A9" w:rsidR="00AA6690" w:rsidRDefault="00AA6690" w:rsidP="000D6D54">
      <w:pPr>
        <w:pStyle w:val="ListParagraph"/>
        <w:numPr>
          <w:ilvl w:val="0"/>
          <w:numId w:val="15"/>
        </w:numPr>
        <w:spacing w:line="276" w:lineRule="auto"/>
        <w:rPr>
          <w:b/>
          <w:bCs/>
        </w:rPr>
      </w:pPr>
      <w:r>
        <w:rPr>
          <w:b/>
          <w:bCs/>
        </w:rPr>
        <w:t>Incidenty (Incident Management)</w:t>
      </w:r>
    </w:p>
    <w:p w14:paraId="3B335AB1" w14:textId="35146E31" w:rsidR="00AA6690" w:rsidRDefault="00AA6690" w:rsidP="000D6D54">
      <w:pPr>
        <w:pStyle w:val="ListParagraph"/>
        <w:numPr>
          <w:ilvl w:val="0"/>
          <w:numId w:val="15"/>
        </w:numPr>
        <w:spacing w:line="276" w:lineRule="auto"/>
        <w:rPr>
          <w:b/>
          <w:bCs/>
        </w:rPr>
      </w:pPr>
      <w:r>
        <w:rPr>
          <w:b/>
          <w:bCs/>
        </w:rPr>
        <w:t>Požadavek na změnu (</w:t>
      </w:r>
      <w:proofErr w:type="spellStart"/>
      <w:r>
        <w:rPr>
          <w:b/>
          <w:bCs/>
        </w:rPr>
        <w:t>Change</w:t>
      </w:r>
      <w:proofErr w:type="spellEnd"/>
      <w:r>
        <w:rPr>
          <w:b/>
          <w:bCs/>
        </w:rPr>
        <w:t xml:space="preserve"> Management)</w:t>
      </w:r>
    </w:p>
    <w:p w14:paraId="18CB12A0" w14:textId="6D43832C" w:rsidR="009A0B5E" w:rsidRDefault="009A0B5E" w:rsidP="000D6D54">
      <w:pPr>
        <w:spacing w:line="276" w:lineRule="auto"/>
      </w:pPr>
      <w:r>
        <w:t>Oprávněný uživatel</w:t>
      </w:r>
      <w:r w:rsidRPr="004849DB">
        <w:t xml:space="preserve"> nahlásí incident, </w:t>
      </w:r>
      <w:r>
        <w:t xml:space="preserve">problém, nebo </w:t>
      </w:r>
      <w:r w:rsidRPr="004849DB">
        <w:t xml:space="preserve">požadavek za změnu prostřednictvím informačního systému </w:t>
      </w:r>
      <w:r>
        <w:t>PDC</w:t>
      </w:r>
      <w:r w:rsidRPr="004849DB">
        <w:t>, který je přístupný non-stop (dále jen „</w:t>
      </w:r>
      <w:proofErr w:type="spellStart"/>
      <w:r w:rsidRPr="004849DB">
        <w:t>Service</w:t>
      </w:r>
      <w:proofErr w:type="spellEnd"/>
      <w:r w:rsidRPr="004849DB">
        <w:t xml:space="preserve"> </w:t>
      </w:r>
      <w:proofErr w:type="spellStart"/>
      <w:r w:rsidRPr="004849DB">
        <w:t>desk</w:t>
      </w:r>
      <w:proofErr w:type="spellEnd"/>
      <w:r w:rsidRPr="004849DB">
        <w:t>“).</w:t>
      </w:r>
    </w:p>
    <w:p w14:paraId="56DFD69A" w14:textId="36AE661A" w:rsidR="00B824F3" w:rsidRDefault="00B824F3" w:rsidP="000D6D54">
      <w:pPr>
        <w:spacing w:line="276" w:lineRule="auto"/>
      </w:pPr>
      <w:r w:rsidRPr="00F56460">
        <w:t xml:space="preserve">Obsluha </w:t>
      </w:r>
      <w:proofErr w:type="spellStart"/>
      <w:r w:rsidRPr="00F56460">
        <w:t>Service</w:t>
      </w:r>
      <w:proofErr w:type="spellEnd"/>
      <w:r w:rsidRPr="00F56460">
        <w:t xml:space="preserve"> </w:t>
      </w:r>
      <w:proofErr w:type="spellStart"/>
      <w:r w:rsidRPr="00F56460">
        <w:t>Desk</w:t>
      </w:r>
      <w:proofErr w:type="spellEnd"/>
      <w:r w:rsidRPr="00F56460">
        <w:t xml:space="preserve"> bude poskytována v Servisní době. Servisní dobou jsou Pracovní dny českého kalendáře v době od 8:00 – 16:00 hod. CET.</w:t>
      </w:r>
    </w:p>
    <w:p w14:paraId="6438AC88" w14:textId="1025855C" w:rsidR="00B824F3" w:rsidRPr="004849DB" w:rsidRDefault="00B824F3" w:rsidP="000D6D54">
      <w:pPr>
        <w:spacing w:line="276" w:lineRule="auto"/>
      </w:pPr>
      <w:r>
        <w:t>Dodavatel</w:t>
      </w:r>
      <w:r w:rsidRPr="004849DB">
        <w:t xml:space="preserve"> má právo si na základě nahlášení incidentu</w:t>
      </w:r>
      <w:r>
        <w:t>, problému</w:t>
      </w:r>
      <w:r w:rsidRPr="004849DB">
        <w:t xml:space="preserve"> nebo požadavku vyžádat po Objednateli bližší specifikaci incidentu nebo požadavku</w:t>
      </w:r>
      <w:r>
        <w:t>, zejména pak přesnou identifikaci uživatele, kurzu a detailní popis problému, případě URL adresu</w:t>
      </w:r>
      <w:r w:rsidRPr="004849DB">
        <w:t>. Tato činnost je již považována za zahájení činnosti (reakci).</w:t>
      </w:r>
    </w:p>
    <w:p w14:paraId="315B7E1F" w14:textId="62B2C015" w:rsidR="00B824F3" w:rsidRDefault="0084588F" w:rsidP="000D6D54">
      <w:pPr>
        <w:pStyle w:val="Heading2"/>
        <w:spacing w:line="276" w:lineRule="auto"/>
      </w:pPr>
      <w:r>
        <w:t>Služby provozní podpory</w:t>
      </w:r>
    </w:p>
    <w:p w14:paraId="07C41A8B" w14:textId="792E2F93" w:rsidR="0084588F" w:rsidRDefault="006C55CC" w:rsidP="000D6D54">
      <w:pPr>
        <w:spacing w:line="276" w:lineRule="auto"/>
      </w:pPr>
      <w:r>
        <w:t>Incidenty kategorie vada/chyba jsou v</w:t>
      </w:r>
      <w:r w:rsidR="00F82C96">
        <w:t> záruční době a v rámci servisní podpory odstraňovány bezplatně.</w:t>
      </w:r>
    </w:p>
    <w:p w14:paraId="5AC49273" w14:textId="0D8ACE96" w:rsidR="00F82C96" w:rsidRPr="0084588F" w:rsidRDefault="00F82C96" w:rsidP="000D6D54">
      <w:pPr>
        <w:pStyle w:val="Heading3"/>
        <w:spacing w:line="276" w:lineRule="auto"/>
      </w:pPr>
      <w:r>
        <w:t>Incident Management</w:t>
      </w:r>
    </w:p>
    <w:p w14:paraId="60612802" w14:textId="67204EE9" w:rsidR="00555F49" w:rsidRPr="00555F49" w:rsidRDefault="00555F49" w:rsidP="000D6D54">
      <w:pPr>
        <w:spacing w:line="276" w:lineRule="auto"/>
      </w:pPr>
      <w:r w:rsidRPr="00555F49">
        <w:t>Cílem incident managementu je reakce a zajištění oprav reportovaných incidentů v LMS.</w:t>
      </w:r>
    </w:p>
    <w:p w14:paraId="0A48CFC3" w14:textId="77777777" w:rsidR="00555F49" w:rsidRPr="00555F49" w:rsidRDefault="00555F49" w:rsidP="000D6D54">
      <w:pPr>
        <w:numPr>
          <w:ilvl w:val="0"/>
          <w:numId w:val="17"/>
        </w:numPr>
        <w:spacing w:line="276" w:lineRule="auto"/>
      </w:pPr>
      <w:r w:rsidRPr="00555F49">
        <w:t>Příjem a správa incidentů.</w:t>
      </w:r>
    </w:p>
    <w:p w14:paraId="2657290F" w14:textId="77777777" w:rsidR="00555F49" w:rsidRPr="00555F49" w:rsidRDefault="00555F49" w:rsidP="000D6D54">
      <w:pPr>
        <w:numPr>
          <w:ilvl w:val="0"/>
          <w:numId w:val="17"/>
        </w:numPr>
        <w:spacing w:line="276" w:lineRule="auto"/>
      </w:pPr>
      <w:r w:rsidRPr="00555F49">
        <w:t>Analýza incidentů.</w:t>
      </w:r>
    </w:p>
    <w:p w14:paraId="78CEE748" w14:textId="77777777" w:rsidR="00555F49" w:rsidRPr="00555F49" w:rsidRDefault="00555F49" w:rsidP="000D6D54">
      <w:pPr>
        <w:numPr>
          <w:ilvl w:val="0"/>
          <w:numId w:val="17"/>
        </w:numPr>
        <w:spacing w:line="276" w:lineRule="auto"/>
      </w:pPr>
      <w:r w:rsidRPr="00555F49">
        <w:t>Poskytování krátkodobých alternativních řešení (</w:t>
      </w:r>
      <w:proofErr w:type="spellStart"/>
      <w:r w:rsidRPr="00555F49">
        <w:t>Workarounds</w:t>
      </w:r>
      <w:proofErr w:type="spellEnd"/>
      <w:r w:rsidRPr="00555F49">
        <w:t>) na eliminaci incidentů.</w:t>
      </w:r>
    </w:p>
    <w:p w14:paraId="348BB642" w14:textId="77777777" w:rsidR="00555F49" w:rsidRPr="00555F49" w:rsidRDefault="00555F49" w:rsidP="000D6D54">
      <w:pPr>
        <w:numPr>
          <w:ilvl w:val="0"/>
          <w:numId w:val="17"/>
        </w:numPr>
        <w:spacing w:line="276" w:lineRule="auto"/>
      </w:pPr>
      <w:r w:rsidRPr="00555F49">
        <w:lastRenderedPageBreak/>
        <w:t xml:space="preserve">Implementace oprav LMS (Software </w:t>
      </w:r>
      <w:proofErr w:type="spellStart"/>
      <w:r w:rsidRPr="00555F49">
        <w:t>Patches</w:t>
      </w:r>
      <w:proofErr w:type="spellEnd"/>
      <w:r w:rsidRPr="00555F49">
        <w:t>).</w:t>
      </w:r>
    </w:p>
    <w:p w14:paraId="6EDBDA9D" w14:textId="77777777" w:rsidR="00555F49" w:rsidRPr="00555F49" w:rsidRDefault="00555F49" w:rsidP="000D6D54">
      <w:pPr>
        <w:numPr>
          <w:ilvl w:val="0"/>
          <w:numId w:val="17"/>
        </w:numPr>
        <w:spacing w:line="276" w:lineRule="auto"/>
      </w:pPr>
      <w:r w:rsidRPr="00555F49">
        <w:t>Podávání zpráv o pokroku a řešení provozních problémů.</w:t>
      </w:r>
    </w:p>
    <w:p w14:paraId="035EB4AC" w14:textId="4CC50286" w:rsidR="00555F49" w:rsidRPr="00555F49" w:rsidRDefault="00555F49" w:rsidP="000D6D54">
      <w:pPr>
        <w:spacing w:line="276" w:lineRule="auto"/>
      </w:pPr>
      <w:r>
        <w:t>Dodavatel</w:t>
      </w:r>
      <w:r w:rsidRPr="00555F49">
        <w:t xml:space="preserve"> má právo si na základě nahlášení incidentu, problému nebo požadavku vyžádat po Objednateli bližší specifikaci incidentu nebo požadavku, zejména pak přesnou identifikaci uživatele, kurzu a detailní popis problému, případě URL adresu. Tato činnost je již považována za zahájení činnosti (reakci).</w:t>
      </w:r>
    </w:p>
    <w:p w14:paraId="7A043765" w14:textId="633DF4E8" w:rsidR="00D22147" w:rsidRPr="00D22147" w:rsidRDefault="00D22147" w:rsidP="000D6D54">
      <w:pPr>
        <w:spacing w:line="276" w:lineRule="auto"/>
        <w:rPr>
          <w:b/>
        </w:rPr>
      </w:pPr>
      <w:r w:rsidRPr="00D22147">
        <w:rPr>
          <w:b/>
        </w:rPr>
        <w:t>Kategorie incidentů:</w:t>
      </w:r>
    </w:p>
    <w:p w14:paraId="12BFBE90" w14:textId="44A34C2A" w:rsidR="00D22147" w:rsidRPr="00D22147" w:rsidRDefault="00D22147" w:rsidP="000D6D54">
      <w:pPr>
        <w:spacing w:line="276" w:lineRule="auto"/>
      </w:pPr>
      <w:r w:rsidRPr="00D22147">
        <w:t>V následující tabulce jsou definovány kategorie incidentů.</w:t>
      </w:r>
    </w:p>
    <w:tbl>
      <w:tblPr>
        <w:tblW w:w="94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7958"/>
      </w:tblGrid>
      <w:tr w:rsidR="00D22147" w:rsidRPr="00D22147" w14:paraId="149504BA" w14:textId="77777777" w:rsidTr="000D6D54">
        <w:tc>
          <w:tcPr>
            <w:tcW w:w="1447" w:type="dxa"/>
            <w:shd w:val="clear" w:color="auto" w:fill="3366FF"/>
          </w:tcPr>
          <w:p w14:paraId="60FE664A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Kategorie</w:t>
            </w:r>
          </w:p>
        </w:tc>
        <w:tc>
          <w:tcPr>
            <w:tcW w:w="7958" w:type="dxa"/>
            <w:shd w:val="clear" w:color="auto" w:fill="3366FF"/>
          </w:tcPr>
          <w:p w14:paraId="1AA705C5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Popis</w:t>
            </w:r>
          </w:p>
        </w:tc>
      </w:tr>
      <w:tr w:rsidR="00D22147" w:rsidRPr="00D22147" w14:paraId="0DD5C76C" w14:textId="77777777" w:rsidTr="000D6D54">
        <w:tc>
          <w:tcPr>
            <w:tcW w:w="1447" w:type="dxa"/>
          </w:tcPr>
          <w:p w14:paraId="33E302DA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A</w:t>
            </w:r>
          </w:p>
        </w:tc>
        <w:tc>
          <w:tcPr>
            <w:tcW w:w="7958" w:type="dxa"/>
          </w:tcPr>
          <w:p w14:paraId="26F13046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Situace, kdy systém nebo část systému je zcela nefunkční, neumožňuje práci uživatelů s dílem. </w:t>
            </w:r>
          </w:p>
        </w:tc>
      </w:tr>
      <w:tr w:rsidR="00D22147" w:rsidRPr="00D22147" w14:paraId="1F7FA85B" w14:textId="77777777" w:rsidTr="000D6D54">
        <w:tc>
          <w:tcPr>
            <w:tcW w:w="1447" w:type="dxa"/>
          </w:tcPr>
          <w:p w14:paraId="5D50337A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B</w:t>
            </w:r>
          </w:p>
        </w:tc>
        <w:tc>
          <w:tcPr>
            <w:tcW w:w="7958" w:type="dxa"/>
          </w:tcPr>
          <w:p w14:paraId="68D3C6D4" w14:textId="77777777" w:rsidR="00D22147" w:rsidRPr="00D22147" w:rsidRDefault="00D22147" w:rsidP="000D6D54">
            <w:pPr>
              <w:spacing w:line="276" w:lineRule="auto"/>
            </w:pPr>
            <w:r w:rsidRPr="00D22147">
              <w:t>Situace, kdy systém nebo část systému je částečně funkční, umožňuje částečné poskytování služeb, po přechodnou dobu se sníženým komfortem uživatelů, případně provizorním způsobem z důvodů na straně díla nebo jeho části, na niž je Dodavatel povinen poskytovat servisní služby.</w:t>
            </w:r>
          </w:p>
        </w:tc>
      </w:tr>
      <w:tr w:rsidR="00D22147" w:rsidRPr="00D22147" w14:paraId="309E0E4B" w14:textId="77777777" w:rsidTr="000D6D54">
        <w:tc>
          <w:tcPr>
            <w:tcW w:w="1447" w:type="dxa"/>
          </w:tcPr>
          <w:p w14:paraId="7F6A6FC4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C</w:t>
            </w:r>
          </w:p>
        </w:tc>
        <w:tc>
          <w:tcPr>
            <w:tcW w:w="7958" w:type="dxa"/>
          </w:tcPr>
          <w:p w14:paraId="314EA1B3" w14:textId="77777777" w:rsidR="00D22147" w:rsidRPr="00D22147" w:rsidRDefault="00D22147" w:rsidP="000D6D54">
            <w:pPr>
              <w:spacing w:line="276" w:lineRule="auto"/>
            </w:pPr>
            <w:r w:rsidRPr="00D22147">
              <w:t>Nedostatky a vady drobného rozsahu, které nebrání užívání Systému nebo jeho části, nicméně nejsou v souladu s technickým stavem Systému dle smlouvy o dílo.</w:t>
            </w:r>
          </w:p>
        </w:tc>
      </w:tr>
    </w:tbl>
    <w:p w14:paraId="3A972AEA" w14:textId="77777777" w:rsidR="00D22147" w:rsidRPr="00D22147" w:rsidRDefault="00D22147" w:rsidP="000D6D54">
      <w:pPr>
        <w:spacing w:line="276" w:lineRule="auto"/>
      </w:pPr>
    </w:p>
    <w:p w14:paraId="6F68080C" w14:textId="77777777" w:rsidR="00D22147" w:rsidRDefault="00D22147" w:rsidP="000D6D54">
      <w:pPr>
        <w:spacing w:line="276" w:lineRule="auto"/>
      </w:pPr>
      <w:r w:rsidRPr="00D22147">
        <w:t>V následující tabulce jsou definovány Reakční doby a Doby vyřešení dle jednotlivých kategorií incidentů.</w:t>
      </w:r>
    </w:p>
    <w:p w14:paraId="466B91F5" w14:textId="1EE53072" w:rsidR="00D22147" w:rsidRPr="00D22147" w:rsidRDefault="00D22147" w:rsidP="000D6D54">
      <w:pPr>
        <w:spacing w:line="276" w:lineRule="auto"/>
      </w:pPr>
      <w:r w:rsidRPr="00D22147">
        <w:rPr>
          <w:b/>
        </w:rPr>
        <w:t>Úroveň servisních služeb Technické podpory v řešení Incidentů:</w:t>
      </w:r>
    </w:p>
    <w:tbl>
      <w:tblPr>
        <w:tblW w:w="98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1200"/>
        <w:gridCol w:w="1704"/>
        <w:gridCol w:w="1081"/>
        <w:gridCol w:w="1509"/>
        <w:gridCol w:w="1137"/>
        <w:gridCol w:w="1698"/>
      </w:tblGrid>
      <w:tr w:rsidR="00D22147" w:rsidRPr="00D22147" w14:paraId="23403EA2" w14:textId="77777777" w:rsidTr="006321AC">
        <w:trPr>
          <w:trHeight w:val="331"/>
        </w:trPr>
        <w:tc>
          <w:tcPr>
            <w:tcW w:w="1478" w:type="dxa"/>
            <w:vMerge w:val="restart"/>
            <w:shd w:val="clear" w:color="auto" w:fill="3366FF"/>
          </w:tcPr>
          <w:p w14:paraId="27CB4616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Úroveň</w:t>
            </w:r>
          </w:p>
        </w:tc>
        <w:tc>
          <w:tcPr>
            <w:tcW w:w="2904" w:type="dxa"/>
            <w:gridSpan w:val="2"/>
            <w:shd w:val="clear" w:color="auto" w:fill="3366FF"/>
          </w:tcPr>
          <w:p w14:paraId="3C4C8AEA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A</w:t>
            </w:r>
          </w:p>
        </w:tc>
        <w:tc>
          <w:tcPr>
            <w:tcW w:w="2590" w:type="dxa"/>
            <w:gridSpan w:val="2"/>
            <w:shd w:val="clear" w:color="auto" w:fill="3366FF"/>
          </w:tcPr>
          <w:p w14:paraId="5F7A1370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B</w:t>
            </w:r>
          </w:p>
        </w:tc>
        <w:tc>
          <w:tcPr>
            <w:tcW w:w="2835" w:type="dxa"/>
            <w:gridSpan w:val="2"/>
            <w:shd w:val="clear" w:color="auto" w:fill="3366FF"/>
          </w:tcPr>
          <w:p w14:paraId="6948A71F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C</w:t>
            </w:r>
          </w:p>
        </w:tc>
      </w:tr>
      <w:tr w:rsidR="00D22147" w:rsidRPr="00D22147" w14:paraId="61C96649" w14:textId="77777777" w:rsidTr="006321AC">
        <w:trPr>
          <w:trHeight w:val="342"/>
        </w:trPr>
        <w:tc>
          <w:tcPr>
            <w:tcW w:w="1478" w:type="dxa"/>
            <w:vMerge/>
            <w:shd w:val="clear" w:color="auto" w:fill="3366FF"/>
          </w:tcPr>
          <w:p w14:paraId="72AF95AE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</w:p>
        </w:tc>
        <w:tc>
          <w:tcPr>
            <w:tcW w:w="1200" w:type="dxa"/>
            <w:shd w:val="clear" w:color="auto" w:fill="3366FF"/>
          </w:tcPr>
          <w:p w14:paraId="550E2354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Reakce</w:t>
            </w:r>
          </w:p>
        </w:tc>
        <w:tc>
          <w:tcPr>
            <w:tcW w:w="1704" w:type="dxa"/>
            <w:shd w:val="clear" w:color="auto" w:fill="3366FF"/>
          </w:tcPr>
          <w:p w14:paraId="1A6E35BE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Vyřešení</w:t>
            </w:r>
          </w:p>
        </w:tc>
        <w:tc>
          <w:tcPr>
            <w:tcW w:w="1081" w:type="dxa"/>
            <w:shd w:val="clear" w:color="auto" w:fill="3366FF"/>
          </w:tcPr>
          <w:p w14:paraId="111086E7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Reakce</w:t>
            </w:r>
          </w:p>
        </w:tc>
        <w:tc>
          <w:tcPr>
            <w:tcW w:w="1509" w:type="dxa"/>
            <w:shd w:val="clear" w:color="auto" w:fill="3366FF"/>
          </w:tcPr>
          <w:p w14:paraId="42140D55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Vyřešení</w:t>
            </w:r>
          </w:p>
        </w:tc>
        <w:tc>
          <w:tcPr>
            <w:tcW w:w="1137" w:type="dxa"/>
            <w:shd w:val="clear" w:color="auto" w:fill="3366FF"/>
          </w:tcPr>
          <w:p w14:paraId="16503F50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Reakce</w:t>
            </w:r>
          </w:p>
        </w:tc>
        <w:tc>
          <w:tcPr>
            <w:tcW w:w="1698" w:type="dxa"/>
            <w:shd w:val="clear" w:color="auto" w:fill="3366FF"/>
          </w:tcPr>
          <w:p w14:paraId="1F9993D7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Vyřešení</w:t>
            </w:r>
          </w:p>
        </w:tc>
      </w:tr>
      <w:tr w:rsidR="00D22147" w:rsidRPr="00D22147" w14:paraId="1A2B215E" w14:textId="77777777" w:rsidTr="006321AC">
        <w:trPr>
          <w:trHeight w:val="1015"/>
        </w:trPr>
        <w:tc>
          <w:tcPr>
            <w:tcW w:w="1478" w:type="dxa"/>
          </w:tcPr>
          <w:p w14:paraId="0665EDCB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r w:rsidRPr="00D22147">
              <w:rPr>
                <w:b/>
              </w:rPr>
              <w:t>Incident management</w:t>
            </w:r>
          </w:p>
        </w:tc>
        <w:tc>
          <w:tcPr>
            <w:tcW w:w="1200" w:type="dxa"/>
          </w:tcPr>
          <w:p w14:paraId="0F602E1C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1 </w:t>
            </w:r>
            <w:proofErr w:type="spellStart"/>
            <w:r w:rsidRPr="00D22147">
              <w:t>prac</w:t>
            </w:r>
            <w:proofErr w:type="spellEnd"/>
            <w:r w:rsidRPr="00D22147">
              <w:t>. den</w:t>
            </w:r>
          </w:p>
        </w:tc>
        <w:tc>
          <w:tcPr>
            <w:tcW w:w="1704" w:type="dxa"/>
          </w:tcPr>
          <w:p w14:paraId="77D5A5D6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3 </w:t>
            </w:r>
            <w:proofErr w:type="spellStart"/>
            <w:r w:rsidRPr="00D22147">
              <w:t>prac</w:t>
            </w:r>
            <w:proofErr w:type="spellEnd"/>
            <w:r w:rsidRPr="00D22147">
              <w:t>. dny (LMS)</w:t>
            </w:r>
          </w:p>
        </w:tc>
        <w:tc>
          <w:tcPr>
            <w:tcW w:w="1081" w:type="dxa"/>
          </w:tcPr>
          <w:p w14:paraId="5A47EF63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3 </w:t>
            </w:r>
            <w:proofErr w:type="spellStart"/>
            <w:r w:rsidRPr="00D22147">
              <w:t>prac</w:t>
            </w:r>
            <w:proofErr w:type="spellEnd"/>
            <w:r w:rsidRPr="00D22147">
              <w:t xml:space="preserve">. dny     </w:t>
            </w:r>
          </w:p>
        </w:tc>
        <w:tc>
          <w:tcPr>
            <w:tcW w:w="1509" w:type="dxa"/>
          </w:tcPr>
          <w:p w14:paraId="14B7917E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10 </w:t>
            </w:r>
            <w:proofErr w:type="spellStart"/>
            <w:r w:rsidRPr="00D22147">
              <w:t>prac</w:t>
            </w:r>
            <w:proofErr w:type="spellEnd"/>
            <w:r w:rsidRPr="00D22147">
              <w:t>. dnů</w:t>
            </w:r>
          </w:p>
        </w:tc>
        <w:tc>
          <w:tcPr>
            <w:tcW w:w="1137" w:type="dxa"/>
          </w:tcPr>
          <w:p w14:paraId="61555128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5 </w:t>
            </w:r>
            <w:proofErr w:type="spellStart"/>
            <w:r w:rsidRPr="00D22147">
              <w:t>prac</w:t>
            </w:r>
            <w:proofErr w:type="spellEnd"/>
            <w:r w:rsidRPr="00D22147">
              <w:t>. dnů</w:t>
            </w:r>
          </w:p>
        </w:tc>
        <w:tc>
          <w:tcPr>
            <w:tcW w:w="1698" w:type="dxa"/>
          </w:tcPr>
          <w:p w14:paraId="21176930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15 </w:t>
            </w:r>
            <w:proofErr w:type="spellStart"/>
            <w:r w:rsidRPr="00D22147">
              <w:t>prac</w:t>
            </w:r>
            <w:proofErr w:type="spellEnd"/>
            <w:r w:rsidRPr="00D22147">
              <w:t>. dnů</w:t>
            </w:r>
          </w:p>
        </w:tc>
      </w:tr>
      <w:tr w:rsidR="00D22147" w:rsidRPr="00D22147" w14:paraId="24EF4CA3" w14:textId="77777777" w:rsidTr="006321AC">
        <w:trPr>
          <w:trHeight w:val="661"/>
        </w:trPr>
        <w:tc>
          <w:tcPr>
            <w:tcW w:w="1478" w:type="dxa"/>
          </w:tcPr>
          <w:p w14:paraId="03ABDF34" w14:textId="77777777" w:rsidR="00D22147" w:rsidRPr="00D22147" w:rsidRDefault="00D22147" w:rsidP="000D6D54">
            <w:pPr>
              <w:spacing w:line="276" w:lineRule="auto"/>
              <w:rPr>
                <w:b/>
              </w:rPr>
            </w:pPr>
            <w:proofErr w:type="spellStart"/>
            <w:r w:rsidRPr="00D22147">
              <w:rPr>
                <w:b/>
              </w:rPr>
              <w:t>Change</w:t>
            </w:r>
            <w:proofErr w:type="spellEnd"/>
            <w:r w:rsidRPr="00D22147">
              <w:rPr>
                <w:b/>
              </w:rPr>
              <w:t xml:space="preserve"> management</w:t>
            </w:r>
          </w:p>
        </w:tc>
        <w:tc>
          <w:tcPr>
            <w:tcW w:w="8329" w:type="dxa"/>
            <w:gridSpan w:val="6"/>
          </w:tcPr>
          <w:p w14:paraId="739E8F60" w14:textId="77777777" w:rsidR="00D22147" w:rsidRPr="00D22147" w:rsidRDefault="00D22147" w:rsidP="000D6D54">
            <w:pPr>
              <w:spacing w:line="276" w:lineRule="auto"/>
            </w:pPr>
            <w:r w:rsidRPr="00D22147">
              <w:t xml:space="preserve">Dodavatel do 10 pracovních dnů od reakce ohodnotí pracnost požadavku </w:t>
            </w:r>
            <w:sdt>
              <w:sdtPr>
                <w:tag w:val="goog_rdk_25"/>
                <w:id w:val="411816566"/>
              </w:sdtPr>
              <w:sdtEndPr/>
              <w:sdtContent>
                <w:r w:rsidRPr="00D22147">
                  <w:t>Zákazníka</w:t>
                </w:r>
              </w:sdtContent>
            </w:sdt>
            <w:sdt>
              <w:sdtPr>
                <w:tag w:val="goog_rdk_26"/>
                <w:id w:val="1887989302"/>
                <w:showingPlcHdr/>
              </w:sdtPr>
              <w:sdtEndPr/>
              <w:sdtContent>
                <w:r w:rsidRPr="00D22147">
                  <w:t xml:space="preserve">     </w:t>
                </w:r>
              </w:sdtContent>
            </w:sdt>
            <w:r w:rsidRPr="00D22147">
              <w:t xml:space="preserve"> a navrhne termín dodání.</w:t>
            </w:r>
          </w:p>
        </w:tc>
      </w:tr>
    </w:tbl>
    <w:p w14:paraId="0B5BDF50" w14:textId="77777777" w:rsidR="00D22147" w:rsidRPr="00D22147" w:rsidRDefault="00D22147" w:rsidP="000D6D54">
      <w:pPr>
        <w:spacing w:line="276" w:lineRule="auto"/>
      </w:pPr>
    </w:p>
    <w:p w14:paraId="5E92A839" w14:textId="1232FC2D" w:rsidR="00D22147" w:rsidRPr="00D22147" w:rsidRDefault="00D22147" w:rsidP="000D6D54">
      <w:pPr>
        <w:spacing w:line="276" w:lineRule="auto"/>
      </w:pPr>
      <w:r w:rsidRPr="00D22147">
        <w:t>Délka doby pro vyřešení Incidentu může být prodloužena na základě dohody učiněné prostřednictvím e-mailu</w:t>
      </w:r>
      <w:r w:rsidR="008531C9">
        <w:t xml:space="preserve"> kontaktní osoby určené Smlouvou</w:t>
      </w:r>
      <w:r w:rsidRPr="00D22147">
        <w:t>.</w:t>
      </w:r>
    </w:p>
    <w:p w14:paraId="3D07607D" w14:textId="0DD0E4DB" w:rsidR="00A128C9" w:rsidRDefault="000D6D54" w:rsidP="00624B32">
      <w:pPr>
        <w:pStyle w:val="Heading3"/>
        <w:spacing w:line="276" w:lineRule="auto"/>
      </w:pPr>
      <w:proofErr w:type="spellStart"/>
      <w:r>
        <w:t>Change</w:t>
      </w:r>
      <w:proofErr w:type="spellEnd"/>
      <w:r>
        <w:t xml:space="preserve"> Management</w:t>
      </w:r>
    </w:p>
    <w:p w14:paraId="103C715F" w14:textId="29548C50" w:rsidR="008A21E4" w:rsidRDefault="008A21E4" w:rsidP="008A21E4">
      <w:r>
        <w:t xml:space="preserve">Cílem </w:t>
      </w:r>
      <w:proofErr w:type="spellStart"/>
      <w:r>
        <w:t>Change</w:t>
      </w:r>
      <w:proofErr w:type="spellEnd"/>
      <w:r>
        <w:t xml:space="preserve"> Management je vypracování a realizace Software </w:t>
      </w:r>
      <w:proofErr w:type="spellStart"/>
      <w:r>
        <w:t>Change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(SCR), např. funkčních změn nebo nových požadavků.</w:t>
      </w:r>
    </w:p>
    <w:p w14:paraId="79D614D0" w14:textId="77777777" w:rsidR="008A21E4" w:rsidRDefault="008A21E4" w:rsidP="008A21E4"/>
    <w:p w14:paraId="24E95E75" w14:textId="352FF121" w:rsidR="008A21E4" w:rsidRDefault="008A21E4" w:rsidP="008A21E4">
      <w:r>
        <w:lastRenderedPageBreak/>
        <w:t xml:space="preserve">Pakliže bude na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desk</w:t>
      </w:r>
      <w:proofErr w:type="spellEnd"/>
      <w:r>
        <w:t xml:space="preserve"> nahlášen Požadavek na funkční změnu LMS neboli </w:t>
      </w:r>
      <w:proofErr w:type="spellStart"/>
      <w:r>
        <w:t>Change</w:t>
      </w:r>
      <w:proofErr w:type="spellEnd"/>
      <w:r>
        <w:t xml:space="preserve"> management, nebo se ukáže, že součástí incidentu je Požadavek na funkční změnu LMS, dojde k následujícím krokům uvedeným v odrážkách níže. Ty umožní správně definovat řešení a jeho cenu, a pokud dojde ke shodě o provedení změny, tak i její realizaci a uvedení v provoz. Výsledkem bude rozšíření řešení, které bude vyúčtováno dle</w:t>
      </w:r>
      <w:r w:rsidR="001C1D24">
        <w:t xml:space="preserve"> </w:t>
      </w:r>
      <w:r w:rsidR="008531C9">
        <w:t>u</w:t>
      </w:r>
      <w:r w:rsidR="00F30AF5">
        <w:t>stanoven</w:t>
      </w:r>
      <w:r w:rsidR="00BD4A47">
        <w:t>í</w:t>
      </w:r>
      <w:r w:rsidR="00F30AF5">
        <w:t> čl. III.  Smlouvy.</w:t>
      </w:r>
    </w:p>
    <w:p w14:paraId="27D981C0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before="120" w:after="0" w:line="240" w:lineRule="auto"/>
        <w:jc w:val="both"/>
        <w:rPr>
          <w:sz w:val="26"/>
          <w:szCs w:val="26"/>
        </w:rPr>
      </w:pPr>
      <w:r>
        <w:t>Analýza SCR: analýza požadavku, analýza programového kódu, identifikace a návrh řešení.</w:t>
      </w:r>
    </w:p>
    <w:p w14:paraId="5E537505" w14:textId="4E0F6056" w:rsidR="008A21E4" w:rsidRPr="008A21E4" w:rsidRDefault="00F30AF5" w:rsidP="008A2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>
        <w:t>Stanovení rozsahu prací v počtu hodin.</w:t>
      </w:r>
    </w:p>
    <w:p w14:paraId="42BD2B97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>
        <w:t>Realizace, implementace programových úprav a změn.</w:t>
      </w:r>
    </w:p>
    <w:p w14:paraId="6E3E1379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>
        <w:t>Testování.</w:t>
      </w:r>
    </w:p>
    <w:p w14:paraId="5E7DFE12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>
        <w:t>Úprava dokumentace.</w:t>
      </w:r>
    </w:p>
    <w:p w14:paraId="2288CEC9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sz w:val="26"/>
          <w:szCs w:val="26"/>
        </w:rPr>
      </w:pPr>
      <w:r>
        <w:t>Příprava a dodání nové verze LMS řešení.</w:t>
      </w:r>
    </w:p>
    <w:p w14:paraId="7571AB1D" w14:textId="77777777" w:rsidR="008A21E4" w:rsidRPr="008A21E4" w:rsidRDefault="008A21E4" w:rsidP="008A21E4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6"/>
          <w:szCs w:val="26"/>
        </w:rPr>
      </w:pPr>
      <w:r>
        <w:t>Informování odpovědných uživatelů o dokončení SCR.</w:t>
      </w:r>
    </w:p>
    <w:p w14:paraId="215A0579" w14:textId="77777777" w:rsidR="008A21E4" w:rsidRPr="008A21E4" w:rsidRDefault="008A21E4" w:rsidP="008A21E4"/>
    <w:sectPr w:rsidR="008A21E4" w:rsidRPr="008A21E4" w:rsidSect="00C02A2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3EA4" w14:textId="77777777" w:rsidR="008D3B1B" w:rsidRDefault="008D3B1B" w:rsidP="00EE37C5">
      <w:pPr>
        <w:spacing w:after="0" w:line="240" w:lineRule="auto"/>
      </w:pPr>
      <w:r>
        <w:separator/>
      </w:r>
    </w:p>
  </w:endnote>
  <w:endnote w:type="continuationSeparator" w:id="0">
    <w:p w14:paraId="50D95EA4" w14:textId="77777777" w:rsidR="008D3B1B" w:rsidRDefault="008D3B1B" w:rsidP="00EE37C5">
      <w:pPr>
        <w:spacing w:after="0" w:line="240" w:lineRule="auto"/>
      </w:pPr>
      <w:r>
        <w:continuationSeparator/>
      </w:r>
    </w:p>
  </w:endnote>
  <w:endnote w:type="continuationNotice" w:id="1">
    <w:p w14:paraId="1DDD1712" w14:textId="77777777" w:rsidR="008D3B1B" w:rsidRDefault="008D3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F5C84" w14:textId="77777777" w:rsidR="008D3B1B" w:rsidRDefault="008D3B1B" w:rsidP="00EE37C5">
      <w:pPr>
        <w:spacing w:after="0" w:line="240" w:lineRule="auto"/>
      </w:pPr>
      <w:r>
        <w:separator/>
      </w:r>
    </w:p>
  </w:footnote>
  <w:footnote w:type="continuationSeparator" w:id="0">
    <w:p w14:paraId="27ED6E9B" w14:textId="77777777" w:rsidR="008D3B1B" w:rsidRDefault="008D3B1B" w:rsidP="00EE37C5">
      <w:pPr>
        <w:spacing w:after="0" w:line="240" w:lineRule="auto"/>
      </w:pPr>
      <w:r>
        <w:continuationSeparator/>
      </w:r>
    </w:p>
  </w:footnote>
  <w:footnote w:type="continuationNotice" w:id="1">
    <w:p w14:paraId="027A6286" w14:textId="77777777" w:rsidR="008D3B1B" w:rsidRDefault="008D3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3D7EC" w14:textId="77777777" w:rsidR="00A57CE3" w:rsidRDefault="00A57CE3" w:rsidP="00A57CE3">
    <w:pPr>
      <w:pStyle w:val="Footer"/>
      <w:tabs>
        <w:tab w:val="clear" w:pos="4536"/>
        <w:tab w:val="center" w:pos="340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2C9FD910" wp14:editId="0B570CA3">
          <wp:simplePos x="0" y="0"/>
          <wp:positionH relativeFrom="column">
            <wp:posOffset>-5080</wp:posOffset>
          </wp:positionH>
          <wp:positionV relativeFrom="paragraph">
            <wp:posOffset>-1905</wp:posOffset>
          </wp:positionV>
          <wp:extent cx="2048510" cy="323850"/>
          <wp:effectExtent l="0" t="0" r="8890" b="0"/>
          <wp:wrapTight wrapText="bothSides">
            <wp:wrapPolygon edited="0">
              <wp:start x="603" y="0"/>
              <wp:lineTo x="0" y="1271"/>
              <wp:lineTo x="0" y="20329"/>
              <wp:lineTo x="9843" y="20329"/>
              <wp:lineTo x="21493" y="17788"/>
              <wp:lineTo x="21493" y="2541"/>
              <wp:lineTo x="17074" y="0"/>
              <wp:lineTo x="603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Česká centrála cestovního ruchu – CzechTourism</w:t>
    </w:r>
  </w:p>
  <w:p w14:paraId="46DC6C40" w14:textId="4A6F586B" w:rsidR="00A57CE3" w:rsidRDefault="00A57CE3" w:rsidP="00A57CE3">
    <w:pPr>
      <w:pStyle w:val="Header"/>
    </w:pPr>
    <w:r>
      <w:tab/>
    </w:r>
    <w:r>
      <w:tab/>
      <w:t>Štěpánská 567/15, 120 00 Praha 2 Nové Město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2C3D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434F32"/>
    <w:multiLevelType w:val="hybridMultilevel"/>
    <w:tmpl w:val="FF7CD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E264E"/>
    <w:multiLevelType w:val="multilevel"/>
    <w:tmpl w:val="59BE2B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6F731A7"/>
    <w:multiLevelType w:val="hybridMultilevel"/>
    <w:tmpl w:val="A1FA66E4"/>
    <w:lvl w:ilvl="0" w:tplc="97681D7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C3D34"/>
    <w:multiLevelType w:val="hybridMultilevel"/>
    <w:tmpl w:val="5B02C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35C1"/>
    <w:multiLevelType w:val="hybridMultilevel"/>
    <w:tmpl w:val="C3D20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1BB6"/>
    <w:multiLevelType w:val="hybridMultilevel"/>
    <w:tmpl w:val="8E42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55D49"/>
    <w:multiLevelType w:val="hybridMultilevel"/>
    <w:tmpl w:val="1278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C16B2"/>
    <w:multiLevelType w:val="hybridMultilevel"/>
    <w:tmpl w:val="E1BEF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A79AC"/>
    <w:multiLevelType w:val="hybridMultilevel"/>
    <w:tmpl w:val="36F6E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D02C2"/>
    <w:multiLevelType w:val="hybridMultilevel"/>
    <w:tmpl w:val="07C2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D34A0"/>
    <w:multiLevelType w:val="multilevel"/>
    <w:tmpl w:val="128E2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D900995"/>
    <w:multiLevelType w:val="hybridMultilevel"/>
    <w:tmpl w:val="B50C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8605D"/>
    <w:multiLevelType w:val="hybridMultilevel"/>
    <w:tmpl w:val="2CF4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4306E"/>
    <w:multiLevelType w:val="hybridMultilevel"/>
    <w:tmpl w:val="38FA56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BE47B7"/>
    <w:multiLevelType w:val="multilevel"/>
    <w:tmpl w:val="E216E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667F34"/>
    <w:multiLevelType w:val="hybridMultilevel"/>
    <w:tmpl w:val="7E1C7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36E6F"/>
    <w:multiLevelType w:val="hybridMultilevel"/>
    <w:tmpl w:val="4A38C6F8"/>
    <w:lvl w:ilvl="0" w:tplc="859669B8">
      <w:start w:val="9"/>
      <w:numFmt w:val="bullet"/>
      <w:lvlText w:val="-"/>
      <w:lvlJc w:val="left"/>
      <w:pPr>
        <w:ind w:left="420" w:hanging="360"/>
      </w:pPr>
      <w:rPr>
        <w:rFonts w:ascii="Georgia" w:eastAsiaTheme="minorHAnsi" w:hAnsi="Georg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1841610"/>
    <w:multiLevelType w:val="hybridMultilevel"/>
    <w:tmpl w:val="4C2CB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4683A"/>
    <w:multiLevelType w:val="hybridMultilevel"/>
    <w:tmpl w:val="8946A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326783">
    <w:abstractNumId w:val="0"/>
  </w:num>
  <w:num w:numId="2" w16cid:durableId="476921681">
    <w:abstractNumId w:val="13"/>
  </w:num>
  <w:num w:numId="3" w16cid:durableId="1244876575">
    <w:abstractNumId w:val="6"/>
  </w:num>
  <w:num w:numId="4" w16cid:durableId="2104960093">
    <w:abstractNumId w:val="9"/>
  </w:num>
  <w:num w:numId="5" w16cid:durableId="1963459975">
    <w:abstractNumId w:val="8"/>
  </w:num>
  <w:num w:numId="6" w16cid:durableId="135950526">
    <w:abstractNumId w:val="18"/>
  </w:num>
  <w:num w:numId="7" w16cid:durableId="214002043">
    <w:abstractNumId w:val="16"/>
  </w:num>
  <w:num w:numId="8" w16cid:durableId="598756354">
    <w:abstractNumId w:val="12"/>
  </w:num>
  <w:num w:numId="9" w16cid:durableId="1480415008">
    <w:abstractNumId w:val="5"/>
  </w:num>
  <w:num w:numId="10" w16cid:durableId="1334802783">
    <w:abstractNumId w:val="1"/>
  </w:num>
  <w:num w:numId="11" w16cid:durableId="1778526354">
    <w:abstractNumId w:val="7"/>
  </w:num>
  <w:num w:numId="12" w16cid:durableId="1059742033">
    <w:abstractNumId w:val="4"/>
  </w:num>
  <w:num w:numId="13" w16cid:durableId="1729649037">
    <w:abstractNumId w:val="17"/>
  </w:num>
  <w:num w:numId="14" w16cid:durableId="2090500022">
    <w:abstractNumId w:val="10"/>
  </w:num>
  <w:num w:numId="15" w16cid:durableId="249199977">
    <w:abstractNumId w:val="19"/>
  </w:num>
  <w:num w:numId="16" w16cid:durableId="660624855">
    <w:abstractNumId w:val="2"/>
  </w:num>
  <w:num w:numId="17" w16cid:durableId="1551069215">
    <w:abstractNumId w:val="15"/>
  </w:num>
  <w:num w:numId="18" w16cid:durableId="293296814">
    <w:abstractNumId w:val="11"/>
  </w:num>
  <w:num w:numId="19" w16cid:durableId="1537615779">
    <w:abstractNumId w:val="14"/>
  </w:num>
  <w:num w:numId="20" w16cid:durableId="324238713">
    <w:abstractNumId w:val="3"/>
  </w:num>
  <w:num w:numId="21" w16cid:durableId="186528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18"/>
    <w:rsid w:val="000023EE"/>
    <w:rsid w:val="000056E4"/>
    <w:rsid w:val="00016241"/>
    <w:rsid w:val="00024373"/>
    <w:rsid w:val="0003257C"/>
    <w:rsid w:val="0006224D"/>
    <w:rsid w:val="000760EB"/>
    <w:rsid w:val="000840CE"/>
    <w:rsid w:val="00084FDA"/>
    <w:rsid w:val="00096CEE"/>
    <w:rsid w:val="000B7BB3"/>
    <w:rsid w:val="000C33F7"/>
    <w:rsid w:val="000D21D7"/>
    <w:rsid w:val="000D4B1F"/>
    <w:rsid w:val="000D6D54"/>
    <w:rsid w:val="000E38D4"/>
    <w:rsid w:val="000E6EE0"/>
    <w:rsid w:val="00121604"/>
    <w:rsid w:val="00131BA0"/>
    <w:rsid w:val="00131E88"/>
    <w:rsid w:val="00136E9D"/>
    <w:rsid w:val="001554E6"/>
    <w:rsid w:val="001651BE"/>
    <w:rsid w:val="00186023"/>
    <w:rsid w:val="0018720C"/>
    <w:rsid w:val="00193473"/>
    <w:rsid w:val="0019526E"/>
    <w:rsid w:val="00196402"/>
    <w:rsid w:val="001A3762"/>
    <w:rsid w:val="001A78B9"/>
    <w:rsid w:val="001B71F7"/>
    <w:rsid w:val="001C1D24"/>
    <w:rsid w:val="001D25F5"/>
    <w:rsid w:val="001E4948"/>
    <w:rsid w:val="001F12EF"/>
    <w:rsid w:val="001F3B70"/>
    <w:rsid w:val="001F6B20"/>
    <w:rsid w:val="00223354"/>
    <w:rsid w:val="00223C06"/>
    <w:rsid w:val="0022654C"/>
    <w:rsid w:val="00232ECD"/>
    <w:rsid w:val="00244BC8"/>
    <w:rsid w:val="00246CD2"/>
    <w:rsid w:val="00257C48"/>
    <w:rsid w:val="00263F0C"/>
    <w:rsid w:val="00277DE8"/>
    <w:rsid w:val="00285C74"/>
    <w:rsid w:val="002861D5"/>
    <w:rsid w:val="002A7C6F"/>
    <w:rsid w:val="002B1DED"/>
    <w:rsid w:val="002B777A"/>
    <w:rsid w:val="002C0BC6"/>
    <w:rsid w:val="002C2562"/>
    <w:rsid w:val="002D36F9"/>
    <w:rsid w:val="002E6930"/>
    <w:rsid w:val="002E7A91"/>
    <w:rsid w:val="002F4269"/>
    <w:rsid w:val="00302821"/>
    <w:rsid w:val="00307DBF"/>
    <w:rsid w:val="00315BD1"/>
    <w:rsid w:val="003162CD"/>
    <w:rsid w:val="00316AF3"/>
    <w:rsid w:val="00316DA6"/>
    <w:rsid w:val="00323923"/>
    <w:rsid w:val="003239C4"/>
    <w:rsid w:val="003859E2"/>
    <w:rsid w:val="00392A63"/>
    <w:rsid w:val="003A00B8"/>
    <w:rsid w:val="003A3ED5"/>
    <w:rsid w:val="003B0E66"/>
    <w:rsid w:val="003B47D4"/>
    <w:rsid w:val="003D1346"/>
    <w:rsid w:val="003D4F27"/>
    <w:rsid w:val="003D5741"/>
    <w:rsid w:val="003E26F6"/>
    <w:rsid w:val="00400CD6"/>
    <w:rsid w:val="004033B2"/>
    <w:rsid w:val="00414737"/>
    <w:rsid w:val="004209F2"/>
    <w:rsid w:val="0042343D"/>
    <w:rsid w:val="00425B1E"/>
    <w:rsid w:val="00427934"/>
    <w:rsid w:val="004311C8"/>
    <w:rsid w:val="00432EDD"/>
    <w:rsid w:val="00434026"/>
    <w:rsid w:val="00440770"/>
    <w:rsid w:val="0044667B"/>
    <w:rsid w:val="00453531"/>
    <w:rsid w:val="00475C77"/>
    <w:rsid w:val="00476A3D"/>
    <w:rsid w:val="0048637E"/>
    <w:rsid w:val="00494456"/>
    <w:rsid w:val="004A01FB"/>
    <w:rsid w:val="004B777A"/>
    <w:rsid w:val="004C5665"/>
    <w:rsid w:val="004D132E"/>
    <w:rsid w:val="004D689A"/>
    <w:rsid w:val="004E46A9"/>
    <w:rsid w:val="004E4E04"/>
    <w:rsid w:val="004E7CB8"/>
    <w:rsid w:val="004F3391"/>
    <w:rsid w:val="004F743A"/>
    <w:rsid w:val="004F7E35"/>
    <w:rsid w:val="005018A3"/>
    <w:rsid w:val="00503232"/>
    <w:rsid w:val="0051478D"/>
    <w:rsid w:val="00515592"/>
    <w:rsid w:val="00520FBF"/>
    <w:rsid w:val="00523BAC"/>
    <w:rsid w:val="00526B17"/>
    <w:rsid w:val="005349F2"/>
    <w:rsid w:val="005455EA"/>
    <w:rsid w:val="00547D79"/>
    <w:rsid w:val="00550FDE"/>
    <w:rsid w:val="005520F9"/>
    <w:rsid w:val="00555F49"/>
    <w:rsid w:val="005665FA"/>
    <w:rsid w:val="00575042"/>
    <w:rsid w:val="00576585"/>
    <w:rsid w:val="005770EA"/>
    <w:rsid w:val="005815BE"/>
    <w:rsid w:val="00583913"/>
    <w:rsid w:val="0058648F"/>
    <w:rsid w:val="00586CD9"/>
    <w:rsid w:val="00596D0B"/>
    <w:rsid w:val="005A1727"/>
    <w:rsid w:val="005B46DB"/>
    <w:rsid w:val="005C5486"/>
    <w:rsid w:val="005C557C"/>
    <w:rsid w:val="005C75F6"/>
    <w:rsid w:val="005D1EF9"/>
    <w:rsid w:val="005D638B"/>
    <w:rsid w:val="005E3903"/>
    <w:rsid w:val="005E42A5"/>
    <w:rsid w:val="005E5082"/>
    <w:rsid w:val="005E60E6"/>
    <w:rsid w:val="005F31C1"/>
    <w:rsid w:val="0060239B"/>
    <w:rsid w:val="0062119C"/>
    <w:rsid w:val="00623F6E"/>
    <w:rsid w:val="00624B32"/>
    <w:rsid w:val="0062754C"/>
    <w:rsid w:val="00631E83"/>
    <w:rsid w:val="00633B70"/>
    <w:rsid w:val="006351DF"/>
    <w:rsid w:val="00637FEF"/>
    <w:rsid w:val="00641335"/>
    <w:rsid w:val="00646525"/>
    <w:rsid w:val="006804A1"/>
    <w:rsid w:val="00694228"/>
    <w:rsid w:val="006943AD"/>
    <w:rsid w:val="0069661C"/>
    <w:rsid w:val="006A1A7C"/>
    <w:rsid w:val="006A48FE"/>
    <w:rsid w:val="006B1141"/>
    <w:rsid w:val="006B4104"/>
    <w:rsid w:val="006B4696"/>
    <w:rsid w:val="006B7487"/>
    <w:rsid w:val="006C55CC"/>
    <w:rsid w:val="006C5BD1"/>
    <w:rsid w:val="006C698B"/>
    <w:rsid w:val="006D1E43"/>
    <w:rsid w:val="006D45FC"/>
    <w:rsid w:val="006D64C9"/>
    <w:rsid w:val="006D6A65"/>
    <w:rsid w:val="006D73A5"/>
    <w:rsid w:val="006D77B4"/>
    <w:rsid w:val="006E02C2"/>
    <w:rsid w:val="006E2F99"/>
    <w:rsid w:val="006E3AF1"/>
    <w:rsid w:val="006F3AC8"/>
    <w:rsid w:val="006F5F2E"/>
    <w:rsid w:val="007353B9"/>
    <w:rsid w:val="00740904"/>
    <w:rsid w:val="00745FFE"/>
    <w:rsid w:val="007475F4"/>
    <w:rsid w:val="00753FE4"/>
    <w:rsid w:val="007678BF"/>
    <w:rsid w:val="00791CA1"/>
    <w:rsid w:val="00791DCE"/>
    <w:rsid w:val="007A0FCA"/>
    <w:rsid w:val="007D732F"/>
    <w:rsid w:val="007F3C04"/>
    <w:rsid w:val="00803AE6"/>
    <w:rsid w:val="00807B9E"/>
    <w:rsid w:val="00827E12"/>
    <w:rsid w:val="00830C62"/>
    <w:rsid w:val="008405A4"/>
    <w:rsid w:val="0084183C"/>
    <w:rsid w:val="00844E03"/>
    <w:rsid w:val="0084588F"/>
    <w:rsid w:val="008528F6"/>
    <w:rsid w:val="008531C9"/>
    <w:rsid w:val="00853D6A"/>
    <w:rsid w:val="00854C19"/>
    <w:rsid w:val="00857F79"/>
    <w:rsid w:val="00872291"/>
    <w:rsid w:val="00875A8C"/>
    <w:rsid w:val="0088439D"/>
    <w:rsid w:val="008857A1"/>
    <w:rsid w:val="008A21E4"/>
    <w:rsid w:val="008A5F6D"/>
    <w:rsid w:val="008A7BEE"/>
    <w:rsid w:val="008A7D9B"/>
    <w:rsid w:val="008B0494"/>
    <w:rsid w:val="008C3207"/>
    <w:rsid w:val="008C578F"/>
    <w:rsid w:val="008D3AEA"/>
    <w:rsid w:val="008D3B1B"/>
    <w:rsid w:val="008F4F32"/>
    <w:rsid w:val="008F70F5"/>
    <w:rsid w:val="00907CE6"/>
    <w:rsid w:val="009166A4"/>
    <w:rsid w:val="009236EF"/>
    <w:rsid w:val="009305D8"/>
    <w:rsid w:val="00955179"/>
    <w:rsid w:val="00964BDC"/>
    <w:rsid w:val="00970421"/>
    <w:rsid w:val="00984C06"/>
    <w:rsid w:val="00986490"/>
    <w:rsid w:val="009A067F"/>
    <w:rsid w:val="009A0B5E"/>
    <w:rsid w:val="009A20B6"/>
    <w:rsid w:val="009B4810"/>
    <w:rsid w:val="009D1597"/>
    <w:rsid w:val="009D24E5"/>
    <w:rsid w:val="009D34DE"/>
    <w:rsid w:val="009D3D1B"/>
    <w:rsid w:val="009E1B6C"/>
    <w:rsid w:val="009E273E"/>
    <w:rsid w:val="009F6F98"/>
    <w:rsid w:val="009F759A"/>
    <w:rsid w:val="00A1043B"/>
    <w:rsid w:val="00A128C9"/>
    <w:rsid w:val="00A154D6"/>
    <w:rsid w:val="00A3012B"/>
    <w:rsid w:val="00A32A37"/>
    <w:rsid w:val="00A35B03"/>
    <w:rsid w:val="00A362B4"/>
    <w:rsid w:val="00A40053"/>
    <w:rsid w:val="00A434DC"/>
    <w:rsid w:val="00A4749F"/>
    <w:rsid w:val="00A56C95"/>
    <w:rsid w:val="00A57CE3"/>
    <w:rsid w:val="00A6076D"/>
    <w:rsid w:val="00A6105C"/>
    <w:rsid w:val="00A6120A"/>
    <w:rsid w:val="00A65C01"/>
    <w:rsid w:val="00A670CC"/>
    <w:rsid w:val="00A9602E"/>
    <w:rsid w:val="00AA0F84"/>
    <w:rsid w:val="00AA3FAC"/>
    <w:rsid w:val="00AA6690"/>
    <w:rsid w:val="00AA7584"/>
    <w:rsid w:val="00AB19CC"/>
    <w:rsid w:val="00AB1D7C"/>
    <w:rsid w:val="00AE5650"/>
    <w:rsid w:val="00AE7E70"/>
    <w:rsid w:val="00AF13B0"/>
    <w:rsid w:val="00AF17AD"/>
    <w:rsid w:val="00B02A74"/>
    <w:rsid w:val="00B07126"/>
    <w:rsid w:val="00B11C9D"/>
    <w:rsid w:val="00B13A35"/>
    <w:rsid w:val="00B151B1"/>
    <w:rsid w:val="00B2016C"/>
    <w:rsid w:val="00B24DD1"/>
    <w:rsid w:val="00B24F15"/>
    <w:rsid w:val="00B26DE6"/>
    <w:rsid w:val="00B362FB"/>
    <w:rsid w:val="00B405A6"/>
    <w:rsid w:val="00B54744"/>
    <w:rsid w:val="00B6113C"/>
    <w:rsid w:val="00B7489A"/>
    <w:rsid w:val="00B80AB4"/>
    <w:rsid w:val="00B824F3"/>
    <w:rsid w:val="00BA5573"/>
    <w:rsid w:val="00BB3ADF"/>
    <w:rsid w:val="00BB42F0"/>
    <w:rsid w:val="00BB7E1F"/>
    <w:rsid w:val="00BD112B"/>
    <w:rsid w:val="00BD4A47"/>
    <w:rsid w:val="00BE3490"/>
    <w:rsid w:val="00BE4007"/>
    <w:rsid w:val="00BF49B6"/>
    <w:rsid w:val="00C02A2C"/>
    <w:rsid w:val="00C257AE"/>
    <w:rsid w:val="00C30416"/>
    <w:rsid w:val="00C424B6"/>
    <w:rsid w:val="00C448BC"/>
    <w:rsid w:val="00C47140"/>
    <w:rsid w:val="00C511FC"/>
    <w:rsid w:val="00C60D18"/>
    <w:rsid w:val="00C72CF0"/>
    <w:rsid w:val="00C739FC"/>
    <w:rsid w:val="00C86234"/>
    <w:rsid w:val="00C874F4"/>
    <w:rsid w:val="00C9320C"/>
    <w:rsid w:val="00CA1625"/>
    <w:rsid w:val="00CB3B9D"/>
    <w:rsid w:val="00CB4475"/>
    <w:rsid w:val="00CD0E3B"/>
    <w:rsid w:val="00CD6086"/>
    <w:rsid w:val="00CD652B"/>
    <w:rsid w:val="00CE12DB"/>
    <w:rsid w:val="00CF0EE4"/>
    <w:rsid w:val="00CF391C"/>
    <w:rsid w:val="00D10759"/>
    <w:rsid w:val="00D16321"/>
    <w:rsid w:val="00D171E1"/>
    <w:rsid w:val="00D21E22"/>
    <w:rsid w:val="00D22147"/>
    <w:rsid w:val="00D3224A"/>
    <w:rsid w:val="00D37985"/>
    <w:rsid w:val="00D41616"/>
    <w:rsid w:val="00D52EC0"/>
    <w:rsid w:val="00D54F7A"/>
    <w:rsid w:val="00D56ADE"/>
    <w:rsid w:val="00D574BC"/>
    <w:rsid w:val="00D62240"/>
    <w:rsid w:val="00D731EC"/>
    <w:rsid w:val="00D76AE8"/>
    <w:rsid w:val="00D83EC5"/>
    <w:rsid w:val="00D87237"/>
    <w:rsid w:val="00D94BDE"/>
    <w:rsid w:val="00DB71D5"/>
    <w:rsid w:val="00DC336B"/>
    <w:rsid w:val="00DD324F"/>
    <w:rsid w:val="00DD6E98"/>
    <w:rsid w:val="00E02FCD"/>
    <w:rsid w:val="00E0570B"/>
    <w:rsid w:val="00E12F3D"/>
    <w:rsid w:val="00E15501"/>
    <w:rsid w:val="00E156AC"/>
    <w:rsid w:val="00E267CA"/>
    <w:rsid w:val="00E27F4F"/>
    <w:rsid w:val="00E50275"/>
    <w:rsid w:val="00E51E93"/>
    <w:rsid w:val="00E653B6"/>
    <w:rsid w:val="00E661AA"/>
    <w:rsid w:val="00E83B09"/>
    <w:rsid w:val="00E83D51"/>
    <w:rsid w:val="00E86E19"/>
    <w:rsid w:val="00E91086"/>
    <w:rsid w:val="00EA27BC"/>
    <w:rsid w:val="00EA2866"/>
    <w:rsid w:val="00EA430C"/>
    <w:rsid w:val="00EA7B5A"/>
    <w:rsid w:val="00EB131A"/>
    <w:rsid w:val="00EB3F2E"/>
    <w:rsid w:val="00EB467B"/>
    <w:rsid w:val="00ED1662"/>
    <w:rsid w:val="00EE27DE"/>
    <w:rsid w:val="00EE37C5"/>
    <w:rsid w:val="00EF757A"/>
    <w:rsid w:val="00F04772"/>
    <w:rsid w:val="00F14929"/>
    <w:rsid w:val="00F20C5E"/>
    <w:rsid w:val="00F23FDE"/>
    <w:rsid w:val="00F30AF5"/>
    <w:rsid w:val="00F40690"/>
    <w:rsid w:val="00F4785C"/>
    <w:rsid w:val="00F55733"/>
    <w:rsid w:val="00F57909"/>
    <w:rsid w:val="00F64279"/>
    <w:rsid w:val="00F702CB"/>
    <w:rsid w:val="00F81F99"/>
    <w:rsid w:val="00F82C96"/>
    <w:rsid w:val="00F858A2"/>
    <w:rsid w:val="00FA1316"/>
    <w:rsid w:val="00FA62F2"/>
    <w:rsid w:val="00FC7159"/>
    <w:rsid w:val="00FC7251"/>
    <w:rsid w:val="00FD1FAA"/>
    <w:rsid w:val="00FD612A"/>
    <w:rsid w:val="00FE0785"/>
    <w:rsid w:val="00FE2C18"/>
    <w:rsid w:val="00FE5083"/>
    <w:rsid w:val="00FF1EA7"/>
    <w:rsid w:val="01C1799D"/>
    <w:rsid w:val="037EC503"/>
    <w:rsid w:val="07DF716E"/>
    <w:rsid w:val="097FF7FA"/>
    <w:rsid w:val="0992451B"/>
    <w:rsid w:val="0A3B25EE"/>
    <w:rsid w:val="0B1BC85B"/>
    <w:rsid w:val="0CC9E5DD"/>
    <w:rsid w:val="1572CA61"/>
    <w:rsid w:val="16141573"/>
    <w:rsid w:val="18BD3EA4"/>
    <w:rsid w:val="1A39472F"/>
    <w:rsid w:val="1A3FEF9A"/>
    <w:rsid w:val="1C38D7C9"/>
    <w:rsid w:val="21BF066C"/>
    <w:rsid w:val="2232AE03"/>
    <w:rsid w:val="224370A9"/>
    <w:rsid w:val="23CE7E64"/>
    <w:rsid w:val="23FCBE2E"/>
    <w:rsid w:val="2402DC8C"/>
    <w:rsid w:val="246BC195"/>
    <w:rsid w:val="247226B5"/>
    <w:rsid w:val="2580182A"/>
    <w:rsid w:val="269CF563"/>
    <w:rsid w:val="275AA9CB"/>
    <w:rsid w:val="2872EC13"/>
    <w:rsid w:val="28B10AE2"/>
    <w:rsid w:val="2B492239"/>
    <w:rsid w:val="2B4FBA55"/>
    <w:rsid w:val="2D578A94"/>
    <w:rsid w:val="31EF0B95"/>
    <w:rsid w:val="323B2F09"/>
    <w:rsid w:val="33AA1C2C"/>
    <w:rsid w:val="340AE6F6"/>
    <w:rsid w:val="36BBC6BF"/>
    <w:rsid w:val="383EAD6A"/>
    <w:rsid w:val="39AAE4BD"/>
    <w:rsid w:val="39CAA3BA"/>
    <w:rsid w:val="3B1AF458"/>
    <w:rsid w:val="3B46C8D2"/>
    <w:rsid w:val="3F87CEC2"/>
    <w:rsid w:val="409351A3"/>
    <w:rsid w:val="41CC6753"/>
    <w:rsid w:val="43A8F4E8"/>
    <w:rsid w:val="43B4F2A1"/>
    <w:rsid w:val="45CCECBF"/>
    <w:rsid w:val="4676175F"/>
    <w:rsid w:val="4768BD20"/>
    <w:rsid w:val="4B7371E4"/>
    <w:rsid w:val="4C7A2A2E"/>
    <w:rsid w:val="4D8A8A50"/>
    <w:rsid w:val="4DF6E5D4"/>
    <w:rsid w:val="4EC347A2"/>
    <w:rsid w:val="4EFA4818"/>
    <w:rsid w:val="5195E50C"/>
    <w:rsid w:val="526D89DF"/>
    <w:rsid w:val="536FEC07"/>
    <w:rsid w:val="53F6781C"/>
    <w:rsid w:val="5B3D1C76"/>
    <w:rsid w:val="5BDB490B"/>
    <w:rsid w:val="5D57B3E4"/>
    <w:rsid w:val="5D8D5E3C"/>
    <w:rsid w:val="5DBF9BA3"/>
    <w:rsid w:val="5E9DF289"/>
    <w:rsid w:val="5F8699CB"/>
    <w:rsid w:val="60036369"/>
    <w:rsid w:val="608C83A3"/>
    <w:rsid w:val="64799E47"/>
    <w:rsid w:val="647B0482"/>
    <w:rsid w:val="64D869CE"/>
    <w:rsid w:val="6780009F"/>
    <w:rsid w:val="6820173D"/>
    <w:rsid w:val="6A534506"/>
    <w:rsid w:val="6CAAD523"/>
    <w:rsid w:val="702912F0"/>
    <w:rsid w:val="7059BBED"/>
    <w:rsid w:val="73321801"/>
    <w:rsid w:val="7499EADD"/>
    <w:rsid w:val="768B34B7"/>
    <w:rsid w:val="77A143B5"/>
    <w:rsid w:val="790F41B3"/>
    <w:rsid w:val="793D1416"/>
    <w:rsid w:val="796B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D22C9"/>
  <w15:chartTrackingRefBased/>
  <w15:docId w15:val="{924D70E9-8501-4A0C-B47D-69934E6A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39D"/>
    <w:pPr>
      <w:spacing w:line="360" w:lineRule="auto"/>
    </w:pPr>
    <w:rPr>
      <w:rFonts w:ascii="Georgia" w:hAnsi="Georgia"/>
    </w:rPr>
  </w:style>
  <w:style w:type="paragraph" w:styleId="Heading1">
    <w:name w:val="heading 1"/>
    <w:aliases w:val="PDC Nadpis 1,Kapitola,Kapitola1,Kapitola2,Kapitola3,Kapitola4,Kapitola5,Kapitola11,Kapitola21,Kapitola31,Kapitola41,Kapitola6,Kapitola12,Kapitola22,Kapitola32,Kapitola42,Kapitola51,Kapitola111,Kapitola211,Kapitola311,Kapitola411,Kapitola7,F8"/>
    <w:basedOn w:val="Normal"/>
    <w:next w:val="Normal"/>
    <w:link w:val="Heading1Char"/>
    <w:uiPriority w:val="9"/>
    <w:qFormat/>
    <w:rsid w:val="0088439D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al"/>
    <w:next w:val="Normal"/>
    <w:link w:val="Heading2Char"/>
    <w:uiPriority w:val="9"/>
    <w:unhideWhenUsed/>
    <w:qFormat/>
    <w:rsid w:val="0088439D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aliases w:val="Podkapitola 2,Podkapitola 21,Podkapitola 22,Podkapitola 23,Podkapitola 24,Podkapitola 211,Podkapitola 221,Podkapitola 231,Podkapitola 25,Podkapitola 241,Podkapitola 26,Podkapitola 212,Podkapitola 222,Podkapitola 232,Podkapitola 242,V_Head3,H3"/>
    <w:basedOn w:val="Normal"/>
    <w:next w:val="Normal"/>
    <w:link w:val="Heading3Char"/>
    <w:uiPriority w:val="9"/>
    <w:unhideWhenUsed/>
    <w:qFormat/>
    <w:rsid w:val="00E12F3D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439D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33F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al"/>
    <w:next w:val="Normal"/>
    <w:link w:val="Heading6Char"/>
    <w:uiPriority w:val="9"/>
    <w:unhideWhenUsed/>
    <w:qFormat/>
    <w:rsid w:val="000C33F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aliases w:val="PA Appendix Major,ASAPHeading 7"/>
    <w:basedOn w:val="Normal"/>
    <w:next w:val="Normal"/>
    <w:link w:val="Heading7Char"/>
    <w:uiPriority w:val="9"/>
    <w:unhideWhenUsed/>
    <w:qFormat/>
    <w:rsid w:val="000C33F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aliases w:val="PA Appendix Minor,ASAPHeading 8"/>
    <w:basedOn w:val="Normal"/>
    <w:next w:val="Normal"/>
    <w:link w:val="Heading8Char"/>
    <w:uiPriority w:val="9"/>
    <w:unhideWhenUsed/>
    <w:qFormat/>
    <w:rsid w:val="000C33F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aliases w:val="h9,heading9,ASAPHeading 9,Titre 10"/>
    <w:basedOn w:val="Normal"/>
    <w:next w:val="Normal"/>
    <w:link w:val="Heading9Char"/>
    <w:uiPriority w:val="9"/>
    <w:unhideWhenUsed/>
    <w:qFormat/>
    <w:rsid w:val="000C33F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DC Nadpis 1 Char,Kapitola Char,Kapitola1 Char,Kapitola2 Char,Kapitola3 Char,Kapitola4 Char,Kapitola5 Char,Kapitola11 Char,Kapitola21 Char,Kapitola31 Char,Kapitola41 Char,Kapitola6 Char,Kapitola12 Char,Kapitola22 Char,Kapitola32 Char"/>
    <w:basedOn w:val="DefaultParagraphFont"/>
    <w:link w:val="Heading1"/>
    <w:uiPriority w:val="9"/>
    <w:rsid w:val="0088439D"/>
    <w:rPr>
      <w:rFonts w:ascii="Georgia" w:eastAsiaTheme="majorEastAsia" w:hAnsi="Georgia" w:cstheme="majorBidi"/>
      <w:b/>
      <w:sz w:val="28"/>
      <w:szCs w:val="32"/>
    </w:rPr>
  </w:style>
  <w:style w:type="character" w:customStyle="1" w:styleId="Heading2Char">
    <w:name w:val="Heading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DefaultParagraphFont"/>
    <w:link w:val="Heading2"/>
    <w:uiPriority w:val="9"/>
    <w:rsid w:val="0088439D"/>
    <w:rPr>
      <w:rFonts w:ascii="Georgia" w:eastAsiaTheme="majorEastAsia" w:hAnsi="Georgia" w:cstheme="majorBidi"/>
      <w:b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C5665"/>
    <w:pPr>
      <w:spacing w:before="2040" w:after="2040" w:line="240" w:lineRule="auto"/>
      <w:contextualSpacing/>
    </w:pPr>
    <w:rPr>
      <w:rFonts w:eastAsiaTheme="majorEastAsia" w:cstheme="majorBidi"/>
      <w:b/>
      <w:color w:val="003C7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665"/>
    <w:rPr>
      <w:rFonts w:ascii="Georgia" w:eastAsiaTheme="majorEastAsia" w:hAnsi="Georgia" w:cstheme="majorBidi"/>
      <w:b/>
      <w:color w:val="003C78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E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C5"/>
    <w:rPr>
      <w:rFonts w:ascii="Georgia" w:hAnsi="Georgia"/>
      <w:sz w:val="24"/>
    </w:rPr>
  </w:style>
  <w:style w:type="paragraph" w:styleId="Footer">
    <w:name w:val="footer"/>
    <w:basedOn w:val="Normal"/>
    <w:link w:val="FooterChar"/>
    <w:uiPriority w:val="99"/>
    <w:unhideWhenUsed/>
    <w:rsid w:val="00EE3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C5"/>
    <w:rPr>
      <w:rFonts w:ascii="Georgia" w:hAnsi="Georgia"/>
      <w:sz w:val="24"/>
    </w:rPr>
  </w:style>
  <w:style w:type="table" w:styleId="TableGrid">
    <w:name w:val="Table Grid"/>
    <w:basedOn w:val="TableNormal"/>
    <w:uiPriority w:val="39"/>
    <w:rsid w:val="00EE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Podkapitola 2 Char,Podkapitola 21 Char,Podkapitola 22 Char,Podkapitola 23 Char,Podkapitola 24 Char,Podkapitola 211 Char,Podkapitola 221 Char,Podkapitola 231 Char,Podkapitola 25 Char,Podkapitola 241 Char,Podkapitola 26 Char,V_Head3 Char"/>
    <w:basedOn w:val="DefaultParagraphFont"/>
    <w:link w:val="Heading3"/>
    <w:uiPriority w:val="9"/>
    <w:rsid w:val="00E12F3D"/>
    <w:rPr>
      <w:rFonts w:ascii="Georgia" w:eastAsiaTheme="majorEastAsia" w:hAnsi="Georg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439D"/>
    <w:rPr>
      <w:rFonts w:ascii="Times New Roman" w:eastAsiaTheme="majorEastAsia" w:hAnsi="Times New Roman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3F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basedOn w:val="DefaultParagraphFont"/>
    <w:link w:val="Heading6"/>
    <w:uiPriority w:val="9"/>
    <w:semiHidden/>
    <w:rsid w:val="000C33F7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aliases w:val="PA Appendix Major Char,ASAPHeading 7 Char"/>
    <w:basedOn w:val="DefaultParagraphFont"/>
    <w:link w:val="Heading7"/>
    <w:uiPriority w:val="9"/>
    <w:semiHidden/>
    <w:rsid w:val="000C33F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aliases w:val="PA Appendix Minor Char,ASAPHeading 8 Char"/>
    <w:basedOn w:val="DefaultParagraphFont"/>
    <w:link w:val="Heading8"/>
    <w:uiPriority w:val="9"/>
    <w:semiHidden/>
    <w:rsid w:val="000C33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aliases w:val="h9 Char,heading9 Char,ASAPHeading 9 Char,Titre 10 Char"/>
    <w:basedOn w:val="DefaultParagraphFont"/>
    <w:link w:val="Heading9"/>
    <w:uiPriority w:val="9"/>
    <w:semiHidden/>
    <w:rsid w:val="000C33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ListTable2">
    <w:name w:val="List Table 2"/>
    <w:basedOn w:val="TableNormal"/>
    <w:uiPriority w:val="47"/>
    <w:rsid w:val="00F6427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F6427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C60D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48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8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89A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8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89A"/>
    <w:rPr>
      <w:rFonts w:ascii="Georgia" w:hAnsi="Georg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8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8D4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38D4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8D3A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3C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C06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30282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0282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02821"/>
    <w:pPr>
      <w:spacing w:after="100"/>
      <w:ind w:left="480"/>
    </w:pPr>
  </w:style>
  <w:style w:type="paragraph" w:styleId="Revision">
    <w:name w:val="Revision"/>
    <w:hidden/>
    <w:uiPriority w:val="99"/>
    <w:semiHidden/>
    <w:rsid w:val="00400CD6"/>
    <w:pPr>
      <w:spacing w:after="0" w:line="240" w:lineRule="auto"/>
    </w:pPr>
    <w:rPr>
      <w:rFonts w:ascii="Georgia" w:hAnsi="Georgia"/>
      <w:sz w:val="24"/>
    </w:rPr>
  </w:style>
  <w:style w:type="character" w:styleId="Mention">
    <w:name w:val="Mention"/>
    <w:basedOn w:val="DefaultParagraphFont"/>
    <w:uiPriority w:val="99"/>
    <w:unhideWhenUsed/>
    <w:rsid w:val="00246C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4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B4D703-EF42-C44D-8B42-922D3AC6C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Brnka</dc:creator>
  <cp:keywords/>
  <dc:description/>
  <cp:lastModifiedBy>Brnka Matěj</cp:lastModifiedBy>
  <cp:revision>18</cp:revision>
  <dcterms:created xsi:type="dcterms:W3CDTF">2023-04-20T07:59:00Z</dcterms:created>
  <dcterms:modified xsi:type="dcterms:W3CDTF">2023-05-02T12:40:00Z</dcterms:modified>
</cp:coreProperties>
</file>