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8E40" w14:textId="1D8745AE" w:rsidR="001020C5" w:rsidRDefault="00501755" w:rsidP="003E1FC2">
      <w:pPr>
        <w:pStyle w:val="Podnadpis"/>
        <w:rPr>
          <w:rStyle w:val="slostrnky"/>
        </w:rPr>
      </w:pPr>
      <w:r>
        <w:rPr>
          <w:rStyle w:val="slostrnky"/>
        </w:rPr>
        <w:t>Smlouva o technick</w:t>
      </w:r>
      <w:r>
        <w:rPr>
          <w:rStyle w:val="slostrnky"/>
          <w:lang w:val="fr-FR"/>
        </w:rPr>
        <w:t xml:space="preserve">é </w:t>
      </w:r>
      <w:r>
        <w:rPr>
          <w:rStyle w:val="slostrnky"/>
        </w:rPr>
        <w:t>pomoci</w:t>
      </w:r>
      <w:r w:rsidR="00FB5E0B">
        <w:rPr>
          <w:rStyle w:val="slostrnky"/>
        </w:rPr>
        <w:t xml:space="preserve"> </w:t>
      </w:r>
    </w:p>
    <w:p w14:paraId="7F501CD1" w14:textId="3ABF51D3" w:rsidR="001020C5" w:rsidRDefault="00501755">
      <w:pPr>
        <w:rPr>
          <w:rFonts w:ascii="Arial" w:hAnsi="Arial"/>
        </w:rPr>
      </w:pPr>
      <w:r>
        <w:rPr>
          <w:rFonts w:ascii="Arial" w:hAnsi="Arial"/>
        </w:rPr>
        <w:t xml:space="preserve">podle ustanovení § </w:t>
      </w:r>
      <w:r>
        <w:rPr>
          <w:rFonts w:ascii="Arial" w:hAnsi="Arial"/>
          <w:lang w:val="nl-NL"/>
        </w:rPr>
        <w:t>1746 z</w:t>
      </w:r>
      <w:r>
        <w:rPr>
          <w:rFonts w:ascii="Arial" w:hAnsi="Arial"/>
        </w:rPr>
        <w:t xml:space="preserve">ák. 89/2012 Sb., NOZ na základě předběžných jednání a dohod uzavírají objednavatel a obstaravatel </w:t>
      </w:r>
      <w:r w:rsidR="00061E2D">
        <w:rPr>
          <w:rFonts w:ascii="Arial" w:hAnsi="Arial"/>
        </w:rPr>
        <w:t>(</w:t>
      </w:r>
      <w:r w:rsidR="00061E2D" w:rsidRPr="00061E2D">
        <w:rPr>
          <w:rFonts w:ascii="Arial" w:hAnsi="Arial"/>
          <w:i/>
        </w:rPr>
        <w:t>dále také jen smluvní strany</w:t>
      </w:r>
      <w:r w:rsidR="00061E2D">
        <w:rPr>
          <w:rFonts w:ascii="Arial" w:hAnsi="Arial"/>
        </w:rPr>
        <w:t xml:space="preserve">) </w:t>
      </w:r>
      <w:r>
        <w:rPr>
          <w:rFonts w:ascii="Arial" w:hAnsi="Arial"/>
        </w:rPr>
        <w:t>tuto smlouvu o 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pomoci: </w:t>
      </w:r>
    </w:p>
    <w:p w14:paraId="033E1AA0" w14:textId="00901065" w:rsidR="00FF58FF" w:rsidRPr="00FF58FF" w:rsidRDefault="009B056F" w:rsidP="00FF58FF">
      <w:pPr>
        <w:rPr>
          <w:rFonts w:ascii="Arial" w:eastAsia="Arial" w:hAnsi="Arial" w:cs="Arial"/>
        </w:rPr>
      </w:pPr>
      <w:r>
        <w:rPr>
          <w:rFonts w:ascii="Arial" w:hAnsi="Arial"/>
        </w:rPr>
        <w:t>č. smlouvy objednavatele</w:t>
      </w:r>
      <w:r w:rsidRPr="008968F8">
        <w:rPr>
          <w:rFonts w:ascii="Arial" w:hAnsi="Arial"/>
        </w:rPr>
        <w:t xml:space="preserve">: </w:t>
      </w:r>
      <w:r w:rsidR="00982F39" w:rsidRPr="008968F8">
        <w:rPr>
          <w:rFonts w:ascii="Arial" w:hAnsi="Arial"/>
        </w:rPr>
        <w:t>99998</w:t>
      </w:r>
      <w:r w:rsidR="009A274E" w:rsidRPr="008968F8">
        <w:rPr>
          <w:rFonts w:ascii="Arial" w:hAnsi="Arial"/>
        </w:rPr>
        <w:t>_EE/2023</w:t>
      </w:r>
      <w:r w:rsidR="009A274E">
        <w:rPr>
          <w:rFonts w:ascii="Arial" w:hAnsi="Arial"/>
        </w:rPr>
        <w:tab/>
      </w:r>
      <w:r w:rsidR="009A274E">
        <w:rPr>
          <w:rFonts w:ascii="Arial" w:hAnsi="Arial"/>
        </w:rPr>
        <w:tab/>
      </w:r>
      <w:r>
        <w:rPr>
          <w:rFonts w:ascii="Arial" w:hAnsi="Arial"/>
        </w:rPr>
        <w:tab/>
        <w:t>č. smlouvy obstaravatele: TP-2/2023</w:t>
      </w:r>
    </w:p>
    <w:p w14:paraId="7ACD8DA1" w14:textId="77777777" w:rsidR="00061E2D" w:rsidRDefault="00061E2D" w:rsidP="003111DD">
      <w:pPr>
        <w:tabs>
          <w:tab w:val="left" w:pos="1560"/>
        </w:tabs>
        <w:jc w:val="both"/>
        <w:rPr>
          <w:rFonts w:ascii="Arial" w:hAnsi="Arial"/>
        </w:rPr>
      </w:pPr>
    </w:p>
    <w:p w14:paraId="4DAB0C94" w14:textId="77777777" w:rsidR="003111DD" w:rsidRDefault="00501755" w:rsidP="003111DD">
      <w:pPr>
        <w:tabs>
          <w:tab w:val="left" w:pos="15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</w:r>
      <w:r w:rsidR="003111DD">
        <w:rPr>
          <w:rFonts w:ascii="Arial" w:hAnsi="Arial" w:cs="Arial"/>
          <w:b/>
          <w:bCs/>
        </w:rPr>
        <w:t>T–Mobile Czech Republic a.s.</w:t>
      </w:r>
    </w:p>
    <w:p w14:paraId="360E5BD0" w14:textId="77777777" w:rsidR="003111DD" w:rsidRDefault="003111DD" w:rsidP="003111DD">
      <w:pPr>
        <w:tabs>
          <w:tab w:val="left" w:pos="1134"/>
        </w:tabs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Praha 4, Tomíčkova 2144/1, PSČ 148 00</w:t>
      </w:r>
    </w:p>
    <w:p w14:paraId="5FE5106E" w14:textId="5C6FA7BC" w:rsidR="003111DD" w:rsidRPr="0014543A" w:rsidRDefault="003111DD" w:rsidP="003111DD">
      <w:pPr>
        <w:tabs>
          <w:tab w:val="left" w:pos="1134"/>
        </w:tabs>
        <w:ind w:left="1560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 w:rsidR="009A274E">
        <w:rPr>
          <w:rFonts w:ascii="Arial" w:hAnsi="Arial" w:cs="Arial"/>
        </w:rPr>
        <w:t>Ing. Zuzanou Žaludovou, na základě pověření</w:t>
      </w:r>
    </w:p>
    <w:p w14:paraId="71B42BF1" w14:textId="77777777" w:rsidR="003111DD" w:rsidRDefault="00F722BD" w:rsidP="003111DD">
      <w:pPr>
        <w:tabs>
          <w:tab w:val="left" w:pos="1134"/>
        </w:tabs>
        <w:ind w:left="1560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 w:rsidR="003111DD">
        <w:rPr>
          <w:rFonts w:ascii="Arial" w:hAnsi="Arial" w:cs="Arial"/>
        </w:rPr>
        <w:t>64949681</w:t>
      </w:r>
    </w:p>
    <w:p w14:paraId="2308C058" w14:textId="77777777" w:rsidR="005861F8" w:rsidRDefault="005861F8" w:rsidP="00B5297B">
      <w:pPr>
        <w:tabs>
          <w:tab w:val="left" w:pos="1531"/>
        </w:tabs>
        <w:ind w:left="147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11DD">
        <w:rPr>
          <w:rFonts w:ascii="Arial" w:hAnsi="Arial" w:cs="Arial"/>
        </w:rPr>
        <w:t>DIČ:</w:t>
      </w:r>
      <w:r w:rsidR="003111DD">
        <w:rPr>
          <w:rFonts w:ascii="Arial" w:hAnsi="Arial" w:cs="Arial"/>
        </w:rPr>
        <w:tab/>
        <w:t>CZ64949681</w:t>
      </w:r>
    </w:p>
    <w:p w14:paraId="04E4266C" w14:textId="77777777" w:rsidR="005861F8" w:rsidRDefault="005861F8" w:rsidP="005861F8">
      <w:pPr>
        <w:tabs>
          <w:tab w:val="left" w:pos="1134"/>
        </w:tabs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spisová značka B 3787 vedená u Městského soudu v Praze </w:t>
      </w:r>
    </w:p>
    <w:p w14:paraId="4E5D363D" w14:textId="1B4D914C" w:rsidR="00B5297B" w:rsidRPr="00B5297B" w:rsidRDefault="005861F8" w:rsidP="00B5297B">
      <w:pPr>
        <w:tabs>
          <w:tab w:val="left" w:pos="1531"/>
        </w:tabs>
        <w:ind w:left="1474"/>
        <w:rPr>
          <w:rFonts w:ascii="Arial" w:eastAsia="Arial" w:hAnsi="Arial" w:cs="Arial"/>
          <w:i/>
          <w:iCs/>
          <w:color w:val="auto"/>
        </w:rPr>
      </w:pPr>
      <w:r>
        <w:rPr>
          <w:rFonts w:ascii="Arial" w:hAnsi="Arial"/>
          <w:i/>
          <w:iCs/>
        </w:rPr>
        <w:t xml:space="preserve"> (dále jen objednavatel</w:t>
      </w:r>
      <w:r w:rsidR="00B5297B" w:rsidRPr="00B5297B">
        <w:rPr>
          <w:rFonts w:ascii="Arial" w:hAnsi="Arial"/>
          <w:i/>
          <w:iCs/>
          <w:color w:val="auto"/>
        </w:rPr>
        <w:t xml:space="preserve"> nebo TMCZ)</w:t>
      </w:r>
    </w:p>
    <w:p w14:paraId="68F6AA3C" w14:textId="77777777" w:rsidR="00B5297B" w:rsidRPr="00B5297B" w:rsidRDefault="00B5297B" w:rsidP="00B5297B">
      <w:pPr>
        <w:tabs>
          <w:tab w:val="left" w:pos="1531"/>
        </w:tabs>
        <w:spacing w:before="120" w:after="120"/>
        <w:rPr>
          <w:rFonts w:ascii="Arial" w:eastAsia="Arial" w:hAnsi="Arial" w:cs="Arial"/>
          <w:color w:val="auto"/>
        </w:rPr>
      </w:pPr>
      <w:r w:rsidRPr="00B5297B">
        <w:rPr>
          <w:rFonts w:ascii="Arial" w:hAnsi="Arial"/>
          <w:color w:val="auto"/>
        </w:rPr>
        <w:t>a</w:t>
      </w:r>
    </w:p>
    <w:p w14:paraId="59EDA519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hAnsi="Arial"/>
          <w:color w:val="auto"/>
        </w:rPr>
        <w:t>Obstaravatel:</w:t>
      </w:r>
      <w:r w:rsidRPr="00B5297B">
        <w:rPr>
          <w:rFonts w:ascii="Arial" w:hAnsi="Arial"/>
          <w:color w:val="auto"/>
        </w:rPr>
        <w:tab/>
      </w:r>
      <w:r w:rsidRPr="00B5297B">
        <w:rPr>
          <w:rFonts w:ascii="Arial" w:hAnsi="Arial"/>
          <w:b/>
          <w:bCs/>
          <w:color w:val="auto"/>
        </w:rPr>
        <w:t xml:space="preserve">Kolektory Praha, a.s. </w:t>
      </w:r>
    </w:p>
    <w:p w14:paraId="0CE3A01A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</w:rPr>
        <w:tab/>
        <w:t>se s</w:t>
      </w:r>
      <w:r w:rsidRPr="00B5297B">
        <w:rPr>
          <w:rFonts w:ascii="Arial" w:hAnsi="Arial"/>
          <w:color w:val="auto"/>
        </w:rPr>
        <w:t>ídlem Praha 9, Pešlova 3/341, PSČ 198 00</w:t>
      </w:r>
    </w:p>
    <w:p w14:paraId="1381CE21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</w:rPr>
        <w:tab/>
        <w:t>zastoupen</w:t>
      </w:r>
      <w:r w:rsidRPr="00B5297B">
        <w:rPr>
          <w:rFonts w:ascii="Arial" w:hAnsi="Arial"/>
          <w:color w:val="auto"/>
        </w:rPr>
        <w:t>á Ing. Petrem Š</w:t>
      </w:r>
      <w:r w:rsidRPr="00B5297B">
        <w:rPr>
          <w:rFonts w:ascii="Arial" w:hAnsi="Arial"/>
          <w:color w:val="auto"/>
          <w:lang w:val="it-IT"/>
        </w:rPr>
        <w:t>vecem, p</w:t>
      </w:r>
      <w:r w:rsidRPr="00B5297B">
        <w:rPr>
          <w:rFonts w:ascii="Arial" w:hAnsi="Arial"/>
          <w:color w:val="auto"/>
        </w:rPr>
        <w:t>ředsedou představenstva,</w:t>
      </w:r>
    </w:p>
    <w:p w14:paraId="75CD82CE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  <w:lang w:val="de-DE"/>
        </w:rPr>
        <w:tab/>
        <w:t>a Mgr. Janem Vid</w:t>
      </w:r>
      <w:r w:rsidRPr="00B5297B">
        <w:rPr>
          <w:rFonts w:ascii="Arial" w:hAnsi="Arial"/>
          <w:color w:val="auto"/>
        </w:rPr>
        <w:t>í</w:t>
      </w:r>
      <w:r w:rsidRPr="00940AFD">
        <w:rPr>
          <w:rFonts w:ascii="Arial" w:hAnsi="Arial"/>
          <w:color w:val="auto"/>
          <w:lang w:val="de-DE"/>
        </w:rPr>
        <w:t>mem, m</w:t>
      </w:r>
      <w:r w:rsidRPr="00B5297B">
        <w:rPr>
          <w:rFonts w:ascii="Arial" w:hAnsi="Arial"/>
          <w:color w:val="auto"/>
        </w:rPr>
        <w:t>ístopředsedou představenstva</w:t>
      </w:r>
    </w:p>
    <w:p w14:paraId="6820093A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</w:rPr>
        <w:tab/>
        <w:t>I</w:t>
      </w:r>
      <w:r w:rsidRPr="00B5297B">
        <w:rPr>
          <w:rFonts w:ascii="Arial" w:hAnsi="Arial"/>
          <w:color w:val="auto"/>
        </w:rPr>
        <w:t>Č:</w:t>
      </w:r>
      <w:r w:rsidRPr="00B5297B">
        <w:rPr>
          <w:rFonts w:ascii="Arial" w:hAnsi="Arial"/>
          <w:color w:val="auto"/>
        </w:rPr>
        <w:tab/>
        <w:t>26714124</w:t>
      </w:r>
    </w:p>
    <w:p w14:paraId="300EE198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</w:rPr>
        <w:tab/>
        <w:t>DI</w:t>
      </w:r>
      <w:r w:rsidRPr="00B5297B">
        <w:rPr>
          <w:rFonts w:ascii="Arial" w:hAnsi="Arial"/>
          <w:color w:val="auto"/>
        </w:rPr>
        <w:t>Č:</w:t>
      </w:r>
      <w:r w:rsidRPr="00B5297B">
        <w:rPr>
          <w:rFonts w:ascii="Arial" w:hAnsi="Arial"/>
          <w:color w:val="auto"/>
        </w:rPr>
        <w:tab/>
        <w:t>CZ 26714124</w:t>
      </w:r>
    </w:p>
    <w:p w14:paraId="45F150CC" w14:textId="77777777" w:rsidR="00B5297B" w:rsidRPr="00B5297B" w:rsidRDefault="00B5297B" w:rsidP="00B5297B">
      <w:pPr>
        <w:tabs>
          <w:tab w:val="left" w:pos="1560"/>
        </w:tabs>
        <w:ind w:left="1560" w:hanging="1554"/>
        <w:rPr>
          <w:rFonts w:ascii="Arial" w:eastAsia="Arial" w:hAnsi="Arial" w:cs="Arial"/>
          <w:color w:val="auto"/>
        </w:rPr>
      </w:pPr>
      <w:r w:rsidRPr="00B5297B">
        <w:rPr>
          <w:rFonts w:ascii="Arial" w:eastAsia="Arial" w:hAnsi="Arial" w:cs="Arial"/>
          <w:color w:val="auto"/>
        </w:rPr>
        <w:tab/>
        <w:t>spisov</w:t>
      </w:r>
      <w:r w:rsidRPr="00B5297B">
        <w:rPr>
          <w:rFonts w:ascii="Arial" w:hAnsi="Arial"/>
          <w:color w:val="auto"/>
        </w:rPr>
        <w:t>á značka: B 7813 vedená Městským soudem v Praze</w:t>
      </w:r>
    </w:p>
    <w:p w14:paraId="55B56E03" w14:textId="77777777" w:rsidR="00B5297B" w:rsidRPr="00B5297B" w:rsidRDefault="00B5297B" w:rsidP="00B5297B">
      <w:pPr>
        <w:tabs>
          <w:tab w:val="left" w:pos="1531"/>
        </w:tabs>
        <w:rPr>
          <w:rFonts w:ascii="Arial" w:eastAsia="Arial" w:hAnsi="Arial" w:cs="Arial"/>
          <w:i/>
          <w:iCs/>
          <w:color w:val="auto"/>
        </w:rPr>
      </w:pPr>
      <w:r w:rsidRPr="00B5297B">
        <w:rPr>
          <w:rFonts w:ascii="Arial" w:eastAsia="Arial" w:hAnsi="Arial" w:cs="Arial"/>
          <w:color w:val="auto"/>
        </w:rPr>
        <w:tab/>
      </w:r>
      <w:r w:rsidRPr="00B5297B">
        <w:rPr>
          <w:rFonts w:ascii="Arial" w:hAnsi="Arial"/>
          <w:i/>
          <w:iCs/>
          <w:color w:val="auto"/>
        </w:rPr>
        <w:t xml:space="preserve">(dále jen obstaravatel nebo KP) </w:t>
      </w:r>
    </w:p>
    <w:p w14:paraId="2806B08B" w14:textId="77777777" w:rsidR="003111DD" w:rsidRDefault="003111DD" w:rsidP="003111DD">
      <w:pPr>
        <w:tabs>
          <w:tab w:val="left" w:pos="1134"/>
        </w:tabs>
        <w:ind w:left="1560"/>
        <w:jc w:val="both"/>
        <w:rPr>
          <w:rFonts w:ascii="Arial" w:hAnsi="Arial" w:cs="Arial"/>
        </w:rPr>
      </w:pPr>
    </w:p>
    <w:p w14:paraId="37014E87" w14:textId="77777777" w:rsidR="001020C5" w:rsidRPr="00940AFD" w:rsidRDefault="00501755" w:rsidP="00FF58FF">
      <w:pPr>
        <w:pStyle w:val="Nadpis5"/>
        <w:spacing w:before="240" w:after="240"/>
        <w:rPr>
          <w:rStyle w:val="slostrnky"/>
          <w:lang w:val="cs-CZ"/>
        </w:rPr>
      </w:pPr>
      <w:r w:rsidRPr="00940AFD">
        <w:rPr>
          <w:rStyle w:val="slostrnky"/>
          <w:lang w:val="cs-CZ"/>
        </w:rPr>
        <w:t>I. Předmět smlouvy</w:t>
      </w:r>
    </w:p>
    <w:p w14:paraId="482E6DE1" w14:textId="77777777" w:rsidR="001020C5" w:rsidRDefault="00501755">
      <w:pPr>
        <w:pStyle w:val="Zkladntext2"/>
        <w:rPr>
          <w:sz w:val="20"/>
          <w:szCs w:val="20"/>
        </w:rPr>
      </w:pPr>
      <w:r>
        <w:rPr>
          <w:sz w:val="20"/>
          <w:szCs w:val="20"/>
        </w:rPr>
        <w:t>1. Předmětem plnění obstaravatele je</w:t>
      </w:r>
    </w:p>
    <w:p w14:paraId="383A2C9A" w14:textId="6163C2B0" w:rsidR="001020C5" w:rsidRDefault="00501755">
      <w:pPr>
        <w:pStyle w:val="Zkladntext2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- umožnit objednavateli na základě </w:t>
      </w:r>
      <w:r w:rsidR="00982F39">
        <w:rPr>
          <w:sz w:val="20"/>
          <w:szCs w:val="20"/>
        </w:rPr>
        <w:t>technické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 xml:space="preserve">spolupráce čerpání </w:t>
      </w:r>
      <w:r w:rsidR="00982F39">
        <w:rPr>
          <w:sz w:val="20"/>
          <w:szCs w:val="20"/>
        </w:rPr>
        <w:t>elektrické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</w:rPr>
        <w:t xml:space="preserve">energie </w:t>
      </w:r>
      <w:r w:rsidR="004E4A12">
        <w:rPr>
          <w:sz w:val="20"/>
          <w:szCs w:val="20"/>
        </w:rPr>
        <w:t>ze svých</w:t>
      </w:r>
      <w:r w:rsidR="004816BD">
        <w:rPr>
          <w:sz w:val="20"/>
          <w:szCs w:val="20"/>
        </w:rPr>
        <w:t xml:space="preserve"> zdrojů pro </w:t>
      </w:r>
      <w:r w:rsidR="003111DD">
        <w:rPr>
          <w:sz w:val="20"/>
          <w:szCs w:val="20"/>
        </w:rPr>
        <w:t>zařízení související s provozem inženýrské (kabelové) sítě objednavatele uložené v kolektorech.</w:t>
      </w:r>
      <w:r w:rsidR="00FB5E0B">
        <w:rPr>
          <w:sz w:val="20"/>
          <w:szCs w:val="20"/>
        </w:rPr>
        <w:t xml:space="preserve"> </w:t>
      </w:r>
    </w:p>
    <w:p w14:paraId="2ACDDDF3" w14:textId="45C47EB4" w:rsidR="001020C5" w:rsidRPr="00B5297B" w:rsidRDefault="00501755">
      <w:pPr>
        <w:pStyle w:val="Zkladntext2"/>
        <w:spacing w:after="120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2. Objednavatelem spotřebovaná elektrická energie bude měřená </w:t>
      </w:r>
      <w:r w:rsidRPr="000671B5">
        <w:rPr>
          <w:sz w:val="20"/>
          <w:szCs w:val="20"/>
        </w:rPr>
        <w:t>podružným</w:t>
      </w:r>
      <w:r w:rsidR="000671B5" w:rsidRPr="000671B5">
        <w:rPr>
          <w:sz w:val="20"/>
          <w:szCs w:val="20"/>
        </w:rPr>
        <w:t>i</w:t>
      </w:r>
      <w:r w:rsidRPr="000671B5">
        <w:rPr>
          <w:sz w:val="20"/>
          <w:szCs w:val="20"/>
        </w:rPr>
        <w:t xml:space="preserve"> </w:t>
      </w:r>
      <w:r w:rsidR="000671B5" w:rsidRPr="000671B5">
        <w:rPr>
          <w:sz w:val="20"/>
          <w:szCs w:val="20"/>
        </w:rPr>
        <w:t>elektroměry</w:t>
      </w:r>
      <w:r w:rsidR="00CB58B3">
        <w:rPr>
          <w:color w:val="FF0000"/>
          <w:sz w:val="20"/>
          <w:szCs w:val="20"/>
        </w:rPr>
        <w:t xml:space="preserve">, </w:t>
      </w:r>
      <w:r w:rsidR="00CB58B3" w:rsidRPr="00B5297B">
        <w:rPr>
          <w:color w:val="auto"/>
          <w:sz w:val="20"/>
          <w:szCs w:val="20"/>
        </w:rPr>
        <w:t>které jsou zařízením obstaravatele.</w:t>
      </w:r>
    </w:p>
    <w:p w14:paraId="36C86A20" w14:textId="46B17743" w:rsidR="001020C5" w:rsidRDefault="00501755">
      <w:pPr>
        <w:pStyle w:val="Zkladntext2"/>
        <w:spacing w:after="120"/>
        <w:rPr>
          <w:color w:val="auto"/>
          <w:sz w:val="20"/>
          <w:szCs w:val="20"/>
        </w:rPr>
      </w:pPr>
      <w:r w:rsidRPr="00B5297B">
        <w:rPr>
          <w:color w:val="auto"/>
          <w:sz w:val="20"/>
          <w:szCs w:val="20"/>
        </w:rPr>
        <w:t xml:space="preserve">3. </w:t>
      </w:r>
      <w:r w:rsidR="000671B5" w:rsidRPr="00B5297B">
        <w:rPr>
          <w:color w:val="auto"/>
          <w:sz w:val="20"/>
          <w:szCs w:val="20"/>
        </w:rPr>
        <w:t xml:space="preserve">Odběrná místa </w:t>
      </w:r>
      <w:r w:rsidR="00CB58B3" w:rsidRPr="00B5297B">
        <w:rPr>
          <w:color w:val="auto"/>
          <w:sz w:val="20"/>
          <w:szCs w:val="20"/>
        </w:rPr>
        <w:t xml:space="preserve">obstaravatele </w:t>
      </w:r>
      <w:r w:rsidR="000671B5" w:rsidRPr="00B5297B">
        <w:rPr>
          <w:color w:val="auto"/>
          <w:sz w:val="20"/>
          <w:szCs w:val="20"/>
        </w:rPr>
        <w:t>a p</w:t>
      </w:r>
      <w:r w:rsidRPr="00B5297B">
        <w:rPr>
          <w:color w:val="auto"/>
          <w:sz w:val="20"/>
          <w:szCs w:val="20"/>
        </w:rPr>
        <w:t>očáteční stav</w:t>
      </w:r>
      <w:r w:rsidR="000671B5" w:rsidRPr="00B5297B">
        <w:rPr>
          <w:color w:val="auto"/>
          <w:sz w:val="20"/>
          <w:szCs w:val="20"/>
        </w:rPr>
        <w:t xml:space="preserve">y </w:t>
      </w:r>
      <w:r w:rsidR="00D410B5" w:rsidRPr="00B5297B">
        <w:rPr>
          <w:color w:val="auto"/>
          <w:sz w:val="20"/>
          <w:szCs w:val="20"/>
        </w:rPr>
        <w:t>podružných elektroměrů</w:t>
      </w:r>
      <w:r w:rsidR="00982F39" w:rsidRPr="00B5297B">
        <w:rPr>
          <w:color w:val="auto"/>
          <w:sz w:val="20"/>
          <w:szCs w:val="20"/>
        </w:rPr>
        <w:t xml:space="preserve"> k datu </w:t>
      </w:r>
      <w:r w:rsidR="00FB5E0B" w:rsidRPr="00B5297B">
        <w:rPr>
          <w:color w:val="auto"/>
          <w:sz w:val="20"/>
          <w:szCs w:val="20"/>
        </w:rPr>
        <w:t>31</w:t>
      </w:r>
      <w:r w:rsidR="007609F9" w:rsidRPr="00B5297B">
        <w:rPr>
          <w:color w:val="auto"/>
          <w:sz w:val="20"/>
          <w:szCs w:val="20"/>
        </w:rPr>
        <w:t xml:space="preserve">. </w:t>
      </w:r>
      <w:r w:rsidR="00FB5E0B" w:rsidRPr="00B5297B">
        <w:rPr>
          <w:color w:val="auto"/>
          <w:sz w:val="20"/>
          <w:szCs w:val="20"/>
        </w:rPr>
        <w:t>3</w:t>
      </w:r>
      <w:r w:rsidR="007609F9" w:rsidRPr="00B5297B">
        <w:rPr>
          <w:color w:val="auto"/>
          <w:sz w:val="20"/>
          <w:szCs w:val="20"/>
        </w:rPr>
        <w:t xml:space="preserve">. </w:t>
      </w:r>
      <w:r w:rsidR="00FB5E0B" w:rsidRPr="00B5297B">
        <w:rPr>
          <w:color w:val="auto"/>
          <w:sz w:val="20"/>
          <w:szCs w:val="20"/>
        </w:rPr>
        <w:t xml:space="preserve">2023: </w:t>
      </w:r>
    </w:p>
    <w:tbl>
      <w:tblPr>
        <w:tblW w:w="7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2"/>
        <w:gridCol w:w="978"/>
        <w:gridCol w:w="2000"/>
        <w:gridCol w:w="1420"/>
        <w:gridCol w:w="1420"/>
      </w:tblGrid>
      <w:tr w:rsidR="005861F8" w:rsidRPr="005861F8" w14:paraId="4C635D12" w14:textId="77777777" w:rsidTr="005861F8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7A67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680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140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94C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24E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 xml:space="preserve">Číslo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4CEEF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</w:tr>
      <w:tr w:rsidR="005861F8" w:rsidRPr="005861F8" w14:paraId="0D4B10F9" w14:textId="77777777" w:rsidTr="005861F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668DD" w14:textId="6AFB15CF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Poř.</w:t>
            </w:r>
            <w:r>
              <w:rPr>
                <w:rFonts w:ascii="Arial CE" w:eastAsia="Times New Roman" w:hAnsi="Arial CE" w:cs="Arial CE"/>
                <w:color w:val="auto"/>
              </w:rPr>
              <w:t xml:space="preserve"> </w:t>
            </w:r>
            <w:r w:rsidRPr="005861F8">
              <w:rPr>
                <w:rFonts w:ascii="Arial CE" w:eastAsia="Times New Roman" w:hAnsi="Arial CE" w:cs="Arial CE"/>
                <w:color w:val="auto"/>
              </w:rPr>
              <w:t>č.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A48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Objekt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BE9A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Praha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34B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Adresa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5C5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podružného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F793D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Stav</w:t>
            </w:r>
          </w:p>
        </w:tc>
      </w:tr>
      <w:tr w:rsidR="005861F8" w:rsidRPr="005861F8" w14:paraId="5A914DB9" w14:textId="77777777" w:rsidTr="005861F8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6E4F2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C24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BB6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54B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7694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elektroměru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10107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k 31. 3. 2023</w:t>
            </w:r>
          </w:p>
        </w:tc>
      </w:tr>
      <w:tr w:rsidR="005861F8" w:rsidRPr="005861F8" w14:paraId="702DE9FC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F8681" w14:textId="77777777" w:rsidR="005861F8" w:rsidRPr="005861F8" w:rsidRDefault="005861F8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C39A" w14:textId="283AA866" w:rsidR="005861F8" w:rsidRPr="005861F8" w:rsidRDefault="00940AFD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C262" w14:textId="0CA8E1DD" w:rsidR="005861F8" w:rsidRPr="005861F8" w:rsidRDefault="00940AFD" w:rsidP="005861F8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28D4" w14:textId="15CEE44F" w:rsidR="005861F8" w:rsidRPr="005861F8" w:rsidRDefault="00940AFD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3731" w14:textId="27E6D0CD" w:rsidR="005861F8" w:rsidRPr="005861F8" w:rsidRDefault="00940AFD" w:rsidP="005861F8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2150A" w14:textId="3760F09B" w:rsidR="005861F8" w:rsidRPr="005861F8" w:rsidRDefault="00940AFD" w:rsidP="005861F8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5A08753F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66215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8AEE" w14:textId="474FE133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BB5B" w14:textId="5E7F2BB4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654D" w14:textId="4FBC91D9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339C" w14:textId="10341C88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DAAC15" w14:textId="3A375A0F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7BF395D5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6E701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C12A" w14:textId="7886C451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641E" w14:textId="65265394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901D" w14:textId="0A615439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91BC" w14:textId="52E8C10F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CB409" w14:textId="464338B0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06E8FDEC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8010B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D5CA" w14:textId="1BE2826B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9B92" w14:textId="5BB20B7A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70D2C" w14:textId="586F2188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48B9" w14:textId="3A6652EC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F9EB9" w14:textId="0287EC86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50E51743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EAA0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D630" w14:textId="33897A6A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FD604" w14:textId="3C2A1505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2247A" w14:textId="3575297F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5209" w14:textId="6AC5CE51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6DE488" w14:textId="4188E9D2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427C2559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A47B8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6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E4AA4" w14:textId="3C7EE273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24587" w14:textId="6AC2225A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1E9E" w14:textId="34ACC8F6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D4D52" w14:textId="63A65F47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FC05ED" w14:textId="00A225CD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6F0C0AD3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18F6A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A54E" w14:textId="6790D860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8C55" w14:textId="3AC9CFD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8167" w14:textId="6B373ECC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353E" w14:textId="41711431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969C9" w14:textId="2A206DD9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6397F1FC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83371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5A62" w14:textId="3922F3B3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1D66" w14:textId="0CEBFA04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8395" w14:textId="53E312B7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C770" w14:textId="4951D736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A0B80" w14:textId="63BA1F90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7D2B95C0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B2B22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A858" w14:textId="7659B532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0E84" w14:textId="6A892FDB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898F" w14:textId="2BFDC598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2837" w14:textId="41921450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BB9ABA" w14:textId="1C220E77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299EB026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CF232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1CFD" w14:textId="6191B70E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F1EC" w14:textId="2E288D65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C6AC" w14:textId="64C53873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38974" w14:textId="7D138F08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D003B" w14:textId="72631E63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2FC11040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7E0B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3679" w14:textId="5F91BF2A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AEED" w14:textId="755F8A31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944F" w14:textId="6D457521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8F36" w14:textId="1CAB7298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1F5D7" w14:textId="7857F194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066B1808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9243E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032D2" w14:textId="60DBBC17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6308" w14:textId="68CBABF9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DAFB" w14:textId="689165B1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CE6A" w14:textId="2CF72945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17C52" w14:textId="20F6FA1C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211CAF83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9966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BFE1" w14:textId="3DE5C6EF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C021" w14:textId="330D9298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7DF7" w14:textId="2ABDADE8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591D" w14:textId="49C56B35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A90AB" w14:textId="35AEA67F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540236BB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601B0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14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B99F" w14:textId="0836329A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C5D3" w14:textId="223FF6F8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3147" w14:textId="0AF24457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53C7" w14:textId="0B347295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BAAC0" w14:textId="761C81B6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35ED103E" w14:textId="77777777" w:rsidTr="00940AFD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A7980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0DF9" w14:textId="3EA91D2D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8E7A3" w14:textId="78D11D23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64DC" w14:textId="0957C719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8FD27" w14:textId="077DB578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4819C" w14:textId="7CA77696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3C34199D" w14:textId="77777777" w:rsidTr="00940AF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4FACE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16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9A57" w14:textId="3F7D48F6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A57D" w14:textId="4464D192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9ADC" w14:textId="6AC89D76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935C" w14:textId="2D4DA663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46F510" w14:textId="16F4FACF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940AFD" w:rsidRPr="005861F8" w14:paraId="39C6172B" w14:textId="77777777" w:rsidTr="002048F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77BB8" w14:textId="77777777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 w:rsidRPr="005861F8">
              <w:rPr>
                <w:rFonts w:ascii="Arial CE" w:eastAsia="Times New Roman" w:hAnsi="Arial CE" w:cs="Arial CE"/>
                <w:color w:val="auto"/>
              </w:rPr>
              <w:t>17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19F6" w14:textId="4F469EAE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BD39" w14:textId="63425DFD" w:rsidR="00940AFD" w:rsidRPr="005861F8" w:rsidRDefault="00940AFD" w:rsidP="00940AFD">
            <w:pPr>
              <w:suppressAutoHyphens w:val="0"/>
              <w:jc w:val="center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F8CA" w14:textId="041C9884" w:rsidR="00940AFD" w:rsidRPr="005861F8" w:rsidRDefault="00940AFD" w:rsidP="00940AFD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495A" w14:textId="5813BF1E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FCF815" w14:textId="0897C076" w:rsidR="00940AFD" w:rsidRPr="005861F8" w:rsidRDefault="00940AFD" w:rsidP="00940AFD">
            <w:pPr>
              <w:suppressAutoHyphens w:val="0"/>
              <w:jc w:val="right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xxx</w:t>
            </w:r>
          </w:p>
        </w:tc>
      </w:tr>
      <w:tr w:rsidR="005861F8" w:rsidRPr="005861F8" w14:paraId="2B8E228D" w14:textId="77777777" w:rsidTr="005861F8">
        <w:trPr>
          <w:trHeight w:val="255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A8C8" w14:textId="718507E2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  <w:r>
              <w:rPr>
                <w:rFonts w:ascii="Arial CE" w:eastAsia="Times New Roman" w:hAnsi="Arial CE" w:cs="Arial CE"/>
                <w:color w:val="auto"/>
              </w:rPr>
              <w:t>PU = převodový u</w:t>
            </w:r>
            <w:r w:rsidRPr="005861F8">
              <w:rPr>
                <w:rFonts w:ascii="Arial CE" w:eastAsia="Times New Roman" w:hAnsi="Arial CE" w:cs="Arial CE"/>
                <w:color w:val="auto"/>
              </w:rPr>
              <w:t>zel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EA88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3036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4210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2D5E" w14:textId="77777777" w:rsidR="005861F8" w:rsidRPr="005861F8" w:rsidRDefault="005861F8" w:rsidP="005861F8">
            <w:pPr>
              <w:suppressAutoHyphens w:val="0"/>
              <w:rPr>
                <w:rFonts w:ascii="Arial CE" w:eastAsia="Times New Roman" w:hAnsi="Arial CE" w:cs="Arial CE"/>
                <w:color w:val="auto"/>
              </w:rPr>
            </w:pPr>
          </w:p>
        </w:tc>
      </w:tr>
    </w:tbl>
    <w:p w14:paraId="7FB7133E" w14:textId="77777777" w:rsidR="005861F8" w:rsidRPr="00B5297B" w:rsidRDefault="005861F8">
      <w:pPr>
        <w:pStyle w:val="Zkladntext2"/>
        <w:spacing w:after="120"/>
        <w:rPr>
          <w:color w:val="auto"/>
          <w:sz w:val="20"/>
          <w:szCs w:val="20"/>
        </w:rPr>
      </w:pPr>
    </w:p>
    <w:p w14:paraId="37FC2952" w14:textId="2F63BE0A" w:rsidR="001020C5" w:rsidRDefault="00501755">
      <w:pPr>
        <w:pStyle w:val="Nadpis4"/>
        <w:spacing w:before="480" w:after="240"/>
        <w:rPr>
          <w:sz w:val="22"/>
          <w:szCs w:val="22"/>
        </w:rPr>
      </w:pPr>
      <w:r>
        <w:rPr>
          <w:sz w:val="22"/>
          <w:szCs w:val="22"/>
        </w:rPr>
        <w:lastRenderedPageBreak/>
        <w:t>II. Doba plnění</w:t>
      </w:r>
    </w:p>
    <w:p w14:paraId="5FC9FEBC" w14:textId="3AEEBBBB" w:rsidR="001020C5" w:rsidRDefault="00501755">
      <w:pPr>
        <w:pStyle w:val="Zkladntext2"/>
        <w:spacing w:after="120"/>
        <w:rPr>
          <w:rFonts w:cs="Arial"/>
          <w:sz w:val="20"/>
          <w:szCs w:val="20"/>
        </w:rPr>
      </w:pPr>
      <w:r w:rsidRPr="003E1FC2">
        <w:rPr>
          <w:rFonts w:cs="Arial"/>
          <w:sz w:val="20"/>
          <w:szCs w:val="20"/>
        </w:rPr>
        <w:t>1.</w:t>
      </w:r>
      <w:r w:rsidR="003F35D9">
        <w:rPr>
          <w:rFonts w:cs="Arial"/>
          <w:sz w:val="20"/>
          <w:szCs w:val="20"/>
        </w:rPr>
        <w:t xml:space="preserve"> </w:t>
      </w:r>
      <w:r w:rsidRPr="003E1FC2">
        <w:rPr>
          <w:rFonts w:cs="Arial"/>
          <w:sz w:val="20"/>
          <w:szCs w:val="20"/>
        </w:rPr>
        <w:t xml:space="preserve"> Smlouva se uzavírá na dobu </w:t>
      </w:r>
      <w:r w:rsidR="003E1FC2" w:rsidRPr="003E1FC2">
        <w:rPr>
          <w:rFonts w:cs="Arial"/>
          <w:sz w:val="20"/>
          <w:szCs w:val="20"/>
        </w:rPr>
        <w:t>neurčitou</w:t>
      </w:r>
      <w:r w:rsidRPr="003E1FC2">
        <w:rPr>
          <w:rFonts w:cs="Arial"/>
          <w:sz w:val="20"/>
          <w:szCs w:val="20"/>
        </w:rPr>
        <w:t>.</w:t>
      </w:r>
    </w:p>
    <w:p w14:paraId="633E6B3B" w14:textId="136244B9" w:rsidR="001020C5" w:rsidRPr="003E1FC2" w:rsidRDefault="00501755">
      <w:pPr>
        <w:pStyle w:val="Zkladntext2"/>
        <w:spacing w:after="120"/>
        <w:rPr>
          <w:rFonts w:cs="Arial"/>
          <w:sz w:val="20"/>
          <w:szCs w:val="20"/>
        </w:rPr>
      </w:pPr>
      <w:r w:rsidRPr="003E1FC2">
        <w:rPr>
          <w:rFonts w:cs="Arial"/>
          <w:sz w:val="20"/>
          <w:szCs w:val="20"/>
        </w:rPr>
        <w:t>2. Smlouva může být ukončena výpovědí jedn</w:t>
      </w:r>
      <w:r w:rsidRPr="003E1FC2">
        <w:rPr>
          <w:rFonts w:cs="Arial"/>
          <w:sz w:val="20"/>
          <w:szCs w:val="20"/>
          <w:lang w:val="fr-FR"/>
        </w:rPr>
        <w:t xml:space="preserve">é </w:t>
      </w:r>
      <w:r w:rsidRPr="003E1FC2">
        <w:rPr>
          <w:rFonts w:cs="Arial"/>
          <w:sz w:val="20"/>
          <w:szCs w:val="20"/>
        </w:rPr>
        <w:t>ze smluvních stran. Výpovědní doba je v takov</w:t>
      </w:r>
      <w:r w:rsidRPr="003E1FC2">
        <w:rPr>
          <w:rFonts w:cs="Arial"/>
          <w:sz w:val="20"/>
          <w:szCs w:val="20"/>
          <w:lang w:val="fr-FR"/>
        </w:rPr>
        <w:t>é</w:t>
      </w:r>
      <w:r w:rsidRPr="003E1FC2">
        <w:rPr>
          <w:rFonts w:cs="Arial"/>
          <w:sz w:val="20"/>
          <w:szCs w:val="20"/>
          <w:lang w:val="pt-PT"/>
        </w:rPr>
        <w:t xml:space="preserve">m </w:t>
      </w:r>
      <w:r w:rsidR="00982F39" w:rsidRPr="003E1FC2">
        <w:rPr>
          <w:rFonts w:cs="Arial"/>
          <w:sz w:val="20"/>
          <w:szCs w:val="20"/>
        </w:rPr>
        <w:t>případě</w:t>
      </w:r>
      <w:r w:rsidRPr="003E1FC2">
        <w:rPr>
          <w:rFonts w:cs="Arial"/>
          <w:sz w:val="20"/>
          <w:szCs w:val="20"/>
        </w:rPr>
        <w:t xml:space="preserve"> jeden měsíc a běží od prvního dne měsíce následujícího po doručení </w:t>
      </w:r>
      <w:r w:rsidR="00982F39" w:rsidRPr="003E1FC2">
        <w:rPr>
          <w:rFonts w:cs="Arial"/>
          <w:sz w:val="20"/>
          <w:szCs w:val="20"/>
        </w:rPr>
        <w:t>písemné</w:t>
      </w:r>
      <w:r w:rsidRPr="003E1FC2">
        <w:rPr>
          <w:rFonts w:cs="Arial"/>
          <w:sz w:val="20"/>
          <w:szCs w:val="20"/>
          <w:lang w:val="fr-FR"/>
        </w:rPr>
        <w:t xml:space="preserve"> </w:t>
      </w:r>
      <w:r w:rsidRPr="003E1FC2">
        <w:rPr>
          <w:rFonts w:cs="Arial"/>
          <w:sz w:val="20"/>
          <w:szCs w:val="20"/>
        </w:rPr>
        <w:t>výpovědi druh</w:t>
      </w:r>
      <w:r w:rsidRPr="003E1FC2">
        <w:rPr>
          <w:rFonts w:cs="Arial"/>
          <w:sz w:val="20"/>
          <w:szCs w:val="20"/>
          <w:lang w:val="fr-FR"/>
        </w:rPr>
        <w:t xml:space="preserve">é </w:t>
      </w:r>
      <w:r w:rsidRPr="003E1FC2">
        <w:rPr>
          <w:rFonts w:cs="Arial"/>
          <w:sz w:val="20"/>
          <w:szCs w:val="20"/>
        </w:rPr>
        <w:t>straně.</w:t>
      </w:r>
    </w:p>
    <w:p w14:paraId="6CA496B7" w14:textId="77777777" w:rsidR="001020C5" w:rsidRPr="003E1FC2" w:rsidRDefault="00501755">
      <w:pPr>
        <w:pStyle w:val="Zkladntext2"/>
        <w:spacing w:after="120"/>
        <w:rPr>
          <w:rFonts w:cs="Arial"/>
          <w:sz w:val="20"/>
          <w:szCs w:val="20"/>
        </w:rPr>
      </w:pPr>
      <w:r w:rsidRPr="003E1FC2">
        <w:rPr>
          <w:rFonts w:cs="Arial"/>
          <w:sz w:val="20"/>
          <w:szCs w:val="20"/>
        </w:rPr>
        <w:t xml:space="preserve">3. Strany se mohou kdykoli dohodnout písemnou dohodou o ukončení smluvního vztahu ke </w:t>
      </w:r>
      <w:r w:rsidR="003E1FC2">
        <w:rPr>
          <w:rFonts w:cs="Arial"/>
          <w:sz w:val="20"/>
          <w:szCs w:val="20"/>
        </w:rPr>
        <w:t>sjednan</w:t>
      </w:r>
      <w:r w:rsidRPr="003E1FC2">
        <w:rPr>
          <w:rFonts w:cs="Arial"/>
          <w:sz w:val="20"/>
          <w:szCs w:val="20"/>
          <w:lang w:val="fr-FR"/>
        </w:rPr>
        <w:t>é</w:t>
      </w:r>
      <w:r w:rsidRPr="003E1FC2">
        <w:rPr>
          <w:rFonts w:cs="Arial"/>
          <w:sz w:val="20"/>
          <w:szCs w:val="20"/>
        </w:rPr>
        <w:t>mu termínu.</w:t>
      </w:r>
    </w:p>
    <w:p w14:paraId="0136D3FC" w14:textId="77777777" w:rsidR="001020C5" w:rsidRPr="003E1FC2" w:rsidRDefault="00501755">
      <w:pPr>
        <w:pStyle w:val="Zkladntext2"/>
        <w:spacing w:after="120"/>
        <w:rPr>
          <w:rFonts w:cs="Arial"/>
          <w:sz w:val="20"/>
          <w:szCs w:val="20"/>
        </w:rPr>
      </w:pPr>
      <w:r w:rsidRPr="003E1FC2">
        <w:rPr>
          <w:rFonts w:cs="Arial"/>
          <w:sz w:val="20"/>
          <w:szCs w:val="20"/>
        </w:rPr>
        <w:t>4. Při ukončení smluvního vztahu jakýmkoli z uvedených způ</w:t>
      </w:r>
      <w:r w:rsidRPr="003E1FC2">
        <w:rPr>
          <w:rFonts w:cs="Arial"/>
          <w:sz w:val="20"/>
          <w:szCs w:val="20"/>
          <w:lang w:val="es-ES_tradnl"/>
        </w:rPr>
        <w:t>sob</w:t>
      </w:r>
      <w:r w:rsidRPr="003E1FC2">
        <w:rPr>
          <w:rFonts w:cs="Arial"/>
          <w:sz w:val="20"/>
          <w:szCs w:val="20"/>
        </w:rPr>
        <w:t>ů strany sepíší o konečn</w:t>
      </w:r>
      <w:r w:rsidRPr="003E1FC2">
        <w:rPr>
          <w:rFonts w:cs="Arial"/>
          <w:sz w:val="20"/>
          <w:szCs w:val="20"/>
          <w:lang w:val="fr-FR"/>
        </w:rPr>
        <w:t>é</w:t>
      </w:r>
      <w:r w:rsidRPr="003E1FC2">
        <w:rPr>
          <w:rFonts w:cs="Arial"/>
          <w:sz w:val="20"/>
          <w:szCs w:val="20"/>
        </w:rPr>
        <w:t>m stavu podružn</w:t>
      </w:r>
      <w:r w:rsidR="004E4A12">
        <w:rPr>
          <w:rFonts w:cs="Arial"/>
          <w:sz w:val="20"/>
          <w:szCs w:val="20"/>
          <w:lang w:val="fr-FR"/>
        </w:rPr>
        <w:t>ých</w:t>
      </w:r>
      <w:r w:rsidRPr="003E1FC2">
        <w:rPr>
          <w:rFonts w:cs="Arial"/>
          <w:sz w:val="20"/>
          <w:szCs w:val="20"/>
          <w:lang w:val="es-ES_tradnl"/>
        </w:rPr>
        <w:t xml:space="preserve"> elektrom</w:t>
      </w:r>
      <w:r w:rsidRPr="003E1FC2">
        <w:rPr>
          <w:rFonts w:cs="Arial"/>
          <w:sz w:val="20"/>
          <w:szCs w:val="20"/>
        </w:rPr>
        <w:t>ěr</w:t>
      </w:r>
      <w:r w:rsidR="004E4A12">
        <w:rPr>
          <w:rFonts w:cs="Arial"/>
          <w:sz w:val="20"/>
          <w:szCs w:val="20"/>
        </w:rPr>
        <w:t>ů</w:t>
      </w:r>
      <w:r w:rsidRPr="003E1FC2">
        <w:rPr>
          <w:rFonts w:cs="Arial"/>
          <w:sz w:val="20"/>
          <w:szCs w:val="20"/>
        </w:rPr>
        <w:t xml:space="preserve"> příslušný protokol (zápis). Pokud by se k tomuto sepsání protokolu objednavatel nedostavil, ačkoli byl vyzván alespoň tři dny předem, provede celý </w:t>
      </w:r>
      <w:r w:rsidRPr="003E1FC2">
        <w:rPr>
          <w:rFonts w:cs="Arial"/>
          <w:sz w:val="20"/>
          <w:szCs w:val="20"/>
          <w:lang w:val="nl-NL"/>
        </w:rPr>
        <w:t>akt s</w:t>
      </w:r>
      <w:r w:rsidRPr="003E1FC2">
        <w:rPr>
          <w:rFonts w:cs="Arial"/>
          <w:sz w:val="20"/>
          <w:szCs w:val="20"/>
        </w:rPr>
        <w:t>ám obstaravatel a má se zato, že objednavatel se zápisem souhlasí.</w:t>
      </w:r>
    </w:p>
    <w:p w14:paraId="536FAE68" w14:textId="77777777" w:rsidR="001020C5" w:rsidRDefault="00501755">
      <w:pPr>
        <w:pStyle w:val="Nadpis3"/>
        <w:spacing w:before="480" w:after="240"/>
        <w:rPr>
          <w:sz w:val="22"/>
          <w:szCs w:val="22"/>
        </w:rPr>
      </w:pPr>
      <w:r>
        <w:rPr>
          <w:sz w:val="22"/>
          <w:szCs w:val="22"/>
        </w:rPr>
        <w:t>III. Cena</w:t>
      </w:r>
    </w:p>
    <w:p w14:paraId="7E82A714" w14:textId="7E728680" w:rsidR="001020C5" w:rsidRPr="00B5297B" w:rsidRDefault="00501755">
      <w:pPr>
        <w:spacing w:after="120"/>
        <w:jc w:val="both"/>
        <w:rPr>
          <w:rFonts w:ascii="Arial" w:hAnsi="Arial"/>
          <w:color w:val="auto"/>
        </w:rPr>
      </w:pPr>
      <w:r w:rsidRPr="00B5297B">
        <w:rPr>
          <w:rFonts w:ascii="Arial" w:hAnsi="Arial"/>
          <w:color w:val="auto"/>
        </w:rPr>
        <w:t xml:space="preserve">Objednavatel uhradí náklady </w:t>
      </w:r>
      <w:r w:rsidR="00CB58B3" w:rsidRPr="00B5297B">
        <w:rPr>
          <w:rFonts w:ascii="Arial" w:hAnsi="Arial"/>
          <w:color w:val="auto"/>
        </w:rPr>
        <w:t>za odebranou</w:t>
      </w:r>
      <w:r w:rsidRPr="00B5297B">
        <w:rPr>
          <w:rFonts w:ascii="Arial" w:hAnsi="Arial"/>
          <w:color w:val="auto"/>
        </w:rPr>
        <w:t xml:space="preserve"> elektrick</w:t>
      </w:r>
      <w:r w:rsidR="00CB58B3" w:rsidRPr="00B5297B">
        <w:rPr>
          <w:rFonts w:ascii="Arial" w:hAnsi="Arial"/>
          <w:color w:val="auto"/>
          <w:lang w:val="fr-FR"/>
        </w:rPr>
        <w:t>ou</w:t>
      </w:r>
      <w:r w:rsidRPr="00B5297B">
        <w:rPr>
          <w:rFonts w:ascii="Arial" w:hAnsi="Arial"/>
          <w:color w:val="auto"/>
          <w:lang w:val="fr-FR"/>
        </w:rPr>
        <w:t xml:space="preserve"> </w:t>
      </w:r>
      <w:r w:rsidRPr="00B5297B">
        <w:rPr>
          <w:rFonts w:ascii="Arial" w:hAnsi="Arial"/>
          <w:color w:val="auto"/>
        </w:rPr>
        <w:t>energi</w:t>
      </w:r>
      <w:r w:rsidR="00CB58B3" w:rsidRPr="00B5297B">
        <w:rPr>
          <w:rFonts w:ascii="Arial" w:hAnsi="Arial"/>
          <w:color w:val="auto"/>
        </w:rPr>
        <w:t>i</w:t>
      </w:r>
      <w:r w:rsidRPr="00B5297B">
        <w:rPr>
          <w:rFonts w:ascii="Arial" w:hAnsi="Arial"/>
          <w:color w:val="auto"/>
        </w:rPr>
        <w:t xml:space="preserve"> </w:t>
      </w:r>
      <w:r w:rsidR="00FB5E0B" w:rsidRPr="00B5297B">
        <w:rPr>
          <w:rFonts w:ascii="Arial" w:hAnsi="Arial"/>
          <w:color w:val="auto"/>
        </w:rPr>
        <w:t xml:space="preserve">z odběrných míst </w:t>
      </w:r>
      <w:r w:rsidRPr="00B5297B">
        <w:rPr>
          <w:rFonts w:ascii="Arial" w:hAnsi="Arial"/>
          <w:color w:val="auto"/>
        </w:rPr>
        <w:t>obstaravatele dle odečtu podružn</w:t>
      </w:r>
      <w:r w:rsidR="004E4A12" w:rsidRPr="00B5297B">
        <w:rPr>
          <w:rFonts w:ascii="Arial" w:hAnsi="Arial"/>
          <w:color w:val="auto"/>
          <w:lang w:val="fr-FR"/>
        </w:rPr>
        <w:t>ých</w:t>
      </w:r>
      <w:r w:rsidRPr="00B5297B">
        <w:rPr>
          <w:rFonts w:ascii="Arial" w:hAnsi="Arial"/>
          <w:color w:val="auto"/>
          <w:lang w:val="es-ES_tradnl"/>
        </w:rPr>
        <w:t xml:space="preserve"> elektrom</w:t>
      </w:r>
      <w:r w:rsidRPr="00B5297B">
        <w:rPr>
          <w:rFonts w:ascii="Arial" w:hAnsi="Arial"/>
          <w:color w:val="auto"/>
        </w:rPr>
        <w:t>ěr</w:t>
      </w:r>
      <w:r w:rsidR="004E4A12" w:rsidRPr="00B5297B">
        <w:rPr>
          <w:rFonts w:ascii="Arial" w:hAnsi="Arial"/>
          <w:color w:val="auto"/>
        </w:rPr>
        <w:t>ů</w:t>
      </w:r>
      <w:r w:rsidR="00FB5E0B" w:rsidRPr="00B5297B">
        <w:rPr>
          <w:rFonts w:ascii="Arial" w:hAnsi="Arial"/>
          <w:color w:val="auto"/>
        </w:rPr>
        <w:t xml:space="preserve">. Cenu stanovuje obstaravatel dle cen </w:t>
      </w:r>
      <w:r w:rsidR="00CB58B3" w:rsidRPr="00B5297B">
        <w:rPr>
          <w:rFonts w:ascii="Arial" w:hAnsi="Arial"/>
          <w:color w:val="auto"/>
        </w:rPr>
        <w:t xml:space="preserve">svého </w:t>
      </w:r>
      <w:r w:rsidR="00FB5E0B" w:rsidRPr="00B5297B">
        <w:rPr>
          <w:rFonts w:ascii="Arial" w:hAnsi="Arial"/>
          <w:color w:val="auto"/>
        </w:rPr>
        <w:t>dodavatele elektrické energie</w:t>
      </w:r>
      <w:r w:rsidR="003E1FC2" w:rsidRPr="00B5297B">
        <w:rPr>
          <w:rFonts w:ascii="Arial" w:hAnsi="Arial"/>
          <w:color w:val="auto"/>
        </w:rPr>
        <w:t>, vč</w:t>
      </w:r>
      <w:r w:rsidR="00FB5E0B" w:rsidRPr="00B5297B">
        <w:rPr>
          <w:rFonts w:ascii="Arial" w:hAnsi="Arial"/>
          <w:color w:val="auto"/>
        </w:rPr>
        <w:t>etně</w:t>
      </w:r>
      <w:r w:rsidR="003E1FC2" w:rsidRPr="00B5297B">
        <w:rPr>
          <w:rFonts w:ascii="Arial" w:hAnsi="Arial"/>
          <w:color w:val="auto"/>
        </w:rPr>
        <w:t xml:space="preserve"> části </w:t>
      </w:r>
      <w:r w:rsidRPr="00B5297B">
        <w:rPr>
          <w:rFonts w:ascii="Arial" w:hAnsi="Arial"/>
          <w:color w:val="auto"/>
        </w:rPr>
        <w:t>fixní</w:t>
      </w:r>
      <w:r w:rsidRPr="00B5297B">
        <w:rPr>
          <w:rFonts w:ascii="Arial" w:hAnsi="Arial"/>
          <w:color w:val="auto"/>
          <w:lang w:val="de-DE"/>
        </w:rPr>
        <w:t>ch n</w:t>
      </w:r>
      <w:r w:rsidRPr="00B5297B">
        <w:rPr>
          <w:rFonts w:ascii="Arial" w:hAnsi="Arial"/>
          <w:color w:val="auto"/>
        </w:rPr>
        <w:t>ák</w:t>
      </w:r>
      <w:r w:rsidR="003E1FC2" w:rsidRPr="00B5297B">
        <w:rPr>
          <w:rFonts w:ascii="Arial" w:hAnsi="Arial"/>
          <w:color w:val="auto"/>
        </w:rPr>
        <w:t xml:space="preserve">ladů spojených s odběrným </w:t>
      </w:r>
      <w:r w:rsidR="00660F7D" w:rsidRPr="00B5297B">
        <w:rPr>
          <w:rFonts w:ascii="Arial" w:hAnsi="Arial"/>
          <w:color w:val="auto"/>
        </w:rPr>
        <w:t>místem ve výši 50 Kč za měsíc a </w:t>
      </w:r>
      <w:r w:rsidR="003E1FC2" w:rsidRPr="00B5297B">
        <w:rPr>
          <w:rFonts w:ascii="Arial" w:hAnsi="Arial"/>
          <w:color w:val="auto"/>
        </w:rPr>
        <w:t>odběrné místo</w:t>
      </w:r>
      <w:r w:rsidRPr="00B5297B">
        <w:rPr>
          <w:rFonts w:ascii="Arial" w:hAnsi="Arial"/>
          <w:color w:val="auto"/>
        </w:rPr>
        <w:t>.</w:t>
      </w:r>
    </w:p>
    <w:p w14:paraId="31AE7A85" w14:textId="77777777" w:rsidR="001020C5" w:rsidRPr="00B5297B" w:rsidRDefault="00501755" w:rsidP="009F5A00">
      <w:pPr>
        <w:pStyle w:val="Nadpis3"/>
        <w:spacing w:before="240" w:after="120"/>
        <w:rPr>
          <w:color w:val="auto"/>
          <w:sz w:val="22"/>
          <w:szCs w:val="22"/>
        </w:rPr>
      </w:pPr>
      <w:r w:rsidRPr="00B5297B">
        <w:rPr>
          <w:color w:val="auto"/>
          <w:sz w:val="22"/>
          <w:szCs w:val="22"/>
        </w:rPr>
        <w:t>IV. Fakturace</w:t>
      </w:r>
    </w:p>
    <w:p w14:paraId="0D9F00AF" w14:textId="25599688" w:rsidR="00501755" w:rsidRPr="00B5297B" w:rsidRDefault="00501755" w:rsidP="00FF58FF">
      <w:pPr>
        <w:pStyle w:val="Zkladntext"/>
        <w:widowControl w:val="0"/>
        <w:autoSpaceDE w:val="0"/>
        <w:autoSpaceDN w:val="0"/>
        <w:spacing w:line="240" w:lineRule="auto"/>
        <w:ind w:right="102"/>
        <w:jc w:val="both"/>
        <w:rPr>
          <w:rFonts w:asciiTheme="minorHAnsi" w:hAnsiTheme="minorHAnsi" w:cstheme="minorHAnsi"/>
          <w:color w:val="auto"/>
        </w:rPr>
      </w:pPr>
      <w:r w:rsidRPr="00B5297B">
        <w:rPr>
          <w:rFonts w:asciiTheme="minorHAnsi" w:hAnsiTheme="minorHAnsi" w:cstheme="minorHAnsi"/>
          <w:color w:val="auto"/>
        </w:rPr>
        <w:t xml:space="preserve">1. Přeúčtování spotřebované energie dle skutečných stavů podružných měření bude provedeno vždy za období uplynulého kalendářního čtvrtletí, a to do 15. dne měsíce následujícího po uplynutí </w:t>
      </w:r>
      <w:r w:rsidR="00FF58FF" w:rsidRPr="00B5297B">
        <w:rPr>
          <w:rFonts w:asciiTheme="minorHAnsi" w:hAnsiTheme="minorHAnsi" w:cstheme="minorHAnsi"/>
          <w:color w:val="auto"/>
        </w:rPr>
        <w:t>kalendářního čtvrtletí</w:t>
      </w:r>
      <w:r w:rsidRPr="00B5297B">
        <w:rPr>
          <w:rFonts w:asciiTheme="minorHAnsi" w:hAnsiTheme="minorHAnsi" w:cstheme="minorHAnsi"/>
          <w:color w:val="auto"/>
        </w:rPr>
        <w:t>. Obstaravatel vystaví objednavateli fakturu – daňový doklad.</w:t>
      </w:r>
      <w:r w:rsidR="00982F39" w:rsidRPr="00B5297B">
        <w:rPr>
          <w:rFonts w:asciiTheme="minorHAnsi" w:hAnsiTheme="minorHAnsi" w:cstheme="minorHAnsi"/>
          <w:color w:val="auto"/>
        </w:rPr>
        <w:t xml:space="preserve"> </w:t>
      </w:r>
      <w:r w:rsidR="00982F39" w:rsidRPr="00B5297B">
        <w:rPr>
          <w:rFonts w:asciiTheme="minorHAnsi" w:hAnsiTheme="minorHAnsi" w:cstheme="minorHAnsi"/>
          <w:bCs/>
          <w:color w:val="auto"/>
        </w:rPr>
        <w:t xml:space="preserve">Faktura musí obsahovat náležitosti stanovené platnými právními předpisy, číslo této smlouvy a </w:t>
      </w:r>
      <w:r w:rsidR="00FF58FF" w:rsidRPr="00B5297B">
        <w:rPr>
          <w:rFonts w:asciiTheme="minorHAnsi" w:hAnsiTheme="minorHAnsi" w:cstheme="minorHAnsi"/>
          <w:bCs/>
          <w:color w:val="auto"/>
        </w:rPr>
        <w:t>konečné stavy podružných elektroměrů</w:t>
      </w:r>
      <w:r w:rsidR="00982F39" w:rsidRPr="00B5297B">
        <w:rPr>
          <w:rFonts w:asciiTheme="minorHAnsi" w:hAnsiTheme="minorHAnsi" w:cstheme="minorHAnsi"/>
          <w:bCs/>
          <w:color w:val="auto"/>
        </w:rPr>
        <w:t xml:space="preserve"> za dané účtované období</w:t>
      </w:r>
    </w:p>
    <w:p w14:paraId="27E9EE2D" w14:textId="114B8D1C" w:rsidR="001020C5" w:rsidRPr="00B5297B" w:rsidRDefault="00501755">
      <w:pPr>
        <w:pStyle w:val="Zkladntext2"/>
        <w:spacing w:after="120"/>
        <w:rPr>
          <w:rFonts w:asciiTheme="minorHAnsi" w:hAnsiTheme="minorHAnsi" w:cstheme="minorHAnsi"/>
          <w:color w:val="auto"/>
          <w:sz w:val="20"/>
          <w:szCs w:val="20"/>
        </w:rPr>
      </w:pPr>
      <w:r w:rsidRPr="00B5297B">
        <w:rPr>
          <w:rFonts w:asciiTheme="minorHAnsi" w:hAnsiTheme="minorHAnsi" w:cstheme="minorHAnsi"/>
          <w:color w:val="auto"/>
          <w:sz w:val="20"/>
          <w:szCs w:val="20"/>
        </w:rPr>
        <w:t>2. Objednavatel se zavazuje, že uhradí obstaravateli fakturovanou částku do 14 dnů po obdržení faktury.</w:t>
      </w:r>
    </w:p>
    <w:p w14:paraId="5462FB74" w14:textId="0C937DBE" w:rsidR="001020C5" w:rsidRPr="00B5297B" w:rsidRDefault="00501755">
      <w:pPr>
        <w:spacing w:after="120"/>
        <w:jc w:val="both"/>
        <w:rPr>
          <w:rFonts w:asciiTheme="minorHAnsi" w:eastAsia="Arial" w:hAnsiTheme="minorHAnsi" w:cstheme="minorHAnsi"/>
          <w:color w:val="auto"/>
        </w:rPr>
      </w:pPr>
      <w:r w:rsidRPr="00B5297B">
        <w:rPr>
          <w:rFonts w:asciiTheme="minorHAnsi" w:hAnsiTheme="minorHAnsi" w:cstheme="minorHAnsi"/>
          <w:color w:val="auto"/>
        </w:rPr>
        <w:t xml:space="preserve">3. V případě prodlení úhrady faktury se sjednává úrok z prodlení ve výši </w:t>
      </w:r>
      <w:r w:rsidR="003F35D9" w:rsidRPr="00B5297B">
        <w:rPr>
          <w:rFonts w:asciiTheme="minorHAnsi" w:hAnsiTheme="minorHAnsi" w:cstheme="minorHAnsi"/>
          <w:color w:val="auto"/>
        </w:rPr>
        <w:t xml:space="preserve">0,03% </w:t>
      </w:r>
      <w:r w:rsidR="00FF58FF" w:rsidRPr="00B5297B">
        <w:rPr>
          <w:rFonts w:asciiTheme="minorHAnsi" w:hAnsiTheme="minorHAnsi" w:cstheme="minorHAnsi"/>
          <w:color w:val="auto"/>
        </w:rPr>
        <w:t>fakturované částky, a </w:t>
      </w:r>
      <w:r w:rsidRPr="00B5297B">
        <w:rPr>
          <w:rFonts w:asciiTheme="minorHAnsi" w:hAnsiTheme="minorHAnsi" w:cstheme="minorHAnsi"/>
          <w:color w:val="auto"/>
        </w:rPr>
        <w:t>to za každý den prodlení.</w:t>
      </w:r>
    </w:p>
    <w:p w14:paraId="74557970" w14:textId="058B9CB4" w:rsidR="003E1FC2" w:rsidRPr="00B5297B" w:rsidRDefault="00501755" w:rsidP="003E1FC2">
      <w:pPr>
        <w:jc w:val="both"/>
        <w:rPr>
          <w:rFonts w:asciiTheme="minorHAnsi" w:hAnsiTheme="minorHAnsi" w:cstheme="minorHAnsi"/>
          <w:color w:val="auto"/>
        </w:rPr>
      </w:pPr>
      <w:r w:rsidRPr="00B5297B">
        <w:rPr>
          <w:rFonts w:asciiTheme="minorHAnsi" w:hAnsiTheme="minorHAnsi" w:cstheme="minorHAnsi"/>
          <w:color w:val="auto"/>
        </w:rPr>
        <w:t xml:space="preserve">4. </w:t>
      </w:r>
      <w:r w:rsidR="003E1FC2" w:rsidRPr="00B5297B">
        <w:rPr>
          <w:rFonts w:asciiTheme="minorHAnsi" w:hAnsiTheme="minorHAnsi" w:cstheme="minorHAnsi"/>
          <w:color w:val="auto"/>
        </w:rPr>
        <w:t>Smluvní strany se dohodly, že obstaravatelem vystavované faktury – daňové doklady (s uvedením čísla smlouvy objednavatele) budou zasílány na elektronickou adresu objednavatele: epodatelna@t-mobile.cz, ve formátu PDF, předmět e-mail</w:t>
      </w:r>
      <w:r w:rsidR="009F5A00" w:rsidRPr="00B5297B">
        <w:rPr>
          <w:rFonts w:asciiTheme="minorHAnsi" w:hAnsiTheme="minorHAnsi" w:cstheme="minorHAnsi"/>
          <w:color w:val="auto"/>
        </w:rPr>
        <w:t>u musí obsahovat slovo: ELPAFA.</w:t>
      </w:r>
    </w:p>
    <w:p w14:paraId="580746A8" w14:textId="3C681079" w:rsidR="009F5A00" w:rsidRPr="00B5297B" w:rsidRDefault="009F5A00" w:rsidP="003E1FC2">
      <w:pPr>
        <w:jc w:val="both"/>
        <w:rPr>
          <w:rFonts w:asciiTheme="minorHAnsi" w:hAnsiTheme="minorHAnsi" w:cstheme="minorHAnsi"/>
          <w:color w:val="auto"/>
        </w:rPr>
      </w:pPr>
      <w:r w:rsidRPr="00B5297B">
        <w:rPr>
          <w:rFonts w:asciiTheme="minorHAnsi" w:hAnsiTheme="minorHAnsi" w:cstheme="minorHAnsi"/>
          <w:color w:val="auto"/>
        </w:rPr>
        <w:t xml:space="preserve">Konečné stavy podružných elektroměrů za </w:t>
      </w:r>
      <w:r w:rsidR="007609F9" w:rsidRPr="00B5297B">
        <w:rPr>
          <w:rFonts w:asciiTheme="minorHAnsi" w:hAnsiTheme="minorHAnsi" w:cstheme="minorHAnsi"/>
          <w:color w:val="auto"/>
        </w:rPr>
        <w:t>příslušné kalendářní čtvrtletí</w:t>
      </w:r>
      <w:r w:rsidRPr="00B5297B">
        <w:rPr>
          <w:rFonts w:asciiTheme="minorHAnsi" w:hAnsiTheme="minorHAnsi" w:cstheme="minorHAnsi"/>
          <w:color w:val="auto"/>
        </w:rPr>
        <w:t xml:space="preserve"> </w:t>
      </w:r>
      <w:r w:rsidR="007609F9" w:rsidRPr="00B5297B">
        <w:rPr>
          <w:rFonts w:asciiTheme="minorHAnsi" w:hAnsiTheme="minorHAnsi" w:cstheme="minorHAnsi"/>
          <w:color w:val="auto"/>
        </w:rPr>
        <w:t xml:space="preserve">bude </w:t>
      </w:r>
      <w:r w:rsidRPr="00B5297B">
        <w:rPr>
          <w:rFonts w:asciiTheme="minorHAnsi" w:hAnsiTheme="minorHAnsi" w:cstheme="minorHAnsi"/>
          <w:color w:val="auto"/>
        </w:rPr>
        <w:t xml:space="preserve">obstaravatel </w:t>
      </w:r>
      <w:r w:rsidR="007609F9" w:rsidRPr="00B5297B">
        <w:rPr>
          <w:rFonts w:asciiTheme="minorHAnsi" w:hAnsiTheme="minorHAnsi" w:cstheme="minorHAnsi"/>
          <w:color w:val="auto"/>
        </w:rPr>
        <w:t>také zasílat</w:t>
      </w:r>
      <w:r w:rsidRPr="00B5297B">
        <w:rPr>
          <w:rFonts w:asciiTheme="minorHAnsi" w:hAnsiTheme="minorHAnsi" w:cstheme="minorHAnsi"/>
          <w:color w:val="auto"/>
        </w:rPr>
        <w:t xml:space="preserve"> na e-mailovou adresu objednavatele: </w:t>
      </w:r>
      <w:r w:rsidR="007609F9" w:rsidRPr="00B5297B">
        <w:rPr>
          <w:rFonts w:asciiTheme="minorHAnsi" w:hAnsiTheme="minorHAnsi" w:cstheme="minorHAnsi"/>
          <w:color w:val="auto"/>
        </w:rPr>
        <w:t>elektrina@t-mobile.cz.</w:t>
      </w:r>
    </w:p>
    <w:p w14:paraId="183BAFEC" w14:textId="77777777" w:rsidR="001020C5" w:rsidRPr="00B5297B" w:rsidRDefault="00501755">
      <w:pPr>
        <w:pStyle w:val="Nadpis3"/>
        <w:spacing w:before="480" w:after="240"/>
        <w:rPr>
          <w:color w:val="auto"/>
          <w:sz w:val="22"/>
          <w:szCs w:val="22"/>
        </w:rPr>
      </w:pPr>
      <w:r w:rsidRPr="00B5297B">
        <w:rPr>
          <w:color w:val="auto"/>
          <w:sz w:val="22"/>
          <w:szCs w:val="22"/>
        </w:rPr>
        <w:t>V. Zvláštní ujednání</w:t>
      </w:r>
    </w:p>
    <w:p w14:paraId="44D8C182" w14:textId="77777777" w:rsidR="001020C5" w:rsidRPr="00B5297B" w:rsidRDefault="00F722BD">
      <w:pPr>
        <w:pStyle w:val="Zkladntext3"/>
        <w:rPr>
          <w:color w:val="auto"/>
          <w:sz w:val="20"/>
          <w:szCs w:val="20"/>
          <w:u w:color="000000"/>
        </w:rPr>
      </w:pPr>
      <w:r w:rsidRPr="00B5297B">
        <w:rPr>
          <w:color w:val="auto"/>
          <w:sz w:val="20"/>
          <w:szCs w:val="20"/>
          <w:u w:color="000000"/>
        </w:rPr>
        <w:t>1</w:t>
      </w:r>
      <w:r w:rsidR="00501755" w:rsidRPr="00B5297B">
        <w:rPr>
          <w:color w:val="auto"/>
          <w:sz w:val="20"/>
          <w:szCs w:val="20"/>
          <w:u w:color="000000"/>
        </w:rPr>
        <w:t>. Poruchy budou objednavatelem hlášeny na pohotovostní službu obstaravatele:</w:t>
      </w:r>
    </w:p>
    <w:p w14:paraId="4A846AB9" w14:textId="77777777" w:rsidR="00033428" w:rsidRPr="00B5297B" w:rsidRDefault="00033428" w:rsidP="00033428">
      <w:pPr>
        <w:pStyle w:val="Zkladntext3"/>
        <w:rPr>
          <w:color w:val="auto"/>
          <w:sz w:val="20"/>
          <w:szCs w:val="20"/>
          <w:u w:color="000000"/>
        </w:rPr>
      </w:pPr>
      <w:r w:rsidRPr="00B5297B">
        <w:rPr>
          <w:color w:val="auto"/>
          <w:sz w:val="20"/>
          <w:szCs w:val="20"/>
          <w:u w:color="000000"/>
          <w:lang w:val="it-IT"/>
        </w:rPr>
        <w:t>Dispe</w:t>
      </w:r>
      <w:r w:rsidRPr="00B5297B">
        <w:rPr>
          <w:color w:val="auto"/>
          <w:sz w:val="20"/>
          <w:szCs w:val="20"/>
          <w:u w:color="000000"/>
        </w:rPr>
        <w:t>čink oblasti Východ (převodové uzly):</w:t>
      </w:r>
    </w:p>
    <w:p w14:paraId="3F266DE9" w14:textId="66E8F38D" w:rsidR="00033428" w:rsidRDefault="00940AFD" w:rsidP="00033428">
      <w:pPr>
        <w:pStyle w:val="Zkladntext3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xxx</w:t>
      </w:r>
    </w:p>
    <w:p w14:paraId="40536CC5" w14:textId="77777777" w:rsidR="001020C5" w:rsidRDefault="00033428">
      <w:pPr>
        <w:pStyle w:val="Zkladntext3"/>
        <w:spacing w:before="120"/>
        <w:rPr>
          <w:color w:val="000000"/>
          <w:sz w:val="20"/>
          <w:szCs w:val="20"/>
          <w:u w:color="000000"/>
        </w:rPr>
      </w:pPr>
      <w:r>
        <w:rPr>
          <w:color w:val="000000"/>
          <w:sz w:val="20"/>
          <w:szCs w:val="20"/>
          <w:u w:color="000000"/>
        </w:rPr>
        <w:t>2</w:t>
      </w:r>
      <w:r w:rsidR="00501755">
        <w:rPr>
          <w:color w:val="000000"/>
          <w:sz w:val="20"/>
          <w:szCs w:val="20"/>
          <w:u w:color="000000"/>
        </w:rPr>
        <w:t>. Zástupce obstaravatele:</w:t>
      </w:r>
    </w:p>
    <w:p w14:paraId="5B809556" w14:textId="155F5156" w:rsidR="001020C5" w:rsidRDefault="00940AFD">
      <w:pPr>
        <w:pStyle w:val="Zkladntext3"/>
        <w:rPr>
          <w:color w:val="auto"/>
          <w:sz w:val="20"/>
          <w:szCs w:val="20"/>
          <w:u w:color="000000"/>
        </w:rPr>
      </w:pPr>
      <w:r>
        <w:rPr>
          <w:color w:val="auto"/>
          <w:sz w:val="20"/>
          <w:szCs w:val="20"/>
          <w:u w:color="000000"/>
        </w:rPr>
        <w:t>xxx</w:t>
      </w:r>
    </w:p>
    <w:p w14:paraId="277C4E2B" w14:textId="73A4BB10" w:rsidR="001020C5" w:rsidRDefault="00501755">
      <w:pPr>
        <w:pStyle w:val="Nadpis3"/>
        <w:spacing w:before="480" w:after="240"/>
        <w:rPr>
          <w:sz w:val="22"/>
          <w:szCs w:val="22"/>
        </w:rPr>
      </w:pPr>
      <w:r>
        <w:rPr>
          <w:sz w:val="22"/>
          <w:szCs w:val="22"/>
        </w:rPr>
        <w:t>VI. Závěrečná ustanovení</w:t>
      </w:r>
    </w:p>
    <w:p w14:paraId="4EA8BF00" w14:textId="42AED194" w:rsidR="003F35D9" w:rsidRPr="00F375BE" w:rsidRDefault="003F35D9" w:rsidP="00F375BE">
      <w:pPr>
        <w:pStyle w:val="Zkladntextodsazen"/>
        <w:numPr>
          <w:ilvl w:val="0"/>
          <w:numId w:val="4"/>
        </w:numPr>
        <w:tabs>
          <w:tab w:val="clear" w:pos="644"/>
          <w:tab w:val="num" w:pos="284"/>
        </w:tabs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 xml:space="preserve">Tato smlouva nabývá platnosti dnem podpisu oběma smluvními stranami a účinnosti dnem uveřejnění smlouvy v registru smluv. </w:t>
      </w:r>
    </w:p>
    <w:p w14:paraId="78344542" w14:textId="73AB5850" w:rsidR="00FB5E0B" w:rsidRPr="00F375BE" w:rsidRDefault="003F35D9" w:rsidP="00F375BE">
      <w:pPr>
        <w:pStyle w:val="Zkladntextodsazen"/>
        <w:numPr>
          <w:ilvl w:val="0"/>
          <w:numId w:val="4"/>
        </w:numPr>
        <w:tabs>
          <w:tab w:val="clear" w:pos="644"/>
          <w:tab w:val="num" w:pos="360"/>
        </w:tabs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 xml:space="preserve">Tato smlouva je závazná rovněž pro právní nástupce smluvních stran. V případě převodu odběrného místa na třetí osobu je </w:t>
      </w:r>
      <w:r w:rsidRPr="00F375BE">
        <w:rPr>
          <w:rFonts w:ascii="Arial" w:hAnsi="Arial" w:cs="Arial"/>
          <w:iCs/>
        </w:rPr>
        <w:t>obstaravatel</w:t>
      </w:r>
      <w:r w:rsidRPr="00F375BE">
        <w:rPr>
          <w:rFonts w:ascii="Arial" w:hAnsi="Arial" w:cs="Arial"/>
        </w:rPr>
        <w:t xml:space="preserve"> povinen převést práva a povinnosti z této smlouvy na třetí osob</w:t>
      </w:r>
      <w:r w:rsidR="00F375BE">
        <w:rPr>
          <w:rFonts w:ascii="Arial" w:hAnsi="Arial" w:cs="Arial"/>
        </w:rPr>
        <w:t>u, v opačném případě odpovídá ob</w:t>
      </w:r>
      <w:r w:rsidRPr="00F375BE">
        <w:rPr>
          <w:rFonts w:ascii="Arial" w:hAnsi="Arial" w:cs="Arial"/>
        </w:rPr>
        <w:t>jednavateli za vzniklou újmu.</w:t>
      </w:r>
    </w:p>
    <w:p w14:paraId="08A8D141" w14:textId="43C1FF76" w:rsidR="00FB5E0B" w:rsidRPr="00F375BE" w:rsidRDefault="00542EE4" w:rsidP="00F375BE">
      <w:pPr>
        <w:pStyle w:val="Zkladntextodsazen"/>
        <w:numPr>
          <w:ilvl w:val="0"/>
          <w:numId w:val="4"/>
        </w:numPr>
        <w:tabs>
          <w:tab w:val="clear" w:pos="644"/>
          <w:tab w:val="num" w:pos="360"/>
        </w:tabs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>Tato smlouva je vyhotovena ve čtyřech</w:t>
      </w:r>
      <w:r w:rsidR="00501755" w:rsidRPr="00F375BE">
        <w:rPr>
          <w:rFonts w:ascii="Arial" w:hAnsi="Arial" w:cs="Arial"/>
          <w:lang w:val="it-IT"/>
        </w:rPr>
        <w:t xml:space="preserve"> </w:t>
      </w:r>
      <w:r w:rsidR="00F375BE">
        <w:rPr>
          <w:rFonts w:ascii="Arial" w:hAnsi="Arial" w:cs="Arial"/>
          <w:lang w:val="it-IT"/>
        </w:rPr>
        <w:t>vyhotoveních</w:t>
      </w:r>
      <w:r w:rsidR="00501755" w:rsidRPr="00F375BE">
        <w:rPr>
          <w:rFonts w:ascii="Arial" w:hAnsi="Arial" w:cs="Arial"/>
        </w:rPr>
        <w:t xml:space="preserve">, z nichž </w:t>
      </w:r>
      <w:r w:rsidRPr="00F375BE">
        <w:rPr>
          <w:rFonts w:ascii="Arial" w:hAnsi="Arial" w:cs="Arial"/>
        </w:rPr>
        <w:t>každá ze smluvních stran obdrží po dvou.</w:t>
      </w:r>
    </w:p>
    <w:p w14:paraId="31703742" w14:textId="37F95601" w:rsidR="00FB5E0B" w:rsidRPr="00F375BE" w:rsidRDefault="00501755" w:rsidP="00F375BE">
      <w:pPr>
        <w:pStyle w:val="Zkladntextodsazen"/>
        <w:numPr>
          <w:ilvl w:val="0"/>
          <w:numId w:val="4"/>
        </w:numPr>
        <w:tabs>
          <w:tab w:val="clear" w:pos="644"/>
          <w:tab w:val="num" w:pos="360"/>
        </w:tabs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lastRenderedPageBreak/>
        <w:t>Smluvní strany berou na vědomí, že v souladu se zákonem č. 340/2015 Sb., o zvláštních podmínká</w:t>
      </w:r>
      <w:r w:rsidRPr="00F375BE">
        <w:rPr>
          <w:rFonts w:ascii="Arial" w:hAnsi="Arial" w:cs="Arial"/>
          <w:lang w:val="de-DE"/>
        </w:rPr>
        <w:t xml:space="preserve">ch </w:t>
      </w:r>
      <w:r w:rsidRPr="00F375BE">
        <w:rPr>
          <w:rFonts w:ascii="Arial" w:hAnsi="Arial" w:cs="Arial"/>
        </w:rPr>
        <w:t xml:space="preserve">účinnosti některých smluv, uveřejňování těchto smluv a o registru smluv (zákon o registru smluv) bude tato smlouva o </w:t>
      </w:r>
      <w:r w:rsidR="00982F39" w:rsidRPr="00F375BE">
        <w:rPr>
          <w:rFonts w:ascii="Arial" w:hAnsi="Arial" w:cs="Arial"/>
        </w:rPr>
        <w:t>technické</w:t>
      </w:r>
      <w:r w:rsidRPr="00F375BE">
        <w:rPr>
          <w:rFonts w:ascii="Arial" w:hAnsi="Arial" w:cs="Arial"/>
          <w:lang w:val="fr-FR"/>
        </w:rPr>
        <w:t xml:space="preserve"> </w:t>
      </w:r>
      <w:r w:rsidRPr="00F375BE">
        <w:rPr>
          <w:rFonts w:ascii="Arial" w:hAnsi="Arial" w:cs="Arial"/>
        </w:rPr>
        <w:t>pomoci uveřejněna v registru smluv. Uveřejnění v registru smluv zajistí obstaravatel Kolektory Praha, a.s.</w:t>
      </w:r>
    </w:p>
    <w:p w14:paraId="2E6796FF" w14:textId="767F1A46" w:rsidR="00A24220" w:rsidRPr="00F375BE" w:rsidRDefault="00542EE4" w:rsidP="00F375BE">
      <w:pPr>
        <w:pStyle w:val="Zkladntextodsazen"/>
        <w:numPr>
          <w:ilvl w:val="0"/>
          <w:numId w:val="4"/>
        </w:numPr>
        <w:tabs>
          <w:tab w:val="clear" w:pos="644"/>
          <w:tab w:val="num" w:pos="360"/>
        </w:tabs>
        <w:spacing w:after="0"/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>Poprvé bude odběr elektrické energie přes podružná měření dle této smlouvy vyúčtován za II. čtvrtl</w:t>
      </w:r>
      <w:r w:rsidR="00A24220" w:rsidRPr="00F375BE">
        <w:rPr>
          <w:rFonts w:ascii="Arial" w:hAnsi="Arial" w:cs="Arial"/>
        </w:rPr>
        <w:t>etí 2023 (tj. v červenci 2023).</w:t>
      </w:r>
    </w:p>
    <w:p w14:paraId="571886AF" w14:textId="2F3CF3C6" w:rsidR="00542EE4" w:rsidRPr="00F375BE" w:rsidRDefault="00A24220" w:rsidP="00F375BE">
      <w:pPr>
        <w:spacing w:after="12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 xml:space="preserve">Dosud odběr elektrické energie pro objednavatele ze zdrojů obstaravatele upravuje smlouva o využití prostoru kolektoru k uložení kabelové sítě – dodatek č. 130: č. KP 7163/97, č. TMCZ 10000-1031-00. </w:t>
      </w:r>
      <w:r w:rsidR="00542EE4" w:rsidRPr="00F375BE">
        <w:rPr>
          <w:rFonts w:ascii="Arial" w:hAnsi="Arial" w:cs="Arial"/>
        </w:rPr>
        <w:t>Pokud objednavatel v průběhu II. čtvrtletí 2023 zaplatí obstaravateli nějakou částku za odebr</w:t>
      </w:r>
      <w:r w:rsidR="00BC5078" w:rsidRPr="00F375BE">
        <w:rPr>
          <w:rFonts w:ascii="Arial" w:hAnsi="Arial" w:cs="Arial"/>
        </w:rPr>
        <w:t>anou elektrickou energii</w:t>
      </w:r>
      <w:r w:rsidR="006271B6" w:rsidRPr="00F375BE">
        <w:rPr>
          <w:rFonts w:ascii="Arial" w:hAnsi="Arial" w:cs="Arial"/>
        </w:rPr>
        <w:t xml:space="preserve">, protože nebude včas </w:t>
      </w:r>
      <w:r w:rsidR="009D5185" w:rsidRPr="00F375BE">
        <w:rPr>
          <w:rFonts w:ascii="Arial" w:hAnsi="Arial" w:cs="Arial"/>
        </w:rPr>
        <w:t xml:space="preserve">podepsána úprava </w:t>
      </w:r>
      <w:r w:rsidR="006271B6" w:rsidRPr="00F375BE">
        <w:rPr>
          <w:rFonts w:ascii="Arial" w:hAnsi="Arial" w:cs="Arial"/>
        </w:rPr>
        <w:t>smluvn</w:t>
      </w:r>
      <w:r w:rsidR="009D5185" w:rsidRPr="00F375BE">
        <w:rPr>
          <w:rFonts w:ascii="Arial" w:hAnsi="Arial" w:cs="Arial"/>
        </w:rPr>
        <w:t>ích ustanovení</w:t>
      </w:r>
      <w:r w:rsidR="00542EE4" w:rsidRPr="00F375BE">
        <w:rPr>
          <w:rFonts w:ascii="Arial" w:hAnsi="Arial" w:cs="Arial"/>
        </w:rPr>
        <w:t xml:space="preserve">, obstaravatel </w:t>
      </w:r>
      <w:r w:rsidR="006D2634" w:rsidRPr="00F375BE">
        <w:rPr>
          <w:rFonts w:ascii="Arial" w:hAnsi="Arial" w:cs="Arial"/>
        </w:rPr>
        <w:t xml:space="preserve">použije takovou částku při výpočtu </w:t>
      </w:r>
      <w:r w:rsidRPr="00F375BE">
        <w:rPr>
          <w:rFonts w:ascii="Arial" w:hAnsi="Arial" w:cs="Arial"/>
        </w:rPr>
        <w:t xml:space="preserve">podružně měřených </w:t>
      </w:r>
      <w:r w:rsidR="006D2634" w:rsidRPr="00F375BE">
        <w:rPr>
          <w:rFonts w:ascii="Arial" w:hAnsi="Arial" w:cs="Arial"/>
        </w:rPr>
        <w:t>o</w:t>
      </w:r>
      <w:r w:rsidR="00BC5078" w:rsidRPr="00F375BE">
        <w:rPr>
          <w:rFonts w:ascii="Arial" w:hAnsi="Arial" w:cs="Arial"/>
        </w:rPr>
        <w:t>dběr</w:t>
      </w:r>
      <w:r w:rsidRPr="00F375BE">
        <w:rPr>
          <w:rFonts w:ascii="Arial" w:hAnsi="Arial" w:cs="Arial"/>
        </w:rPr>
        <w:t>ů</w:t>
      </w:r>
      <w:r w:rsidR="00BC5078" w:rsidRPr="00F375BE">
        <w:rPr>
          <w:rFonts w:ascii="Arial" w:hAnsi="Arial" w:cs="Arial"/>
        </w:rPr>
        <w:t xml:space="preserve"> elektrické energie</w:t>
      </w:r>
      <w:r w:rsidRPr="00F375BE">
        <w:rPr>
          <w:rFonts w:ascii="Arial" w:hAnsi="Arial" w:cs="Arial"/>
        </w:rPr>
        <w:t xml:space="preserve"> </w:t>
      </w:r>
      <w:r w:rsidR="00BC5078" w:rsidRPr="00F375BE">
        <w:rPr>
          <w:rFonts w:ascii="Arial" w:hAnsi="Arial" w:cs="Arial"/>
        </w:rPr>
        <w:t>za II. </w:t>
      </w:r>
      <w:r w:rsidR="006D2634" w:rsidRPr="00F375BE">
        <w:rPr>
          <w:rFonts w:ascii="Arial" w:hAnsi="Arial" w:cs="Arial"/>
        </w:rPr>
        <w:t xml:space="preserve">čtvrtletí 2023 jako </w:t>
      </w:r>
      <w:r w:rsidR="00BC5078" w:rsidRPr="00F375BE">
        <w:rPr>
          <w:rFonts w:ascii="Arial" w:hAnsi="Arial" w:cs="Arial"/>
        </w:rPr>
        <w:t>částečnou úhradu.</w:t>
      </w:r>
    </w:p>
    <w:p w14:paraId="4AAAF871" w14:textId="62CAD15C" w:rsidR="003F35D9" w:rsidRPr="00B5297B" w:rsidRDefault="003F35D9" w:rsidP="00F375BE">
      <w:pPr>
        <w:pStyle w:val="Zkladntextodsazen"/>
        <w:numPr>
          <w:ilvl w:val="0"/>
          <w:numId w:val="4"/>
        </w:numPr>
        <w:tabs>
          <w:tab w:val="clear" w:pos="644"/>
          <w:tab w:val="num" w:pos="284"/>
        </w:tabs>
        <w:ind w:left="0" w:firstLine="0"/>
        <w:jc w:val="both"/>
        <w:rPr>
          <w:rFonts w:ascii="Arial" w:hAnsi="Arial" w:cs="Arial"/>
          <w:color w:val="auto"/>
        </w:rPr>
      </w:pPr>
      <w:r w:rsidRPr="00B5297B">
        <w:rPr>
          <w:rFonts w:ascii="Arial" w:hAnsi="Arial" w:cs="Arial"/>
          <w:color w:val="auto"/>
        </w:rPr>
        <w:t>Smluvní strany se tímto dohodly, že tato smlouva rovněž automaticky zanik</w:t>
      </w:r>
      <w:r w:rsidR="00061E2D" w:rsidRPr="00B5297B">
        <w:rPr>
          <w:rFonts w:ascii="Arial" w:hAnsi="Arial" w:cs="Arial"/>
          <w:color w:val="auto"/>
        </w:rPr>
        <w:t>ne, pokud by zanikla</w:t>
      </w:r>
      <w:r w:rsidRPr="00B5297B">
        <w:rPr>
          <w:rFonts w:ascii="Arial" w:hAnsi="Arial" w:cs="Arial"/>
          <w:color w:val="auto"/>
        </w:rPr>
        <w:t xml:space="preserve"> </w:t>
      </w:r>
      <w:r w:rsidR="00F375BE" w:rsidRPr="00B5297B">
        <w:rPr>
          <w:rFonts w:ascii="Arial" w:hAnsi="Arial" w:cs="Arial"/>
          <w:color w:val="auto"/>
        </w:rPr>
        <w:t>smlouva o </w:t>
      </w:r>
      <w:r w:rsidRPr="00B5297B">
        <w:rPr>
          <w:rFonts w:ascii="Arial" w:hAnsi="Arial" w:cs="Arial"/>
          <w:color w:val="auto"/>
        </w:rPr>
        <w:t>využití prostoru ko</w:t>
      </w:r>
      <w:r w:rsidR="00061E2D" w:rsidRPr="00B5297B">
        <w:rPr>
          <w:rFonts w:ascii="Arial" w:hAnsi="Arial" w:cs="Arial"/>
          <w:color w:val="auto"/>
        </w:rPr>
        <w:t>lektoru k uložení kabelové sítě (vč. všech její dodatků)</w:t>
      </w:r>
      <w:r w:rsidRPr="00B5297B">
        <w:rPr>
          <w:rFonts w:ascii="Arial" w:hAnsi="Arial" w:cs="Arial"/>
          <w:color w:val="auto"/>
        </w:rPr>
        <w:t xml:space="preserve"> č. KP </w:t>
      </w:r>
      <w:r w:rsidR="006B3E3C" w:rsidRPr="00B5297B">
        <w:rPr>
          <w:rFonts w:ascii="Arial" w:hAnsi="Arial" w:cs="Arial"/>
          <w:color w:val="auto"/>
        </w:rPr>
        <w:t xml:space="preserve">7163/97, č. TMCZ 10000-0000-00, </w:t>
      </w:r>
      <w:r w:rsidR="00061E2D" w:rsidRPr="00B5297B">
        <w:rPr>
          <w:rFonts w:ascii="Arial" w:hAnsi="Arial" w:cs="Arial"/>
          <w:color w:val="auto"/>
        </w:rPr>
        <w:t>a to ke stejnému datu.</w:t>
      </w:r>
    </w:p>
    <w:p w14:paraId="6AEE3D02" w14:textId="77777777" w:rsidR="00FB5E0B" w:rsidRPr="00F375BE" w:rsidRDefault="00FB5E0B" w:rsidP="00F375BE">
      <w:pPr>
        <w:pStyle w:val="Zkladntextodsazen"/>
        <w:numPr>
          <w:ilvl w:val="0"/>
          <w:numId w:val="4"/>
        </w:numPr>
        <w:tabs>
          <w:tab w:val="clear" w:pos="644"/>
          <w:tab w:val="num" w:pos="360"/>
        </w:tabs>
        <w:ind w:left="0" w:firstLine="0"/>
        <w:jc w:val="both"/>
        <w:rPr>
          <w:rFonts w:ascii="Arial" w:hAnsi="Arial" w:cs="Arial"/>
        </w:rPr>
      </w:pPr>
      <w:r w:rsidRPr="00F375BE">
        <w:rPr>
          <w:rFonts w:ascii="Arial" w:hAnsi="Arial" w:cs="Arial"/>
        </w:rPr>
        <w:t>Tuto smlouvu lze měnit jen číslovanými písemnými dodatky, podepsanými zástupci smluvních stran.</w:t>
      </w:r>
    </w:p>
    <w:p w14:paraId="7E5303AE" w14:textId="77777777" w:rsidR="00FB5E0B" w:rsidRPr="00897C32" w:rsidRDefault="00FB5E0B" w:rsidP="00FB5E0B">
      <w:pPr>
        <w:pStyle w:val="Zkladntextodsazen"/>
        <w:suppressAutoHyphens w:val="0"/>
        <w:spacing w:after="0"/>
        <w:ind w:left="624"/>
        <w:jc w:val="both"/>
        <w:rPr>
          <w:rFonts w:cs="Arial"/>
        </w:rPr>
      </w:pPr>
    </w:p>
    <w:p w14:paraId="3BB77809" w14:textId="77777777" w:rsidR="001020C5" w:rsidRDefault="00501755">
      <w:pPr>
        <w:pStyle w:val="Nadpis1"/>
        <w:tabs>
          <w:tab w:val="left" w:pos="5387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V Praze dne:</w:t>
      </w:r>
      <w:r>
        <w:rPr>
          <w:sz w:val="20"/>
          <w:szCs w:val="20"/>
        </w:rPr>
        <w:tab/>
        <w:t>V Praze dne</w:t>
      </w:r>
    </w:p>
    <w:p w14:paraId="49F1C125" w14:textId="77777777" w:rsidR="001C4923" w:rsidRDefault="001C4923">
      <w:pPr>
        <w:tabs>
          <w:tab w:val="left" w:pos="5387"/>
        </w:tabs>
        <w:rPr>
          <w:rFonts w:ascii="Arial" w:hAnsi="Arial"/>
        </w:rPr>
      </w:pPr>
    </w:p>
    <w:p w14:paraId="679C37EC" w14:textId="77777777" w:rsidR="001020C5" w:rsidRDefault="00501755">
      <w:pPr>
        <w:tabs>
          <w:tab w:val="left" w:pos="5387"/>
        </w:tabs>
        <w:rPr>
          <w:rFonts w:ascii="Arial" w:eastAsia="Arial" w:hAnsi="Arial" w:cs="Arial"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  <w:t>Obstaravatel:</w:t>
      </w:r>
    </w:p>
    <w:p w14:paraId="6F1A45AD" w14:textId="77777777" w:rsidR="001020C5" w:rsidRDefault="00542EE4">
      <w:pPr>
        <w:tabs>
          <w:tab w:val="left" w:pos="5387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T-Mobile Czech Republic a.s.</w:t>
      </w:r>
      <w:r w:rsidR="00501755">
        <w:rPr>
          <w:rFonts w:ascii="Arial" w:eastAsia="Arial" w:hAnsi="Arial" w:cs="Arial"/>
          <w:b/>
          <w:bCs/>
        </w:rPr>
        <w:tab/>
        <w:t>Kolektory Praha, a.s</w:t>
      </w:r>
    </w:p>
    <w:p w14:paraId="5DF00218" w14:textId="77777777" w:rsidR="001020C5" w:rsidRDefault="001020C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5B8D437C" w14:textId="77777777" w:rsidR="001020C5" w:rsidRDefault="001020C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5562D40C" w14:textId="77777777" w:rsidR="001020C5" w:rsidRDefault="001020C5">
      <w:pPr>
        <w:pStyle w:val="Titulzast"/>
        <w:rPr>
          <w:rFonts w:eastAsia="Arial"/>
        </w:rPr>
      </w:pPr>
    </w:p>
    <w:p w14:paraId="4B6DAEB2" w14:textId="77777777" w:rsidR="001020C5" w:rsidRDefault="001020C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49D3B070" w14:textId="77777777" w:rsidR="001020C5" w:rsidRDefault="0050175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  <w:r>
        <w:rPr>
          <w:rFonts w:ascii="Arial" w:hAnsi="Arial"/>
          <w:sz w:val="20"/>
          <w:szCs w:val="20"/>
        </w:rPr>
        <w:tab/>
        <w:t>…………………………………………..</w:t>
      </w:r>
    </w:p>
    <w:p w14:paraId="5924A75B" w14:textId="786C8D9B" w:rsidR="001020C5" w:rsidRPr="001C4923" w:rsidRDefault="00982F39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  <w:r w:rsidRPr="001C4923">
        <w:rPr>
          <w:rFonts w:ascii="Arial" w:eastAsia="Arial" w:hAnsi="Arial" w:cs="Arial"/>
          <w:sz w:val="20"/>
          <w:szCs w:val="20"/>
        </w:rPr>
        <w:t>Ing. Zuzana Žaludová</w:t>
      </w:r>
      <w:r w:rsidR="00501755" w:rsidRPr="001C4923">
        <w:rPr>
          <w:rFonts w:ascii="Arial" w:eastAsia="Arial" w:hAnsi="Arial" w:cs="Arial"/>
          <w:sz w:val="20"/>
          <w:szCs w:val="20"/>
        </w:rPr>
        <w:tab/>
        <w:t xml:space="preserve">Ing. Petr </w:t>
      </w:r>
      <w:r w:rsidR="00501755" w:rsidRPr="001C4923">
        <w:rPr>
          <w:rFonts w:ascii="Arial" w:hAnsi="Arial"/>
          <w:sz w:val="20"/>
          <w:szCs w:val="20"/>
        </w:rPr>
        <w:t>Š</w:t>
      </w:r>
      <w:r w:rsidR="00501755" w:rsidRPr="001C4923">
        <w:rPr>
          <w:rFonts w:ascii="Arial" w:hAnsi="Arial"/>
          <w:sz w:val="20"/>
          <w:szCs w:val="20"/>
          <w:lang w:val="fr-FR"/>
        </w:rPr>
        <w:t>vec</w:t>
      </w:r>
    </w:p>
    <w:p w14:paraId="6E3532C2" w14:textId="07648757" w:rsidR="001020C5" w:rsidRPr="001C4923" w:rsidRDefault="00982F39">
      <w:pPr>
        <w:pStyle w:val="Titulzast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  <w:r w:rsidRPr="001C4923">
        <w:rPr>
          <w:rFonts w:ascii="Arial" w:eastAsia="Arial" w:hAnsi="Arial" w:cs="Arial"/>
          <w:sz w:val="20"/>
          <w:szCs w:val="20"/>
        </w:rPr>
        <w:t>na základě pověření</w:t>
      </w:r>
      <w:r w:rsidR="00501755" w:rsidRPr="001C4923">
        <w:rPr>
          <w:rFonts w:ascii="Arial" w:eastAsia="Arial" w:hAnsi="Arial" w:cs="Arial"/>
          <w:sz w:val="20"/>
          <w:szCs w:val="20"/>
        </w:rPr>
        <w:tab/>
        <w:t>p</w:t>
      </w:r>
      <w:r w:rsidR="00501755" w:rsidRPr="001C4923">
        <w:rPr>
          <w:rFonts w:ascii="Arial" w:hAnsi="Arial"/>
          <w:sz w:val="20"/>
          <w:szCs w:val="20"/>
        </w:rPr>
        <w:t>ředseda představenstva</w:t>
      </w:r>
    </w:p>
    <w:p w14:paraId="09E9417A" w14:textId="77777777" w:rsidR="001020C5" w:rsidRDefault="001020C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5481A8AE" w14:textId="77777777" w:rsidR="001020C5" w:rsidRDefault="001020C5"/>
    <w:p w14:paraId="0D31005E" w14:textId="77777777" w:rsidR="001020C5" w:rsidRDefault="001020C5"/>
    <w:p w14:paraId="2BE7D1DE" w14:textId="77777777" w:rsidR="001020C5" w:rsidRDefault="001020C5"/>
    <w:p w14:paraId="776B0291" w14:textId="77777777" w:rsidR="001020C5" w:rsidRDefault="0050175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…………………………………………</w:t>
      </w:r>
      <w:r>
        <w:rPr>
          <w:rFonts w:ascii="Arial" w:hAnsi="Arial"/>
          <w:sz w:val="20"/>
          <w:szCs w:val="20"/>
        </w:rPr>
        <w:t>..</w:t>
      </w:r>
    </w:p>
    <w:p w14:paraId="5F4E7B78" w14:textId="77777777" w:rsidR="001020C5" w:rsidRDefault="00501755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Mgr. Jan Vid</w:t>
      </w:r>
      <w:r>
        <w:rPr>
          <w:rFonts w:ascii="Arial" w:hAnsi="Arial"/>
          <w:sz w:val="20"/>
          <w:szCs w:val="20"/>
        </w:rPr>
        <w:t>ím</w:t>
      </w:r>
    </w:p>
    <w:p w14:paraId="60E3A21A" w14:textId="77777777" w:rsidR="001020C5" w:rsidRDefault="00501755">
      <w:pPr>
        <w:pStyle w:val="Titulzast"/>
        <w:tabs>
          <w:tab w:val="clear" w:pos="5670"/>
          <w:tab w:val="left" w:pos="5387"/>
        </w:tabs>
        <w:jc w:val="both"/>
      </w:pP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hAnsi="Arial"/>
          <w:sz w:val="20"/>
          <w:szCs w:val="20"/>
        </w:rPr>
        <w:t>ístopředseda představenstva</w:t>
      </w:r>
    </w:p>
    <w:sectPr w:rsidR="001020C5" w:rsidSect="00FF58FF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92CA" w14:textId="77777777" w:rsidR="008B7D1A" w:rsidRDefault="00501755">
      <w:r>
        <w:separator/>
      </w:r>
    </w:p>
  </w:endnote>
  <w:endnote w:type="continuationSeparator" w:id="0">
    <w:p w14:paraId="0B7E32F4" w14:textId="77777777" w:rsidR="008B7D1A" w:rsidRDefault="0050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CE30" w14:textId="77777777" w:rsidR="001020C5" w:rsidRDefault="00501755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 w:rsidR="001C492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B4C9" w14:textId="77777777" w:rsidR="008B7D1A" w:rsidRDefault="00501755">
      <w:r>
        <w:separator/>
      </w:r>
    </w:p>
  </w:footnote>
  <w:footnote w:type="continuationSeparator" w:id="0">
    <w:p w14:paraId="6F9E9A10" w14:textId="77777777" w:rsidR="008B7D1A" w:rsidRDefault="0050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0A82" w14:textId="77777777" w:rsidR="001020C5" w:rsidRDefault="00501755">
    <w:pPr>
      <w:pStyle w:val="Zhlav"/>
      <w:pBdr>
        <w:bottom w:val="single" w:sz="4" w:space="0" w:color="000000"/>
      </w:pBdr>
      <w:tabs>
        <w:tab w:val="clear" w:pos="9072"/>
        <w:tab w:val="right" w:pos="9046"/>
      </w:tabs>
      <w:jc w:val="right"/>
    </w:pPr>
    <w:r>
      <w:rPr>
        <w:i/>
        <w:iCs/>
      </w:rPr>
      <w:t xml:space="preserve">Evidenční číslo smlouvy obstaravatele: TP – </w:t>
    </w:r>
    <w:r w:rsidR="009B056F">
      <w:rPr>
        <w:i/>
        <w:iCs/>
      </w:rPr>
      <w:t>2</w:t>
    </w:r>
    <w:r>
      <w:rPr>
        <w:i/>
        <w:iCs/>
      </w:rPr>
      <w:t>/202</w:t>
    </w:r>
    <w:r w:rsidR="00D27E4C">
      <w:rPr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19F"/>
    <w:multiLevelType w:val="hybridMultilevel"/>
    <w:tmpl w:val="BB60F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530E"/>
    <w:multiLevelType w:val="hybridMultilevel"/>
    <w:tmpl w:val="2AE29A64"/>
    <w:lvl w:ilvl="0" w:tplc="6AF0E4A2">
      <w:start w:val="1"/>
      <w:numFmt w:val="decimal"/>
      <w:lvlText w:val="%1. 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684C0751"/>
    <w:multiLevelType w:val="hybridMultilevel"/>
    <w:tmpl w:val="D9E857A6"/>
    <w:lvl w:ilvl="0" w:tplc="49A6C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4C39"/>
    <w:multiLevelType w:val="hybridMultilevel"/>
    <w:tmpl w:val="C1E2B184"/>
    <w:lvl w:ilvl="0" w:tplc="B928B6A4">
      <w:start w:val="2"/>
      <w:numFmt w:val="decimal"/>
      <w:lvlText w:val="%1. "/>
      <w:lvlJc w:val="left"/>
      <w:pPr>
        <w:tabs>
          <w:tab w:val="num" w:pos="2340"/>
        </w:tabs>
        <w:ind w:left="2320" w:hanging="34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27933316">
    <w:abstractNumId w:val="2"/>
  </w:num>
  <w:num w:numId="2" w16cid:durableId="1154031100">
    <w:abstractNumId w:val="3"/>
  </w:num>
  <w:num w:numId="3" w16cid:durableId="1485660583">
    <w:abstractNumId w:val="0"/>
  </w:num>
  <w:num w:numId="4" w16cid:durableId="38653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C5"/>
    <w:rsid w:val="00033428"/>
    <w:rsid w:val="00061E2D"/>
    <w:rsid w:val="000671B5"/>
    <w:rsid w:val="000836C4"/>
    <w:rsid w:val="001020C5"/>
    <w:rsid w:val="001C4923"/>
    <w:rsid w:val="002F41C6"/>
    <w:rsid w:val="003111DD"/>
    <w:rsid w:val="003E1FC2"/>
    <w:rsid w:val="003F35D9"/>
    <w:rsid w:val="004816BD"/>
    <w:rsid w:val="004E4A12"/>
    <w:rsid w:val="00501755"/>
    <w:rsid w:val="00542EE4"/>
    <w:rsid w:val="005470BD"/>
    <w:rsid w:val="005861F8"/>
    <w:rsid w:val="006271B6"/>
    <w:rsid w:val="00660F7D"/>
    <w:rsid w:val="006B3E3C"/>
    <w:rsid w:val="006D2634"/>
    <w:rsid w:val="007609F9"/>
    <w:rsid w:val="008968F8"/>
    <w:rsid w:val="008B7D1A"/>
    <w:rsid w:val="00940AFD"/>
    <w:rsid w:val="009710C1"/>
    <w:rsid w:val="00982F39"/>
    <w:rsid w:val="009A274E"/>
    <w:rsid w:val="009B056F"/>
    <w:rsid w:val="009D5185"/>
    <w:rsid w:val="009F5A00"/>
    <w:rsid w:val="00A24220"/>
    <w:rsid w:val="00B5297B"/>
    <w:rsid w:val="00B93EA4"/>
    <w:rsid w:val="00BC5078"/>
    <w:rsid w:val="00CB58B3"/>
    <w:rsid w:val="00D27E4C"/>
    <w:rsid w:val="00D410B5"/>
    <w:rsid w:val="00EC7C77"/>
    <w:rsid w:val="00F375BE"/>
    <w:rsid w:val="00F722BD"/>
    <w:rsid w:val="00FB5E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235C62"/>
  <w15:docId w15:val="{962B56F2-8535-4914-8B23-299BD46D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qFormat/>
    <w:pPr>
      <w:keepNext/>
      <w:jc w:val="both"/>
      <w:outlineLv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dpis3">
    <w:name w:val="heading 3"/>
    <w:next w:val="Normln"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paragraph" w:styleId="Nadpis4">
    <w:name w:val="heading 4"/>
    <w:next w:val="Normln"/>
    <w:qFormat/>
    <w:pPr>
      <w:keepNext/>
      <w:jc w:val="center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Nadpis5">
    <w:name w:val="heading 5"/>
    <w:next w:val="Normln"/>
    <w:qFormat/>
    <w:pPr>
      <w:keepNext/>
      <w:jc w:val="center"/>
      <w:outlineLvl w:val="4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character" w:styleId="slostrnky">
    <w:name w:val="page number"/>
    <w:qFormat/>
  </w:style>
  <w:style w:type="character" w:customStyle="1" w:styleId="platne1">
    <w:name w:val="platne1"/>
    <w:qFormat/>
  </w:style>
  <w:style w:type="character" w:customStyle="1" w:styleId="Zkladntextodsazen2Char">
    <w:name w:val="Základní text odsazený 2 Char"/>
    <w:qFormat/>
    <w:rPr>
      <w:sz w:val="20"/>
      <w:szCs w:val="20"/>
    </w:rPr>
  </w:style>
  <w:style w:type="character" w:customStyle="1" w:styleId="Zkladntext3Char">
    <w:name w:val="Základní text 3 Char"/>
    <w:qFormat/>
    <w:rPr>
      <w:sz w:val="16"/>
      <w:szCs w:val="16"/>
    </w:rPr>
  </w:style>
  <w:style w:type="character" w:customStyle="1" w:styleId="Zkladntext2Char">
    <w:name w:val="Základní text 2 Char"/>
    <w:qFormat/>
    <w:rPr>
      <w:sz w:val="20"/>
      <w:szCs w:val="20"/>
    </w:rPr>
  </w:style>
  <w:style w:type="character" w:customStyle="1" w:styleId="ZhlavChar">
    <w:name w:val="Záhlaví Char"/>
    <w:qFormat/>
    <w:rPr>
      <w:sz w:val="20"/>
      <w:szCs w:val="20"/>
    </w:rPr>
  </w:style>
  <w:style w:type="character" w:customStyle="1" w:styleId="ZkladntextChar">
    <w:name w:val="Základní text Char"/>
    <w:qFormat/>
    <w:rPr>
      <w:sz w:val="20"/>
      <w:szCs w:val="20"/>
    </w:rPr>
  </w:style>
  <w:style w:type="character" w:customStyle="1" w:styleId="ZkladntextodsazenChar">
    <w:name w:val="Základní text odsazený Char"/>
    <w:qFormat/>
    <w:rPr>
      <w:sz w:val="20"/>
      <w:szCs w:val="20"/>
    </w:rPr>
  </w:style>
  <w:style w:type="character" w:customStyle="1" w:styleId="NzevChar">
    <w:name w:val="Název Char"/>
    <w:qFormat/>
    <w:rPr>
      <w:rFonts w:ascii="Cambria" w:hAnsi="Cambria" w:cs="Cambria"/>
      <w:b/>
      <w:bCs/>
      <w:sz w:val="32"/>
      <w:szCs w:val="32"/>
    </w:rPr>
  </w:style>
  <w:style w:type="character" w:customStyle="1" w:styleId="ZpatChar">
    <w:name w:val="Zápatí Char"/>
    <w:qFormat/>
    <w:rPr>
      <w:sz w:val="20"/>
      <w:szCs w:val="20"/>
    </w:rPr>
  </w:style>
  <w:style w:type="character" w:customStyle="1" w:styleId="Nadpis5Char">
    <w:name w:val="Nadpis 5 Char"/>
    <w:qFormat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4Char">
    <w:name w:val="Nadpis 4 Char"/>
    <w:qFormat/>
    <w:rPr>
      <w:rFonts w:ascii="Calibri" w:hAnsi="Calibri" w:cs="Calibri"/>
      <w:b/>
      <w:bCs/>
      <w:sz w:val="28"/>
      <w:szCs w:val="28"/>
    </w:rPr>
  </w:style>
  <w:style w:type="character" w:customStyle="1" w:styleId="Nadpis3Char">
    <w:name w:val="Nadpis 3 Char"/>
    <w:qFormat/>
    <w:rPr>
      <w:rFonts w:ascii="Cambria" w:hAnsi="Cambria" w:cs="Cambria"/>
      <w:b/>
      <w:bCs/>
      <w:sz w:val="26"/>
      <w:szCs w:val="26"/>
    </w:rPr>
  </w:style>
  <w:style w:type="character" w:customStyle="1" w:styleId="Nadpis2Char">
    <w:name w:val="Nadpis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1Char">
    <w:name w:val="Nadpis 1 Char"/>
    <w:qFormat/>
    <w:rPr>
      <w:rFonts w:ascii="Cambria" w:hAnsi="Cambria" w:cs="Cambria"/>
      <w:b/>
      <w:bCs/>
      <w:sz w:val="32"/>
      <w:szCs w:val="32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u w:color="000000"/>
    </w:rPr>
  </w:style>
  <w:style w:type="paragraph" w:styleId="Podnadpis">
    <w:name w:val="Subtitle"/>
    <w:qFormat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kladntext2">
    <w:name w:val="Body Text 2"/>
    <w:qFormat/>
    <w:pPr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Zkladntext3">
    <w:name w:val="Body Text 3"/>
    <w:qFormat/>
    <w:pPr>
      <w:jc w:val="both"/>
    </w:pPr>
    <w:rPr>
      <w:rFonts w:ascii="Arial" w:hAnsi="Arial" w:cs="Arial Unicode MS"/>
      <w:color w:val="FF0000"/>
      <w:sz w:val="24"/>
      <w:szCs w:val="24"/>
      <w:u w:color="FF0000"/>
    </w:rPr>
  </w:style>
  <w:style w:type="paragraph" w:customStyle="1" w:styleId="Jmno">
    <w:name w:val="Jméno"/>
    <w:next w:val="Titulzast"/>
    <w:qFormat/>
    <w:pPr>
      <w:widowControl w:val="0"/>
      <w:tabs>
        <w:tab w:val="left" w:pos="5670"/>
      </w:tabs>
      <w:ind w:firstLine="567"/>
    </w:pPr>
    <w:rPr>
      <w:rFonts w:eastAsia="Times New Roman"/>
      <w:color w:val="000000"/>
      <w:sz w:val="24"/>
      <w:szCs w:val="24"/>
      <w:u w:color="000000"/>
    </w:rPr>
  </w:style>
  <w:style w:type="paragraph" w:customStyle="1" w:styleId="Titulzast">
    <w:name w:val="Titul zast."/>
    <w:next w:val="Normln"/>
    <w:qFormat/>
    <w:pPr>
      <w:widowControl w:val="0"/>
      <w:tabs>
        <w:tab w:val="left" w:pos="5670"/>
      </w:tabs>
      <w:ind w:firstLine="567"/>
    </w:pPr>
    <w:rPr>
      <w:rFonts w:eastAsia="Times New Roman"/>
      <w:color w:val="000000"/>
      <w:sz w:val="24"/>
      <w:szCs w:val="24"/>
      <w:u w:color="000000"/>
    </w:rPr>
  </w:style>
  <w:style w:type="paragraph" w:customStyle="1" w:styleId="OdrkyPP">
    <w:name w:val="Odrážky PP"/>
    <w:basedOn w:val="Normln"/>
    <w:qFormat/>
  </w:style>
  <w:style w:type="paragraph" w:styleId="Zkladntextodsazen2">
    <w:name w:val="Body Text Indent 2"/>
    <w:basedOn w:val="Normln"/>
    <w:qFormat/>
    <w:pPr>
      <w:ind w:left="1418" w:firstLine="7"/>
    </w:pPr>
    <w:rPr>
      <w:rFonts w:ascii="Arial" w:hAnsi="Arial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F3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5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35D9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5D9"/>
    <w:rPr>
      <w:rFonts w:cs="Arial Unicode MS"/>
      <w:b/>
      <w:bCs/>
      <w:color w:val="000000"/>
      <w:u w:color="000000"/>
    </w:rPr>
  </w:style>
  <w:style w:type="paragraph" w:styleId="Zkladntextodsazen">
    <w:name w:val="Body Text Indent"/>
    <w:basedOn w:val="Normln"/>
    <w:link w:val="ZkladntextodsazenChar1"/>
    <w:uiPriority w:val="99"/>
    <w:unhideWhenUsed/>
    <w:rsid w:val="003F35D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3F35D9"/>
    <w:rPr>
      <w:rFonts w:cs="Arial Unicode MS"/>
      <w:color w:val="000000"/>
      <w:u w:color="000000"/>
    </w:rPr>
  </w:style>
  <w:style w:type="paragraph" w:styleId="Odstavecseseznamem">
    <w:name w:val="List Paragraph"/>
    <w:basedOn w:val="Normln"/>
    <w:uiPriority w:val="34"/>
    <w:qFormat/>
    <w:rsid w:val="003F35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0F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F7D"/>
    <w:rPr>
      <w:rFonts w:ascii="Tahoma" w:hAnsi="Tahoma" w:cs="Tahoma"/>
      <w:color w:val="000000"/>
      <w:sz w:val="16"/>
      <w:szCs w:val="16"/>
      <w:u w:color="000000"/>
    </w:rPr>
  </w:style>
  <w:style w:type="paragraph" w:styleId="Revize">
    <w:name w:val="Revision"/>
    <w:hidden/>
    <w:uiPriority w:val="99"/>
    <w:semiHidden/>
    <w:rsid w:val="008968F8"/>
    <w:pPr>
      <w:suppressAutoHyphens w:val="0"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909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2023-03-28T10:28:00Z</cp:lastPrinted>
  <dcterms:created xsi:type="dcterms:W3CDTF">2023-05-12T08:54:00Z</dcterms:created>
  <dcterms:modified xsi:type="dcterms:W3CDTF">2023-05-12T08:57:00Z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2023-03-28T08:43:59Z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e61be0c4-a1d1-4cf7-9a55-967853a37c19</vt:lpwstr>
  </property>
  <property fmtid="{D5CDD505-2E9C-101B-9397-08002B2CF9AE}" pid="8" name="MSIP_Label_e3e41b38-373c-4b3a-9137-5c0b023d0bef_ContentBits">
    <vt:lpwstr>0</vt:lpwstr>
  </property>
</Properties>
</file>