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 w:lineRule="exact"/>
      </w:pPr>
      <w:r>
        <mc:AlternateContent>
          <mc:Choice Requires="wps">
            <w:drawing>
              <wp:anchor distT="0" distB="0" distL="114300" distR="114300" simplePos="0" relativeHeight="125829378" behindDoc="0" locked="0" layoutInCell="1" allowOverlap="1">
                <wp:simplePos x="0" y="0"/>
                <wp:positionH relativeFrom="page">
                  <wp:posOffset>5538470</wp:posOffset>
                </wp:positionH>
                <wp:positionV relativeFrom="paragraph">
                  <wp:posOffset>12700</wp:posOffset>
                </wp:positionV>
                <wp:extent cx="1121410" cy="450850"/>
                <wp:wrapSquare wrapText="left"/>
                <wp:docPr id="1" name="Shape 1"/>
                <a:graphic xmlns:a="http://schemas.openxmlformats.org/drawingml/2006/main">
                  <a:graphicData uri="http://schemas.microsoft.com/office/word/2010/wordprocessingShape">
                    <wps:wsp>
                      <wps:cNvSpPr txBox="1"/>
                      <wps:spPr>
                        <a:xfrm>
                          <a:ext cx="1121410" cy="45085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cs-CZ" w:eastAsia="cs-CZ" w:bidi="cs-CZ"/>
                              </w:rPr>
                              <w:t>Galileo’</w:t>
                            </w:r>
                          </w:p>
                          <w:p>
                            <w:pPr>
                              <w:pStyle w:val="Style4"/>
                              <w:keepNext w:val="0"/>
                              <w:keepLines w:val="0"/>
                              <w:widowControl w:val="0"/>
                              <w:shd w:val="clear" w:color="auto" w:fill="auto"/>
                              <w:bidi w:val="0"/>
                              <w:spacing w:before="0" w:after="0" w:line="240" w:lineRule="auto"/>
                              <w:ind w:left="0" w:right="0" w:firstLine="0"/>
                              <w:jc w:val="center"/>
                            </w:pPr>
                            <w:r>
                              <w:rPr>
                                <w:spacing w:val="0"/>
                                <w:w w:val="100"/>
                                <w:position w:val="0"/>
                                <w:shd w:val="clear" w:color="auto" w:fill="auto"/>
                              </w:rPr>
                              <w:t>corporation</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36.10000000000002pt;margin-top:1.pt;width:88.299999999999997pt;height:35.5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cs-CZ" w:eastAsia="cs-CZ" w:bidi="cs-CZ"/>
                        </w:rPr>
                        <w:t>Galileo’</w:t>
                      </w:r>
                    </w:p>
                    <w:p>
                      <w:pPr>
                        <w:pStyle w:val="Style4"/>
                        <w:keepNext w:val="0"/>
                        <w:keepLines w:val="0"/>
                        <w:widowControl w:val="0"/>
                        <w:shd w:val="clear" w:color="auto" w:fill="auto"/>
                        <w:bidi w:val="0"/>
                        <w:spacing w:before="0" w:after="0" w:line="240" w:lineRule="auto"/>
                        <w:ind w:left="0" w:right="0" w:firstLine="0"/>
                        <w:jc w:val="center"/>
                      </w:pPr>
                      <w:r>
                        <w:rPr>
                          <w:spacing w:val="0"/>
                          <w:w w:val="100"/>
                          <w:position w:val="0"/>
                          <w:shd w:val="clear" w:color="auto" w:fill="auto"/>
                        </w:rPr>
                        <w:t>corporation</w:t>
                      </w:r>
                    </w:p>
                  </w:txbxContent>
                </v:textbox>
                <w10:wrap type="square" side="left" anchorx="page"/>
              </v:shape>
            </w:pict>
          </mc:Fallback>
        </mc:AlternateContent>
      </w:r>
    </w:p>
    <w:p>
      <w:pPr>
        <w:pStyle w:val="Style9"/>
        <w:keepNext w:val="0"/>
        <w:keepLines w:val="0"/>
        <w:widowControl w:val="0"/>
        <w:shd w:val="clear" w:color="auto" w:fill="auto"/>
        <w:bidi w:val="0"/>
        <w:spacing w:before="0" w:after="0" w:line="240" w:lineRule="auto"/>
        <w:ind w:left="0" w:right="0" w:firstLine="0"/>
        <w:jc w:val="both"/>
      </w:pPr>
      <w:r>
        <w:rPr>
          <w:b w:val="0"/>
          <w:bCs w:val="0"/>
          <w:color w:val="000000"/>
          <w:spacing w:val="0"/>
          <w:w w:val="100"/>
          <w:position w:val="0"/>
          <w:shd w:val="clear" w:color="auto" w:fill="auto"/>
          <w:lang w:val="cs-CZ" w:eastAsia="cs-CZ" w:bidi="cs-CZ"/>
        </w:rPr>
        <w:t>PRODUKTOVÝ LIST Č.2</w:t>
      </w:r>
    </w:p>
    <w:p>
      <w:pPr>
        <w:pStyle w:val="Style9"/>
        <w:keepNext w:val="0"/>
        <w:keepLines w:val="0"/>
        <w:widowControl w:val="0"/>
        <w:shd w:val="clear" w:color="auto" w:fill="auto"/>
        <w:bidi w:val="0"/>
        <w:spacing w:before="0" w:after="800" w:line="240" w:lineRule="auto"/>
        <w:ind w:left="0" w:right="0" w:firstLine="0"/>
        <w:jc w:val="both"/>
      </w:pPr>
      <w:r>
        <w:rPr>
          <w:color w:val="000000"/>
          <w:spacing w:val="0"/>
          <w:w w:val="100"/>
          <w:position w:val="0"/>
          <w:shd w:val="clear" w:color="auto" w:fill="auto"/>
          <w:lang w:val="cs-CZ" w:eastAsia="cs-CZ" w:bidi="cs-CZ"/>
        </w:rPr>
        <w:t>Ochrana osobních údajů a služby pověřence DPO</w:t>
      </w:r>
    </w:p>
    <w:p>
      <w:pPr>
        <w:pStyle w:val="Style15"/>
        <w:keepNext/>
        <w:keepLines/>
        <w:widowControl w:val="0"/>
        <w:shd w:val="clear" w:color="auto" w:fill="auto"/>
        <w:bidi w:val="0"/>
        <w:spacing w:before="0" w:line="240" w:lineRule="auto"/>
        <w:ind w:left="0" w:right="0" w:firstLine="0"/>
        <w:jc w:val="center"/>
      </w:pPr>
      <w:bookmarkStart w:id="0" w:name="bookmark0"/>
      <w:bookmarkStart w:id="1" w:name="bookmark1"/>
      <w:r>
        <w:rPr>
          <w:color w:val="000000"/>
          <w:spacing w:val="0"/>
          <w:w w:val="100"/>
          <w:position w:val="0"/>
          <w:shd w:val="clear" w:color="auto" w:fill="auto"/>
          <w:lang w:val="cs-CZ" w:eastAsia="cs-CZ" w:bidi="cs-CZ"/>
        </w:rPr>
        <w:t xml:space="preserve">PRODUKTOVÝ </w:t>
      </w:r>
      <w:r>
        <w:rPr>
          <w:color w:val="000000"/>
          <w:spacing w:val="0"/>
          <w:w w:val="100"/>
          <w:position w:val="0"/>
          <w:shd w:val="clear" w:color="auto" w:fill="auto"/>
          <w:lang w:val="en-US" w:eastAsia="en-US" w:bidi="en-US"/>
        </w:rPr>
        <w:t xml:space="preserve">LIST </w:t>
      </w:r>
      <w:r>
        <w:rPr>
          <w:color w:val="000000"/>
          <w:spacing w:val="0"/>
          <w:w w:val="100"/>
          <w:position w:val="0"/>
          <w:shd w:val="clear" w:color="auto" w:fill="auto"/>
          <w:lang w:val="cs-CZ" w:eastAsia="cs-CZ" w:bidi="cs-CZ"/>
        </w:rPr>
        <w:t>Č.2</w:t>
      </w:r>
      <w:bookmarkEnd w:id="0"/>
      <w:bookmarkEnd w:id="1"/>
    </w:p>
    <w:p>
      <w:pPr>
        <w:pStyle w:val="Style17"/>
        <w:keepNext w:val="0"/>
        <w:keepLines w:val="0"/>
        <w:widowControl w:val="0"/>
        <w:shd w:val="clear" w:color="auto" w:fill="auto"/>
        <w:bidi w:val="0"/>
        <w:spacing w:before="0"/>
        <w:ind w:left="0" w:right="0" w:firstLine="0"/>
        <w:jc w:val="center"/>
        <w:rPr>
          <w:sz w:val="22"/>
          <w:szCs w:val="22"/>
        </w:rPr>
      </w:pPr>
      <w:r>
        <w:rPr>
          <w:color w:val="000000"/>
          <w:spacing w:val="0"/>
          <w:w w:val="100"/>
          <w:position w:val="0"/>
          <w:sz w:val="28"/>
          <w:szCs w:val="28"/>
          <w:shd w:val="clear" w:color="auto" w:fill="auto"/>
          <w:lang w:val="en-US" w:eastAsia="en-US" w:bidi="en-US"/>
        </w:rPr>
        <w:t xml:space="preserve">Ochrana </w:t>
      </w:r>
      <w:r>
        <w:rPr>
          <w:color w:val="000000"/>
          <w:spacing w:val="0"/>
          <w:w w:val="100"/>
          <w:position w:val="0"/>
          <w:sz w:val="28"/>
          <w:szCs w:val="28"/>
          <w:shd w:val="clear" w:color="auto" w:fill="auto"/>
          <w:lang w:val="cs-CZ" w:eastAsia="cs-CZ" w:bidi="cs-CZ"/>
        </w:rPr>
        <w:t xml:space="preserve">osobních údajů </w:t>
      </w:r>
      <w:r>
        <w:rPr>
          <w:color w:val="000000"/>
          <w:spacing w:val="0"/>
          <w:w w:val="100"/>
          <w:position w:val="0"/>
          <w:sz w:val="28"/>
          <w:szCs w:val="28"/>
          <w:shd w:val="clear" w:color="auto" w:fill="auto"/>
          <w:lang w:val="en-US" w:eastAsia="en-US" w:bidi="en-US"/>
        </w:rPr>
        <w:t xml:space="preserve">a </w:t>
      </w:r>
      <w:r>
        <w:rPr>
          <w:color w:val="000000"/>
          <w:spacing w:val="0"/>
          <w:w w:val="100"/>
          <w:position w:val="0"/>
          <w:sz w:val="28"/>
          <w:szCs w:val="28"/>
          <w:shd w:val="clear" w:color="auto" w:fill="auto"/>
          <w:lang w:val="cs-CZ" w:eastAsia="cs-CZ" w:bidi="cs-CZ"/>
        </w:rPr>
        <w:t xml:space="preserve">služby pověřence </w:t>
      </w:r>
      <w:r>
        <w:rPr>
          <w:color w:val="000000"/>
          <w:spacing w:val="0"/>
          <w:w w:val="100"/>
          <w:position w:val="0"/>
          <w:sz w:val="28"/>
          <w:szCs w:val="28"/>
          <w:shd w:val="clear" w:color="auto" w:fill="auto"/>
          <w:lang w:val="en-US" w:eastAsia="en-US" w:bidi="en-US"/>
        </w:rPr>
        <w:t xml:space="preserve">DPO </w:t>
      </w:r>
      <w:r>
        <w:rPr>
          <w:b w:val="0"/>
          <w:bCs w:val="0"/>
          <w:color w:val="000000"/>
          <w:spacing w:val="0"/>
          <w:w w:val="100"/>
          <w:position w:val="0"/>
          <w:sz w:val="22"/>
          <w:szCs w:val="22"/>
          <w:shd w:val="clear" w:color="auto" w:fill="auto"/>
          <w:lang w:val="cs-CZ" w:eastAsia="cs-CZ" w:bidi="cs-CZ"/>
        </w:rPr>
        <w:t xml:space="preserve">(dále </w:t>
      </w:r>
      <w:r>
        <w:rPr>
          <w:b w:val="0"/>
          <w:bCs w:val="0"/>
          <w:color w:val="000000"/>
          <w:spacing w:val="0"/>
          <w:w w:val="100"/>
          <w:position w:val="0"/>
          <w:sz w:val="22"/>
          <w:szCs w:val="22"/>
          <w:shd w:val="clear" w:color="auto" w:fill="auto"/>
          <w:lang w:val="en-US" w:eastAsia="en-US" w:bidi="en-US"/>
        </w:rPr>
        <w:t>jako „Produkt“)</w:t>
        <w:br/>
      </w:r>
      <w:r>
        <w:rPr>
          <w:color w:val="000000"/>
          <w:spacing w:val="0"/>
          <w:w w:val="100"/>
          <w:position w:val="0"/>
          <w:sz w:val="22"/>
          <w:szCs w:val="22"/>
          <w:shd w:val="clear" w:color="auto" w:fill="auto"/>
          <w:lang w:val="cs-CZ" w:eastAsia="cs-CZ" w:bidi="cs-CZ"/>
        </w:rPr>
        <w:t xml:space="preserve">konkrétně </w:t>
      </w:r>
      <w:r>
        <w:rPr>
          <w:color w:val="000000"/>
          <w:spacing w:val="0"/>
          <w:w w:val="100"/>
          <w:position w:val="0"/>
          <w:sz w:val="22"/>
          <w:szCs w:val="22"/>
          <w:shd w:val="clear" w:color="auto" w:fill="auto"/>
          <w:lang w:val="en-US" w:eastAsia="en-US" w:bidi="en-US"/>
        </w:rPr>
        <w:t>obsahuje:</w:t>
      </w:r>
    </w:p>
    <w:p>
      <w:pPr>
        <w:pStyle w:val="Style21"/>
        <w:keepNext w:val="0"/>
        <w:keepLines w:val="0"/>
        <w:widowControl w:val="0"/>
        <w:numPr>
          <w:ilvl w:val="0"/>
          <w:numId w:val="1"/>
        </w:numPr>
        <w:shd w:val="clear" w:color="auto" w:fill="auto"/>
        <w:tabs>
          <w:tab w:pos="358" w:val="left"/>
        </w:tabs>
        <w:bidi w:val="0"/>
        <w:spacing w:before="0" w:after="0"/>
        <w:ind w:left="360" w:right="0" w:hanging="360"/>
        <w:jc w:val="both"/>
      </w:pPr>
      <w:r>
        <w:rPr>
          <w:color w:val="000000"/>
          <w:spacing w:val="0"/>
          <w:w w:val="100"/>
          <w:position w:val="0"/>
          <w:sz w:val="24"/>
          <w:szCs w:val="24"/>
          <w:shd w:val="clear" w:color="auto" w:fill="auto"/>
          <w:lang w:val="cs-CZ" w:eastAsia="cs-CZ" w:bidi="cs-CZ"/>
        </w:rPr>
        <w:t>služby pověřence pro ochranu osobních údajů ve smyslu čl. 38 odst. 4 GDPR a čl. 39 odst. 1 GDPR (dále jako „Pověřenec“), nebo podporu určené osobě Zákazníka, kterou si Zákazník jmenoval jako interního Pověřence, v závislosti na dohodě Smluvních stran. V případě, že Poskytovatel bude oficiálně jmenován jako Pověřenec, Zákazník zajistí notifikaci Pověřence vůči dozorovému úřadu (Úřad pro ochranu osobních údajů), pokud se Smluvní strany nedohodnou jinak.</w:t>
      </w:r>
    </w:p>
    <w:p>
      <w:pPr>
        <w:pStyle w:val="Style21"/>
        <w:keepNext w:val="0"/>
        <w:keepLines w:val="0"/>
        <w:widowControl w:val="0"/>
        <w:numPr>
          <w:ilvl w:val="0"/>
          <w:numId w:val="1"/>
        </w:numPr>
        <w:shd w:val="clear" w:color="auto" w:fill="auto"/>
        <w:tabs>
          <w:tab w:pos="358" w:val="left"/>
        </w:tabs>
        <w:bidi w:val="0"/>
        <w:spacing w:before="0" w:after="0"/>
        <w:ind w:left="0" w:right="0" w:firstLine="0"/>
        <w:jc w:val="both"/>
      </w:pPr>
      <w:r>
        <w:rPr>
          <w:color w:val="000000"/>
          <w:spacing w:val="0"/>
          <w:w w:val="100"/>
          <w:position w:val="0"/>
          <w:sz w:val="24"/>
          <w:szCs w:val="24"/>
          <w:shd w:val="clear" w:color="auto" w:fill="auto"/>
          <w:lang w:val="cs-CZ" w:eastAsia="cs-CZ" w:bidi="cs-CZ"/>
        </w:rPr>
        <w:t>Poskytovatel zajistí zejména tyto úkoly:</w:t>
      </w:r>
    </w:p>
    <w:p>
      <w:pPr>
        <w:pStyle w:val="Style21"/>
        <w:keepNext w:val="0"/>
        <w:keepLines w:val="0"/>
        <w:widowControl w:val="0"/>
        <w:numPr>
          <w:ilvl w:val="0"/>
          <w:numId w:val="3"/>
        </w:numPr>
        <w:shd w:val="clear" w:color="auto" w:fill="auto"/>
        <w:tabs>
          <w:tab w:pos="634" w:val="left"/>
        </w:tabs>
        <w:bidi w:val="0"/>
        <w:spacing w:before="0" w:after="0" w:line="266" w:lineRule="auto"/>
        <w:ind w:left="640" w:right="0" w:hanging="260"/>
        <w:jc w:val="both"/>
      </w:pPr>
      <w:r>
        <w:rPr>
          <w:color w:val="000000"/>
          <w:spacing w:val="0"/>
          <w:w w:val="100"/>
          <w:position w:val="0"/>
          <w:sz w:val="24"/>
          <w:szCs w:val="24"/>
          <w:shd w:val="clear" w:color="auto" w:fill="auto"/>
          <w:lang w:val="cs-CZ" w:eastAsia="cs-CZ" w:bidi="cs-CZ"/>
        </w:rPr>
        <w:t>krizové řízení v okamžiku porušení integrity bezpečnosti osobních údajů (čl. 33 odst. 3 písm. b) GDPR);</w:t>
      </w:r>
    </w:p>
    <w:p>
      <w:pPr>
        <w:pStyle w:val="Style21"/>
        <w:keepNext w:val="0"/>
        <w:keepLines w:val="0"/>
        <w:widowControl w:val="0"/>
        <w:numPr>
          <w:ilvl w:val="0"/>
          <w:numId w:val="3"/>
        </w:numPr>
        <w:shd w:val="clear" w:color="auto" w:fill="auto"/>
        <w:tabs>
          <w:tab w:pos="634" w:val="left"/>
        </w:tabs>
        <w:bidi w:val="0"/>
        <w:spacing w:before="0" w:after="0" w:line="266" w:lineRule="auto"/>
        <w:ind w:left="640" w:right="0" w:hanging="260"/>
        <w:jc w:val="both"/>
      </w:pPr>
      <w:r>
        <w:rPr>
          <w:color w:val="000000"/>
          <w:spacing w:val="0"/>
          <w:w w:val="100"/>
          <w:position w:val="0"/>
          <w:sz w:val="24"/>
          <w:szCs w:val="24"/>
          <w:shd w:val="clear" w:color="auto" w:fill="auto"/>
          <w:lang w:val="cs-CZ" w:eastAsia="cs-CZ" w:bidi="cs-CZ"/>
        </w:rPr>
        <w:t>poskytnutí posudku při provádění posouzení vlivu na ochranu osobních údajů ze strany Zákazníka (čl. 35 odst. 2 GDPR);</w:t>
      </w:r>
    </w:p>
    <w:p>
      <w:pPr>
        <w:pStyle w:val="Style21"/>
        <w:keepNext w:val="0"/>
        <w:keepLines w:val="0"/>
        <w:widowControl w:val="0"/>
        <w:numPr>
          <w:ilvl w:val="0"/>
          <w:numId w:val="3"/>
        </w:numPr>
        <w:shd w:val="clear" w:color="auto" w:fill="auto"/>
        <w:tabs>
          <w:tab w:pos="634" w:val="left"/>
        </w:tabs>
        <w:bidi w:val="0"/>
        <w:spacing w:before="0" w:after="0" w:line="271" w:lineRule="auto"/>
        <w:ind w:left="640" w:right="0" w:hanging="260"/>
        <w:jc w:val="both"/>
      </w:pPr>
      <w:r>
        <w:rPr>
          <w:color w:val="000000"/>
          <w:spacing w:val="0"/>
          <w:w w:val="100"/>
          <w:position w:val="0"/>
          <w:sz w:val="24"/>
          <w:szCs w:val="24"/>
          <w:shd w:val="clear" w:color="auto" w:fill="auto"/>
          <w:lang w:val="cs-CZ" w:eastAsia="cs-CZ" w:bidi="cs-CZ"/>
        </w:rPr>
        <w:t>poskytování informací a nezbytného poradenství Zákazníkovi a zaměstnancům Zákazníka o jejich povinnostech podle GDPR a případně dalších souvisejících předpisů v oblasti ochrany osobních údajů, a to např. formou školení (čl. 39 odst. 1 písm. a) GDPR);</w:t>
      </w:r>
    </w:p>
    <w:p>
      <w:pPr>
        <w:pStyle w:val="Style21"/>
        <w:keepNext w:val="0"/>
        <w:keepLines w:val="0"/>
        <w:widowControl w:val="0"/>
        <w:numPr>
          <w:ilvl w:val="0"/>
          <w:numId w:val="3"/>
        </w:numPr>
        <w:shd w:val="clear" w:color="auto" w:fill="auto"/>
        <w:tabs>
          <w:tab w:pos="634" w:val="left"/>
        </w:tabs>
        <w:bidi w:val="0"/>
        <w:spacing w:before="0" w:after="0" w:line="271" w:lineRule="auto"/>
        <w:ind w:left="640" w:right="0" w:hanging="260"/>
        <w:jc w:val="both"/>
      </w:pPr>
      <w:r>
        <w:rPr>
          <w:color w:val="000000"/>
          <w:spacing w:val="0"/>
          <w:w w:val="100"/>
          <w:position w:val="0"/>
          <w:sz w:val="24"/>
          <w:szCs w:val="24"/>
          <w:shd w:val="clear" w:color="auto" w:fill="auto"/>
          <w:lang w:val="cs-CZ" w:eastAsia="cs-CZ" w:bidi="cs-CZ"/>
        </w:rPr>
        <w:t>průběžné monitorování souladu s GDPR a případně dalšími souvisejícími předpisy v oblasti ochrany osobních údajů, včetně rozdělení odpovědnosti, zvyšování povědomí a odborné přípravy pracovníků zapojených do operací zpracování a souvisejících auditů (čl. 39 odst. 1 písm. b) GDPR);</w:t>
      </w:r>
    </w:p>
    <w:p>
      <w:pPr>
        <w:pStyle w:val="Style21"/>
        <w:keepNext w:val="0"/>
        <w:keepLines w:val="0"/>
        <w:widowControl w:val="0"/>
        <w:numPr>
          <w:ilvl w:val="0"/>
          <w:numId w:val="3"/>
        </w:numPr>
        <w:shd w:val="clear" w:color="auto" w:fill="auto"/>
        <w:tabs>
          <w:tab w:pos="634" w:val="left"/>
        </w:tabs>
        <w:bidi w:val="0"/>
        <w:spacing w:before="0" w:after="0" w:line="269" w:lineRule="auto"/>
        <w:ind w:left="640" w:right="0" w:hanging="260"/>
        <w:jc w:val="both"/>
      </w:pPr>
      <w:r>
        <w:rPr>
          <w:color w:val="000000"/>
          <w:spacing w:val="0"/>
          <w:w w:val="100"/>
          <w:position w:val="0"/>
          <w:sz w:val="24"/>
          <w:szCs w:val="24"/>
          <w:shd w:val="clear" w:color="auto" w:fill="auto"/>
          <w:lang w:val="cs-CZ" w:eastAsia="cs-CZ" w:bidi="cs-CZ"/>
        </w:rPr>
        <w:t>poskytování poradenství na požádání, pokud jde o posouzení vlivu na ochranu osobních údajů, a monitorování jeho uplatňování podle článku 35 GDPR (čl. 39 odst. 1 písm. c) GDPR);</w:t>
      </w:r>
    </w:p>
    <w:p>
      <w:pPr>
        <w:pStyle w:val="Style21"/>
        <w:keepNext w:val="0"/>
        <w:keepLines w:val="0"/>
        <w:widowControl w:val="0"/>
        <w:numPr>
          <w:ilvl w:val="0"/>
          <w:numId w:val="3"/>
        </w:numPr>
        <w:shd w:val="clear" w:color="auto" w:fill="auto"/>
        <w:tabs>
          <w:tab w:pos="634" w:val="left"/>
        </w:tabs>
        <w:bidi w:val="0"/>
        <w:spacing w:before="0" w:after="0" w:line="266" w:lineRule="auto"/>
        <w:ind w:left="640" w:right="0" w:hanging="260"/>
        <w:jc w:val="both"/>
      </w:pPr>
      <w:r>
        <w:rPr>
          <w:color w:val="000000"/>
          <w:spacing w:val="0"/>
          <w:w w:val="100"/>
          <w:position w:val="0"/>
          <w:sz w:val="24"/>
          <w:szCs w:val="24"/>
          <w:shd w:val="clear" w:color="auto" w:fill="auto"/>
          <w:lang w:val="cs-CZ" w:eastAsia="cs-CZ" w:bidi="cs-CZ"/>
        </w:rPr>
        <w:t>spolupráce s Úřadem pro ochranu osobních údajů v rozsahu GDPR (čl. 39 odst. 1 písm. d) GDPR);</w:t>
      </w:r>
    </w:p>
    <w:p>
      <w:pPr>
        <w:pStyle w:val="Style21"/>
        <w:keepNext w:val="0"/>
        <w:keepLines w:val="0"/>
        <w:widowControl w:val="0"/>
        <w:numPr>
          <w:ilvl w:val="0"/>
          <w:numId w:val="3"/>
        </w:numPr>
        <w:shd w:val="clear" w:color="auto" w:fill="auto"/>
        <w:tabs>
          <w:tab w:pos="634" w:val="left"/>
        </w:tabs>
        <w:bidi w:val="0"/>
        <w:spacing w:before="0" w:after="0" w:line="271" w:lineRule="auto"/>
        <w:ind w:left="640" w:right="0" w:hanging="260"/>
        <w:jc w:val="both"/>
      </w:pPr>
      <w:r>
        <w:rPr>
          <w:color w:val="000000"/>
          <w:spacing w:val="0"/>
          <w:w w:val="100"/>
          <w:position w:val="0"/>
          <w:sz w:val="24"/>
          <w:szCs w:val="24"/>
          <w:shd w:val="clear" w:color="auto" w:fill="auto"/>
          <w:lang w:val="cs-CZ" w:eastAsia="cs-CZ" w:bidi="cs-CZ"/>
        </w:rPr>
        <w:t>působení jako kontaktní místo pro dozorový úřad (Úřad pro ochranu osobních údajů) v záležitostech týkajících se zpracování osobních údajů v rozsahu vyžadovaném GDPR, včetně nezbytných konzultacích s ÚOOÚ dle čl. 36 GDPR (čl. 39 odst. 1 písm. e) a čl. 36 odst. 3 písm. d) GDPR); a/nebo</w:t>
      </w:r>
    </w:p>
    <w:p>
      <w:pPr>
        <w:pStyle w:val="Style21"/>
        <w:keepNext w:val="0"/>
        <w:keepLines w:val="0"/>
        <w:widowControl w:val="0"/>
        <w:numPr>
          <w:ilvl w:val="0"/>
          <w:numId w:val="3"/>
        </w:numPr>
        <w:shd w:val="clear" w:color="auto" w:fill="auto"/>
        <w:tabs>
          <w:tab w:pos="634" w:val="left"/>
        </w:tabs>
        <w:bidi w:val="0"/>
        <w:spacing w:before="0" w:after="0" w:line="269" w:lineRule="auto"/>
        <w:ind w:left="640" w:right="0" w:hanging="260"/>
        <w:jc w:val="both"/>
      </w:pPr>
      <w:r>
        <w:rPr>
          <w:color w:val="000000"/>
          <w:spacing w:val="0"/>
          <w:w w:val="100"/>
          <w:position w:val="0"/>
          <w:sz w:val="24"/>
          <w:szCs w:val="24"/>
          <w:shd w:val="clear" w:color="auto" w:fill="auto"/>
          <w:lang w:val="cs-CZ" w:eastAsia="cs-CZ" w:bidi="cs-CZ"/>
        </w:rPr>
        <w:t>působení jako kontaktní místo pro subjekty údajů, kteří se mohou obracet na Poskytovatele v záležitostech souvisejících se zpracováním jejich osobních údajů a výkonem jejich práv podle GDPR (čl. 38 odst. 4 GDPR).</w:t>
      </w:r>
    </w:p>
    <w:p>
      <w:pPr>
        <w:pStyle w:val="Style21"/>
        <w:keepNext w:val="0"/>
        <w:keepLines w:val="0"/>
        <w:widowControl w:val="0"/>
        <w:numPr>
          <w:ilvl w:val="0"/>
          <w:numId w:val="1"/>
        </w:numPr>
        <w:shd w:val="clear" w:color="auto" w:fill="auto"/>
        <w:tabs>
          <w:tab w:pos="358" w:val="left"/>
        </w:tabs>
        <w:bidi w:val="0"/>
        <w:spacing w:before="0" w:after="0"/>
        <w:ind w:left="360" w:right="0" w:hanging="360"/>
        <w:jc w:val="both"/>
      </w:pPr>
      <w:r>
        <w:rPr>
          <w:color w:val="000000"/>
          <w:spacing w:val="0"/>
          <w:w w:val="100"/>
          <w:position w:val="0"/>
          <w:sz w:val="24"/>
          <w:szCs w:val="24"/>
          <w:shd w:val="clear" w:color="auto" w:fill="auto"/>
          <w:lang w:val="cs-CZ" w:eastAsia="cs-CZ" w:bidi="cs-CZ"/>
        </w:rPr>
        <w:t>Přípravu vnitřní směrnice pro plnění práv subjektu údajů, řádu výpočetní techniky, vnitřní směrnice k ochraně osobních údajů, informačního memoranda a poskytnutí vzorových souhlasů subjektů údajů.</w:t>
      </w:r>
    </w:p>
    <w:p>
      <w:pPr>
        <w:pStyle w:val="Style21"/>
        <w:keepNext w:val="0"/>
        <w:keepLines w:val="0"/>
        <w:widowControl w:val="0"/>
        <w:numPr>
          <w:ilvl w:val="0"/>
          <w:numId w:val="1"/>
        </w:numPr>
        <w:shd w:val="clear" w:color="auto" w:fill="auto"/>
        <w:tabs>
          <w:tab w:pos="358" w:val="left"/>
        </w:tabs>
        <w:bidi w:val="0"/>
        <w:spacing w:before="0" w:after="0"/>
        <w:ind w:left="360" w:right="0" w:hanging="360"/>
        <w:jc w:val="both"/>
      </w:pPr>
      <w:r>
        <w:rPr>
          <w:color w:val="000000"/>
          <w:spacing w:val="0"/>
          <w:w w:val="100"/>
          <w:position w:val="0"/>
          <w:sz w:val="24"/>
          <w:szCs w:val="24"/>
          <w:shd w:val="clear" w:color="auto" w:fill="auto"/>
          <w:lang w:val="cs-CZ" w:eastAsia="cs-CZ" w:bidi="cs-CZ"/>
        </w:rPr>
        <w:t>Revizi (anonymizace) dosavadní poskytnuté dokumentace pro zajištění souladu se zásadou minimalizace údajů (čl. 5 GDPR).</w:t>
      </w:r>
      <w:r>
        <w:br w:type="page"/>
      </w:r>
    </w:p>
    <w:p>
      <w:pPr>
        <w:pStyle w:val="Style9"/>
        <w:keepNext w:val="0"/>
        <w:keepLines w:val="0"/>
        <w:widowControl w:val="0"/>
        <w:shd w:val="clear" w:color="auto" w:fill="auto"/>
        <w:bidi w:val="0"/>
        <w:spacing w:before="0" w:after="0" w:line="240" w:lineRule="auto"/>
        <w:ind w:left="0" w:right="0" w:firstLine="0"/>
        <w:jc w:val="left"/>
      </w:pPr>
      <w:r>
        <w:rPr>
          <w:b w:val="0"/>
          <w:bCs w:val="0"/>
          <w:color w:val="000000"/>
          <w:spacing w:val="0"/>
          <w:w w:val="100"/>
          <w:position w:val="0"/>
          <w:shd w:val="clear" w:color="auto" w:fill="auto"/>
          <w:lang w:val="cs-CZ" w:eastAsia="cs-CZ" w:bidi="cs-CZ"/>
        </w:rPr>
        <w:t>PRODUKTOVÝ LIST Č.2</w:t>
      </w:r>
    </w:p>
    <w:p>
      <w:pPr>
        <w:pStyle w:val="Style9"/>
        <w:keepNext w:val="0"/>
        <w:keepLines w:val="0"/>
        <w:widowControl w:val="0"/>
        <w:shd w:val="clear" w:color="auto" w:fill="auto"/>
        <w:bidi w:val="0"/>
        <w:spacing w:before="0" w:after="400" w:line="240" w:lineRule="auto"/>
        <w:ind w:left="0" w:right="0" w:firstLine="0"/>
        <w:jc w:val="left"/>
      </w:pPr>
      <w:r>
        <w:rPr>
          <w:color w:val="000000"/>
          <w:spacing w:val="0"/>
          <w:w w:val="100"/>
          <w:position w:val="0"/>
          <w:shd w:val="clear" w:color="auto" w:fill="auto"/>
          <w:lang w:val="cs-CZ" w:eastAsia="cs-CZ" w:bidi="cs-CZ"/>
        </w:rPr>
        <w:t>Ochrana osobních údajů a služby pověřence DPO</w:t>
      </w:r>
    </w:p>
    <w:p>
      <w:pPr>
        <w:pStyle w:val="Style21"/>
        <w:keepNext w:val="0"/>
        <w:keepLines w:val="0"/>
        <w:widowControl w:val="0"/>
        <w:numPr>
          <w:ilvl w:val="0"/>
          <w:numId w:val="1"/>
        </w:numPr>
        <w:shd w:val="clear" w:color="auto" w:fill="auto"/>
        <w:tabs>
          <w:tab w:pos="349" w:val="left"/>
        </w:tabs>
        <w:bidi w:val="0"/>
        <w:spacing w:before="0" w:after="0"/>
        <w:ind w:left="0" w:right="0" w:firstLine="0"/>
        <w:jc w:val="both"/>
      </w:pPr>
      <w:r>
        <w:drawing>
          <wp:anchor distT="0" distB="262255" distL="114300" distR="114300" simplePos="0" relativeHeight="125829380" behindDoc="0" locked="0" layoutInCell="1" allowOverlap="1">
            <wp:simplePos x="0" y="0"/>
            <wp:positionH relativeFrom="page">
              <wp:posOffset>5443855</wp:posOffset>
            </wp:positionH>
            <wp:positionV relativeFrom="margin">
              <wp:posOffset>-172085</wp:posOffset>
            </wp:positionV>
            <wp:extent cx="1182370" cy="359410"/>
            <wp:wrapSquare wrapText="left"/>
            <wp:docPr id="3" name="Shape 3"/>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5"/>
                    <a:stretch/>
                  </pic:blipFill>
                  <pic:spPr>
                    <a:xfrm>
                      <a:ext cx="1182370" cy="359410"/>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5538470</wp:posOffset>
                </wp:positionH>
                <wp:positionV relativeFrom="margin">
                  <wp:posOffset>1905</wp:posOffset>
                </wp:positionV>
                <wp:extent cx="999490" cy="311150"/>
                <wp:wrapNone/>
                <wp:docPr id="5" name="Shape 5"/>
                <a:graphic xmlns:a="http://schemas.openxmlformats.org/drawingml/2006/main">
                  <a:graphicData uri="http://schemas.microsoft.com/office/word/2010/wordprocessingShape">
                    <wps:wsp>
                      <wps:cNvSpPr txBox="1"/>
                      <wps:spPr>
                        <a:xfrm>
                          <a:ext cx="999490" cy="31115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44"/>
                                <w:szCs w:val="44"/>
                              </w:rPr>
                            </w:pPr>
                            <w:r>
                              <w:rPr>
                                <w:spacing w:val="0"/>
                                <w:w w:val="100"/>
                                <w:position w:val="0"/>
                                <w:sz w:val="44"/>
                                <w:szCs w:val="44"/>
                                <w:shd w:val="clear" w:color="auto" w:fill="auto"/>
                              </w:rPr>
                              <w:t>Galileo</w:t>
                            </w:r>
                          </w:p>
                        </w:txbxContent>
                      </wps:txbx>
                      <wps:bodyPr lIns="0" tIns="0" rIns="0" bIns="0">
                        <a:noAutoFit/>
                      </wps:bodyPr>
                    </wps:wsp>
                  </a:graphicData>
                </a:graphic>
              </wp:anchor>
            </w:drawing>
          </mc:Choice>
          <mc:Fallback>
            <w:pict>
              <v:shape id="_x0000_s1031" type="#_x0000_t202" style="position:absolute;margin-left:436.10000000000002pt;margin-top:0.14999999999999999pt;width:78.700000000000003pt;height:24.5pt;z-index:251657729;mso-wrap-distance-left:0;mso-wrap-distance-right:0;mso-position-horizontal-relative:page;mso-position-vertical-relative:margin" filled="f" stroked="f">
                <v:textbox inset="0,0,0,0">
                  <w:txbxContent>
                    <w:p>
                      <w:pPr>
                        <w:pStyle w:val="Style6"/>
                        <w:keepNext w:val="0"/>
                        <w:keepLines w:val="0"/>
                        <w:widowControl w:val="0"/>
                        <w:shd w:val="clear" w:color="auto" w:fill="auto"/>
                        <w:bidi w:val="0"/>
                        <w:spacing w:before="0" w:after="0" w:line="240" w:lineRule="auto"/>
                        <w:ind w:left="0" w:right="0" w:firstLine="0"/>
                        <w:jc w:val="left"/>
                        <w:rPr>
                          <w:sz w:val="44"/>
                          <w:szCs w:val="44"/>
                        </w:rPr>
                      </w:pPr>
                      <w:r>
                        <w:rPr>
                          <w:spacing w:val="0"/>
                          <w:w w:val="100"/>
                          <w:position w:val="0"/>
                          <w:sz w:val="44"/>
                          <w:szCs w:val="44"/>
                          <w:shd w:val="clear" w:color="auto" w:fill="auto"/>
                        </w:rPr>
                        <w:t>Galileo</w:t>
                      </w:r>
                    </w:p>
                  </w:txbxContent>
                </v:textbox>
                <w10:wrap anchorx="page" anchory="margin"/>
              </v:shape>
            </w:pict>
          </mc:Fallback>
        </mc:AlternateContent>
      </w:r>
      <w:r>
        <mc:AlternateContent>
          <mc:Choice Requires="wps">
            <w:drawing>
              <wp:anchor distT="0" distB="0" distL="0" distR="0" simplePos="0" relativeHeight="503316484" behindDoc="0" locked="0" layoutInCell="1" allowOverlap="1">
                <wp:simplePos x="0" y="0"/>
                <wp:positionH relativeFrom="page">
                  <wp:posOffset>5767070</wp:posOffset>
                </wp:positionH>
                <wp:positionV relativeFrom="margin">
                  <wp:posOffset>315595</wp:posOffset>
                </wp:positionV>
                <wp:extent cx="539750" cy="130810"/>
                <wp:wrapNone/>
                <wp:docPr id="7" name="Shape 7"/>
                <a:graphic xmlns:a="http://schemas.openxmlformats.org/drawingml/2006/main">
                  <a:graphicData uri="http://schemas.microsoft.com/office/word/2010/wordprocessingShape">
                    <wps:wsp>
                      <wps:cNvSpPr txBox="1"/>
                      <wps:spPr>
                        <a:xfrm>
                          <a:ext cx="539750" cy="13081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rPr>
                              <w:t>corporation</w:t>
                            </w:r>
                          </w:p>
                        </w:txbxContent>
                      </wps:txbx>
                      <wps:bodyPr lIns="0" tIns="0" rIns="0" bIns="0">
                        <a:noAutoFit/>
                      </wps:bodyPr>
                    </wps:wsp>
                  </a:graphicData>
                </a:graphic>
              </wp:anchor>
            </w:drawing>
          </mc:Choice>
          <mc:Fallback>
            <w:pict>
              <v:shape id="_x0000_s1033" type="#_x0000_t202" style="position:absolute;margin-left:454.10000000000002pt;margin-top:24.850000000000001pt;width:42.5pt;height:10.300000000000001pt;z-index:251657731;mso-wrap-distance-left:0;mso-wrap-distance-right:0;mso-position-horizontal-relative:page;mso-position-vertical-relative:margin" filled="f" stroked="f">
                <v:textbox inset="0,0,0,0">
                  <w:txbxContent>
                    <w:p>
                      <w:pPr>
                        <w:pStyle w:val="Style6"/>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rPr>
                        <w:t>corporation</w:t>
                      </w:r>
                    </w:p>
                  </w:txbxContent>
                </v:textbox>
                <w10:wrap anchorx="page" anchory="margin"/>
              </v:shape>
            </w:pict>
          </mc:Fallback>
        </mc:AlternateContent>
      </w:r>
      <w:r>
        <w:rPr>
          <w:color w:val="000000"/>
          <w:spacing w:val="0"/>
          <w:w w:val="100"/>
          <w:position w:val="0"/>
          <w:sz w:val="24"/>
          <w:szCs w:val="24"/>
          <w:shd w:val="clear" w:color="auto" w:fill="auto"/>
          <w:lang w:val="cs-CZ" w:eastAsia="cs-CZ" w:bidi="cs-CZ"/>
        </w:rPr>
        <w:t>Podporu při vyjednávání zpracovatelských smluv s třetími stranami.</w:t>
      </w:r>
    </w:p>
    <w:p>
      <w:pPr>
        <w:pStyle w:val="Style21"/>
        <w:keepNext w:val="0"/>
        <w:keepLines w:val="0"/>
        <w:widowControl w:val="0"/>
        <w:numPr>
          <w:ilvl w:val="0"/>
          <w:numId w:val="1"/>
        </w:numPr>
        <w:shd w:val="clear" w:color="auto" w:fill="auto"/>
        <w:tabs>
          <w:tab w:pos="349" w:val="left"/>
        </w:tabs>
        <w:bidi w:val="0"/>
        <w:spacing w:before="0" w:after="500"/>
        <w:ind w:left="360" w:right="0" w:hanging="360"/>
        <w:jc w:val="left"/>
      </w:pPr>
      <w:r>
        <w:rPr>
          <w:color w:val="000000"/>
          <w:spacing w:val="0"/>
          <w:w w:val="100"/>
          <w:position w:val="0"/>
          <w:sz w:val="24"/>
          <w:szCs w:val="24"/>
          <w:shd w:val="clear" w:color="auto" w:fill="auto"/>
          <w:lang w:val="cs-CZ" w:eastAsia="cs-CZ" w:bidi="cs-CZ"/>
        </w:rPr>
        <w:t>Pro vyloučení pochybností Zákazník bere na vědomí, že vstupní audit o stavu ochrany osobních údajů v organizaci Zákazníka není součástí tohoto produktu.</w:t>
      </w:r>
    </w:p>
    <w:p>
      <w:pPr>
        <w:pStyle w:val="Style21"/>
        <w:keepNext w:val="0"/>
        <w:keepLines w:val="0"/>
        <w:widowControl w:val="0"/>
        <w:shd w:val="clear" w:color="auto" w:fill="auto"/>
        <w:bidi w:val="0"/>
        <w:spacing w:before="0" w:after="220"/>
        <w:ind w:left="0" w:right="0" w:firstLine="360"/>
        <w:jc w:val="both"/>
      </w:pPr>
      <w:r>
        <w:rPr>
          <w:b/>
          <w:bCs/>
          <w:color w:val="000000"/>
          <w:spacing w:val="0"/>
          <w:w w:val="100"/>
          <w:position w:val="0"/>
          <w:sz w:val="24"/>
          <w:szCs w:val="24"/>
          <w:shd w:val="clear" w:color="auto" w:fill="auto"/>
          <w:lang w:val="cs-CZ" w:eastAsia="cs-CZ" w:bidi="cs-CZ"/>
        </w:rPr>
        <w:t>Prohlášení o střetu zájmů při výkonu funkce Pověřence</w:t>
      </w:r>
    </w:p>
    <w:p>
      <w:pPr>
        <w:pStyle w:val="Style21"/>
        <w:keepNext w:val="0"/>
        <w:keepLines w:val="0"/>
        <w:widowControl w:val="0"/>
        <w:numPr>
          <w:ilvl w:val="0"/>
          <w:numId w:val="1"/>
        </w:numPr>
        <w:shd w:val="clear" w:color="auto" w:fill="auto"/>
        <w:tabs>
          <w:tab w:pos="349" w:val="left"/>
        </w:tabs>
        <w:bidi w:val="0"/>
        <w:spacing w:before="0" w:after="0"/>
        <w:ind w:left="360" w:right="0" w:hanging="360"/>
        <w:jc w:val="both"/>
      </w:pPr>
      <w:r>
        <w:rPr>
          <w:color w:val="000000"/>
          <w:spacing w:val="0"/>
          <w:w w:val="100"/>
          <w:position w:val="0"/>
          <w:sz w:val="24"/>
          <w:szCs w:val="24"/>
          <w:shd w:val="clear" w:color="auto" w:fill="auto"/>
          <w:lang w:val="cs-CZ" w:eastAsia="cs-CZ" w:bidi="cs-CZ"/>
        </w:rPr>
        <w:t>Zákazník se zavazuje nepřenášet na Poskytovatele takové úkoly, které by Poskytovatele přivedly do střetu zájmů ve vztahu k jeho výkonu funkce Pověřence.</w:t>
      </w:r>
    </w:p>
    <w:p>
      <w:pPr>
        <w:pStyle w:val="Style21"/>
        <w:keepNext w:val="0"/>
        <w:keepLines w:val="0"/>
        <w:widowControl w:val="0"/>
        <w:numPr>
          <w:ilvl w:val="0"/>
          <w:numId w:val="1"/>
        </w:numPr>
        <w:shd w:val="clear" w:color="auto" w:fill="auto"/>
        <w:tabs>
          <w:tab w:pos="349" w:val="left"/>
        </w:tabs>
        <w:bidi w:val="0"/>
        <w:spacing w:before="0" w:after="0"/>
        <w:ind w:left="360" w:right="0" w:hanging="360"/>
        <w:jc w:val="both"/>
      </w:pPr>
      <w:r>
        <w:rPr>
          <w:color w:val="000000"/>
          <w:spacing w:val="0"/>
          <w:w w:val="100"/>
          <w:position w:val="0"/>
          <w:sz w:val="24"/>
          <w:szCs w:val="24"/>
          <w:shd w:val="clear" w:color="auto" w:fill="auto"/>
          <w:lang w:val="cs-CZ" w:eastAsia="cs-CZ" w:bidi="cs-CZ"/>
        </w:rPr>
        <w:t>V případě, že Poskytovatel bude jmenován jako Pověřenec Zákazníka, Poskytovatel prohlašuje, že ve vztahu k Zákazníkovi není při výkonu funkce Pověřence ve střetu zájmů, který by ovlivňoval výkon jeho funkce Pověřence. Poskytovatel jako Pověřenec zejména neurčuje nebo neprovádí zabezpečení osobních údajů případně jiné úkoly než ty, které mu vyplývají z jeho postavení Pověřence dle podmínek tohoto produktu.</w:t>
      </w:r>
    </w:p>
    <w:p>
      <w:pPr>
        <w:pStyle w:val="Style21"/>
        <w:keepNext w:val="0"/>
        <w:keepLines w:val="0"/>
        <w:widowControl w:val="0"/>
        <w:numPr>
          <w:ilvl w:val="0"/>
          <w:numId w:val="1"/>
        </w:numPr>
        <w:shd w:val="clear" w:color="auto" w:fill="auto"/>
        <w:tabs>
          <w:tab w:pos="349" w:val="left"/>
        </w:tabs>
        <w:bidi w:val="0"/>
        <w:spacing w:before="0" w:after="400"/>
        <w:ind w:left="360" w:right="0" w:hanging="360"/>
        <w:jc w:val="both"/>
      </w:pPr>
      <w:r>
        <w:rPr>
          <w:color w:val="000000"/>
          <w:spacing w:val="0"/>
          <w:w w:val="100"/>
          <w:position w:val="0"/>
          <w:sz w:val="24"/>
          <w:szCs w:val="24"/>
          <w:shd w:val="clear" w:color="auto" w:fill="auto"/>
          <w:lang w:val="cs-CZ" w:eastAsia="cs-CZ" w:bidi="cs-CZ"/>
        </w:rPr>
        <w:t>V případě, že by se Poskytovatel při poskytování služeb Pověřence jiným osobám dostal do postavení, které by mohlo ohrozit zájmy Zákazníka, Poskytovatel se zavazuje bez zbytečného odkladu o takovém (potenciálním) střetu zájmů Zákazníka informovat.</w:t>
      </w:r>
    </w:p>
    <w:sectPr>
      <w:footerReference w:type="default" r:id="rId7"/>
      <w:footnotePr>
        <w:pos w:val="pageBottom"/>
        <w:numFmt w:val="decimal"/>
        <w:numRestart w:val="continuous"/>
      </w:footnotePr>
      <w:pgSz w:w="11900" w:h="16840"/>
      <w:pgMar w:top="794" w:left="1320" w:right="1373" w:bottom="1523" w:header="366" w:footer="3" w:gutter="0"/>
      <w:pgNumType w:start="1"/>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5550535</wp:posOffset>
              </wp:positionH>
              <wp:positionV relativeFrom="page">
                <wp:posOffset>9789795</wp:posOffset>
              </wp:positionV>
              <wp:extent cx="1106170" cy="118745"/>
              <wp:wrapNone/>
              <wp:docPr id="9" name="Shape 9"/>
              <a:graphic xmlns:a="http://schemas.openxmlformats.org/drawingml/2006/main">
                <a:graphicData uri="http://schemas.microsoft.com/office/word/2010/wordprocessingShape">
                  <wps:wsp>
                    <wps:cNvSpPr txBox="1"/>
                    <wps:spPr>
                      <a:xfrm>
                        <a:ext cx="1106170" cy="118745"/>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 xml:space="preserve">Strana </w:t>
                          </w:r>
                          <w:fldSimple w:instr=" PAGE \* MERGEFORMAT ">
                            <w:r>
                              <w:rPr>
                                <w:rFonts w:ascii="Arial" w:eastAsia="Arial" w:hAnsi="Arial" w:cs="Arial"/>
                                <w:color w:val="000000"/>
                                <w:spacing w:val="0"/>
                                <w:w w:val="100"/>
                                <w:position w:val="0"/>
                                <w:shd w:val="clear" w:color="auto" w:fill="auto"/>
                                <w:lang w:val="cs-CZ" w:eastAsia="cs-CZ" w:bidi="cs-CZ"/>
                              </w:rPr>
                              <w:t>#</w:t>
                            </w:r>
                          </w:fldSimple>
                          <w:r>
                            <w:rPr>
                              <w:rFonts w:ascii="Arial" w:eastAsia="Arial" w:hAnsi="Arial" w:cs="Arial"/>
                              <w:color w:val="000000"/>
                              <w:spacing w:val="0"/>
                              <w:w w:val="100"/>
                              <w:position w:val="0"/>
                              <w:shd w:val="clear" w:color="auto" w:fill="auto"/>
                              <w:lang w:val="cs-CZ" w:eastAsia="cs-CZ" w:bidi="cs-CZ"/>
                            </w:rPr>
                            <w:t xml:space="preserve"> (celkem 2)</w:t>
                          </w:r>
                        </w:p>
                      </w:txbxContent>
                    </wps:txbx>
                    <wps:bodyPr wrap="none" lIns="0" tIns="0" rIns="0" bIns="0">
                      <a:spAutoFit/>
                    </wps:bodyPr>
                  </wps:wsp>
                </a:graphicData>
              </a:graphic>
            </wp:anchor>
          </w:drawing>
        </mc:Choice>
        <mc:Fallback>
          <w:pict>
            <v:shape id="_x0000_s1035" type="#_x0000_t202" style="position:absolute;margin-left:437.05000000000001pt;margin-top:770.85000000000002pt;width:87.099999999999994pt;height:9.3499999999999996pt;z-index:-188744063;mso-wrap-style:none;mso-wrap-distance-left:0;mso-wrap-distance-right:0;mso-position-horizontal-relative:page;mso-position-vertical-relative:page" wrapcoords="0 0" filled="f" stroked="f">
              <v:textbox style="mso-fit-shape-to-text:t" inset="0,0,0,0">
                <w:txbxContent>
                  <w:p>
                    <w:pPr>
                      <w:pStyle w:val="Style12"/>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 xml:space="preserve">Strana </w:t>
                    </w:r>
                    <w:fldSimple w:instr=" PAGE \* MERGEFORMAT ">
                      <w:r>
                        <w:rPr>
                          <w:rFonts w:ascii="Arial" w:eastAsia="Arial" w:hAnsi="Arial" w:cs="Arial"/>
                          <w:color w:val="000000"/>
                          <w:spacing w:val="0"/>
                          <w:w w:val="100"/>
                          <w:position w:val="0"/>
                          <w:shd w:val="clear" w:color="auto" w:fill="auto"/>
                          <w:lang w:val="cs-CZ" w:eastAsia="cs-CZ" w:bidi="cs-CZ"/>
                        </w:rPr>
                        <w:t>#</w:t>
                      </w:r>
                    </w:fldSimple>
                    <w:r>
                      <w:rPr>
                        <w:rFonts w:ascii="Arial" w:eastAsia="Arial" w:hAnsi="Arial" w:cs="Arial"/>
                        <w:color w:val="000000"/>
                        <w:spacing w:val="0"/>
                        <w:w w:val="100"/>
                        <w:position w:val="0"/>
                        <w:shd w:val="clear" w:color="auto" w:fill="auto"/>
                        <w:lang w:val="cs-CZ" w:eastAsia="cs-CZ" w:bidi="cs-CZ"/>
                      </w:rPr>
                      <w:t xml:space="preserve"> (celkem 2)</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abstractNum>
  <w:abstractNum w:abstractNumId="2">
    <w:multiLevelType w:val="multilevel"/>
    <w:lvl w:ilvl="0">
      <w:start w:val="1"/>
      <w:numFmt w:val="bullet"/>
      <w:lvlText w:val="□"/>
      <w:rPr>
        <w:rFonts w:ascii="Courier New" w:eastAsia="Courier New" w:hAnsi="Courier New" w:cs="Courier New"/>
        <w:b w:val="0"/>
        <w:bCs w:val="0"/>
        <w:i w:val="0"/>
        <w:iCs w:val="0"/>
        <w:smallCaps w:val="0"/>
        <w:strike w:val="0"/>
        <w:color w:val="000000"/>
        <w:spacing w:val="0"/>
        <w:w w:val="100"/>
        <w:position w:val="0"/>
        <w:sz w:val="24"/>
        <w:szCs w:val="24"/>
        <w:u w:val="none"/>
        <w:shd w:val="clear" w:color="auto" w:fill="auto"/>
        <w:lang w:val="cs-CZ" w:eastAsia="cs-CZ" w:bidi="cs-CZ"/>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lang w:val="cs-CZ" w:eastAsia="cs-CZ" w:bidi="cs-CZ"/>
    </w:rPr>
  </w:style>
  <w:style w:type="character" w:customStyle="1" w:styleId="CharStyle3">
    <w:name w:val="Základní text (5)_"/>
    <w:basedOn w:val="DefaultParagraphFont"/>
    <w:link w:val="Style2"/>
    <w:rPr>
      <w:rFonts w:ascii="Arial" w:eastAsia="Arial" w:hAnsi="Arial" w:cs="Arial"/>
      <w:b/>
      <w:bCs/>
      <w:i w:val="0"/>
      <w:iCs w:val="0"/>
      <w:smallCaps w:val="0"/>
      <w:strike w:val="0"/>
      <w:color w:val="084B8C"/>
      <w:sz w:val="44"/>
      <w:szCs w:val="44"/>
      <w:u w:val="none"/>
    </w:rPr>
  </w:style>
  <w:style w:type="character" w:customStyle="1" w:styleId="CharStyle5">
    <w:name w:val="Základní text (4)_"/>
    <w:basedOn w:val="DefaultParagraphFont"/>
    <w:link w:val="Style4"/>
    <w:rPr>
      <w:rFonts w:ascii="Arial" w:eastAsia="Arial" w:hAnsi="Arial" w:cs="Arial"/>
      <w:b/>
      <w:bCs/>
      <w:i w:val="0"/>
      <w:iCs w:val="0"/>
      <w:smallCaps w:val="0"/>
      <w:strike w:val="0"/>
      <w:color w:val="084B8C"/>
      <w:sz w:val="14"/>
      <w:szCs w:val="14"/>
      <w:u w:val="none"/>
      <w:lang w:val="en-US" w:eastAsia="en-US" w:bidi="en-US"/>
    </w:rPr>
  </w:style>
  <w:style w:type="character" w:customStyle="1" w:styleId="CharStyle7">
    <w:name w:val="Titulek obrázku_"/>
    <w:basedOn w:val="DefaultParagraphFont"/>
    <w:link w:val="Style6"/>
    <w:rPr>
      <w:rFonts w:ascii="Arial" w:eastAsia="Arial" w:hAnsi="Arial" w:cs="Arial"/>
      <w:b/>
      <w:bCs/>
      <w:i w:val="0"/>
      <w:iCs w:val="0"/>
      <w:smallCaps w:val="0"/>
      <w:strike w:val="0"/>
      <w:color w:val="084B8C"/>
      <w:sz w:val="14"/>
      <w:szCs w:val="14"/>
      <w:u w:val="none"/>
      <w:lang w:val="en-US" w:eastAsia="en-US" w:bidi="en-US"/>
    </w:rPr>
  </w:style>
  <w:style w:type="character" w:customStyle="1" w:styleId="CharStyle10">
    <w:name w:val="Základní text (2)_"/>
    <w:basedOn w:val="DefaultParagraphFont"/>
    <w:link w:val="Style9"/>
    <w:rPr>
      <w:rFonts w:ascii="Arial" w:eastAsia="Arial" w:hAnsi="Arial" w:cs="Arial"/>
      <w:b/>
      <w:bCs/>
      <w:i w:val="0"/>
      <w:iCs w:val="0"/>
      <w:smallCaps w:val="0"/>
      <w:strike w:val="0"/>
      <w:sz w:val="20"/>
      <w:szCs w:val="20"/>
      <w:u w:val="none"/>
    </w:rPr>
  </w:style>
  <w:style w:type="character" w:customStyle="1" w:styleId="CharStyle13">
    <w:name w:val="Záhlaví nebo zápatí (2)_"/>
    <w:basedOn w:val="DefaultParagraphFont"/>
    <w:link w:val="Style12"/>
    <w:rPr>
      <w:rFonts w:ascii="Times New Roman" w:eastAsia="Times New Roman" w:hAnsi="Times New Roman" w:cs="Times New Roman"/>
      <w:b w:val="0"/>
      <w:bCs w:val="0"/>
      <w:i w:val="0"/>
      <w:iCs w:val="0"/>
      <w:smallCaps w:val="0"/>
      <w:strike w:val="0"/>
      <w:sz w:val="20"/>
      <w:szCs w:val="20"/>
      <w:u w:val="none"/>
    </w:rPr>
  </w:style>
  <w:style w:type="character" w:customStyle="1" w:styleId="CharStyle16">
    <w:name w:val="Nadpis #1_"/>
    <w:basedOn w:val="DefaultParagraphFont"/>
    <w:link w:val="Style15"/>
    <w:rPr>
      <w:rFonts w:ascii="Arial" w:eastAsia="Arial" w:hAnsi="Arial" w:cs="Arial"/>
      <w:b/>
      <w:bCs/>
      <w:i w:val="0"/>
      <w:iCs w:val="0"/>
      <w:smallCaps w:val="0"/>
      <w:strike w:val="0"/>
      <w:sz w:val="28"/>
      <w:szCs w:val="28"/>
      <w:u w:val="none"/>
    </w:rPr>
  </w:style>
  <w:style w:type="character" w:customStyle="1" w:styleId="CharStyle18">
    <w:name w:val="Základní text (3)_"/>
    <w:basedOn w:val="DefaultParagraphFont"/>
    <w:link w:val="Style17"/>
    <w:rPr>
      <w:rFonts w:ascii="Calibri" w:eastAsia="Calibri" w:hAnsi="Calibri" w:cs="Calibri"/>
      <w:b/>
      <w:bCs/>
      <w:i w:val="0"/>
      <w:iCs w:val="0"/>
      <w:smallCaps w:val="0"/>
      <w:strike w:val="0"/>
      <w:sz w:val="28"/>
      <w:szCs w:val="28"/>
      <w:u w:val="none"/>
    </w:rPr>
  </w:style>
  <w:style w:type="character" w:customStyle="1" w:styleId="CharStyle22">
    <w:name w:val="Základní text_"/>
    <w:basedOn w:val="DefaultParagraphFont"/>
    <w:link w:val="Style21"/>
    <w:rPr>
      <w:rFonts w:ascii="Arial" w:eastAsia="Arial" w:hAnsi="Arial" w:cs="Arial"/>
      <w:b w:val="0"/>
      <w:bCs w:val="0"/>
      <w:i w:val="0"/>
      <w:iCs w:val="0"/>
      <w:smallCaps w:val="0"/>
      <w:strike w:val="0"/>
      <w:u w:val="none"/>
    </w:rPr>
  </w:style>
  <w:style w:type="paragraph" w:customStyle="1" w:styleId="Style2">
    <w:name w:val="Základní text (5)"/>
    <w:basedOn w:val="Normal"/>
    <w:link w:val="CharStyle3"/>
    <w:pPr>
      <w:widowControl w:val="0"/>
      <w:shd w:val="clear" w:color="auto" w:fill="FFFFFF"/>
    </w:pPr>
    <w:rPr>
      <w:rFonts w:ascii="Arial" w:eastAsia="Arial" w:hAnsi="Arial" w:cs="Arial"/>
      <w:b/>
      <w:bCs/>
      <w:i w:val="0"/>
      <w:iCs w:val="0"/>
      <w:smallCaps w:val="0"/>
      <w:strike w:val="0"/>
      <w:color w:val="084B8C"/>
      <w:sz w:val="44"/>
      <w:szCs w:val="44"/>
      <w:u w:val="none"/>
    </w:rPr>
  </w:style>
  <w:style w:type="paragraph" w:customStyle="1" w:styleId="Style4">
    <w:name w:val="Základní text (4)"/>
    <w:basedOn w:val="Normal"/>
    <w:link w:val="CharStyle5"/>
    <w:pPr>
      <w:widowControl w:val="0"/>
      <w:shd w:val="clear" w:color="auto" w:fill="FFFFFF"/>
      <w:jc w:val="center"/>
    </w:pPr>
    <w:rPr>
      <w:rFonts w:ascii="Arial" w:eastAsia="Arial" w:hAnsi="Arial" w:cs="Arial"/>
      <w:b/>
      <w:bCs/>
      <w:i w:val="0"/>
      <w:iCs w:val="0"/>
      <w:smallCaps w:val="0"/>
      <w:strike w:val="0"/>
      <w:color w:val="084B8C"/>
      <w:sz w:val="14"/>
      <w:szCs w:val="14"/>
      <w:u w:val="none"/>
      <w:lang w:val="en-US" w:eastAsia="en-US" w:bidi="en-US"/>
    </w:rPr>
  </w:style>
  <w:style w:type="paragraph" w:customStyle="1" w:styleId="Style6">
    <w:name w:val="Titulek obrázku"/>
    <w:basedOn w:val="Normal"/>
    <w:link w:val="CharStyle7"/>
    <w:pPr>
      <w:widowControl w:val="0"/>
      <w:shd w:val="clear" w:color="auto" w:fill="FFFFFF"/>
    </w:pPr>
    <w:rPr>
      <w:rFonts w:ascii="Arial" w:eastAsia="Arial" w:hAnsi="Arial" w:cs="Arial"/>
      <w:b/>
      <w:bCs/>
      <w:i w:val="0"/>
      <w:iCs w:val="0"/>
      <w:smallCaps w:val="0"/>
      <w:strike w:val="0"/>
      <w:color w:val="084B8C"/>
      <w:sz w:val="14"/>
      <w:szCs w:val="14"/>
      <w:u w:val="none"/>
      <w:lang w:val="en-US" w:eastAsia="en-US" w:bidi="en-US"/>
    </w:rPr>
  </w:style>
  <w:style w:type="paragraph" w:customStyle="1" w:styleId="Style9">
    <w:name w:val="Základní text (2)"/>
    <w:basedOn w:val="Normal"/>
    <w:link w:val="CharStyle10"/>
    <w:pPr>
      <w:widowControl w:val="0"/>
      <w:shd w:val="clear" w:color="auto" w:fill="FFFFFF"/>
      <w:spacing w:after="200"/>
    </w:pPr>
    <w:rPr>
      <w:rFonts w:ascii="Arial" w:eastAsia="Arial" w:hAnsi="Arial" w:cs="Arial"/>
      <w:b/>
      <w:bCs/>
      <w:i w:val="0"/>
      <w:iCs w:val="0"/>
      <w:smallCaps w:val="0"/>
      <w:strike w:val="0"/>
      <w:sz w:val="20"/>
      <w:szCs w:val="20"/>
      <w:u w:val="none"/>
    </w:rPr>
  </w:style>
  <w:style w:type="paragraph" w:customStyle="1" w:styleId="Style12">
    <w:name w:val="Záhlaví nebo zápatí (2)"/>
    <w:basedOn w:val="Normal"/>
    <w:link w:val="CharStyle13"/>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15">
    <w:name w:val="Nadpis #1"/>
    <w:basedOn w:val="Normal"/>
    <w:link w:val="CharStyle16"/>
    <w:pPr>
      <w:widowControl w:val="0"/>
      <w:shd w:val="clear" w:color="auto" w:fill="FFFFFF"/>
      <w:spacing w:after="120"/>
      <w:jc w:val="center"/>
      <w:outlineLvl w:val="0"/>
    </w:pPr>
    <w:rPr>
      <w:rFonts w:ascii="Arial" w:eastAsia="Arial" w:hAnsi="Arial" w:cs="Arial"/>
      <w:b/>
      <w:bCs/>
      <w:i w:val="0"/>
      <w:iCs w:val="0"/>
      <w:smallCaps w:val="0"/>
      <w:strike w:val="0"/>
      <w:sz w:val="28"/>
      <w:szCs w:val="28"/>
      <w:u w:val="none"/>
    </w:rPr>
  </w:style>
  <w:style w:type="paragraph" w:customStyle="1" w:styleId="Style17">
    <w:name w:val="Základní text (3)"/>
    <w:basedOn w:val="Normal"/>
    <w:link w:val="CharStyle18"/>
    <w:pPr>
      <w:widowControl w:val="0"/>
      <w:shd w:val="clear" w:color="auto" w:fill="FFFFFF"/>
      <w:spacing w:after="540" w:line="221" w:lineRule="auto"/>
      <w:jc w:val="center"/>
    </w:pPr>
    <w:rPr>
      <w:rFonts w:ascii="Calibri" w:eastAsia="Calibri" w:hAnsi="Calibri" w:cs="Calibri"/>
      <w:b/>
      <w:bCs/>
      <w:i w:val="0"/>
      <w:iCs w:val="0"/>
      <w:smallCaps w:val="0"/>
      <w:strike w:val="0"/>
      <w:sz w:val="28"/>
      <w:szCs w:val="28"/>
      <w:u w:val="none"/>
    </w:rPr>
  </w:style>
  <w:style w:type="paragraph" w:customStyle="1" w:styleId="Style21">
    <w:name w:val="Základní text"/>
    <w:basedOn w:val="Normal"/>
    <w:link w:val="CharStyle22"/>
    <w:pPr>
      <w:widowControl w:val="0"/>
      <w:shd w:val="clear" w:color="auto" w:fill="FFFFFF"/>
      <w:spacing w:line="276" w:lineRule="auto"/>
    </w:pPr>
    <w:rPr>
      <w:rFonts w:ascii="Arial" w:eastAsia="Arial" w:hAnsi="Arial" w:cs="Arial"/>
      <w:b w:val="0"/>
      <w:bCs w:val="0"/>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
  <dc:subject/>
  <dc:creator>Dušan Procházka</dc:creator>
  <cp:keywords/>
</cp:coreProperties>
</file>