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E4" w:rsidRDefault="004721D3">
      <w:pPr>
        <w:pStyle w:val="Standard"/>
        <w:pBdr>
          <w:top w:val="single" w:sz="4" w:space="1" w:color="000000"/>
          <w:left w:val="single" w:sz="4" w:space="4" w:color="000000"/>
          <w:bottom w:val="single" w:sz="4" w:space="1" w:color="000000"/>
          <w:right w:val="single" w:sz="4" w:space="4" w:color="000000"/>
        </w:pBdr>
        <w:tabs>
          <w:tab w:val="clear" w:pos="850"/>
          <w:tab w:val="left" w:pos="0"/>
        </w:tabs>
        <w:ind w:left="0" w:firstLine="0"/>
        <w:jc w:val="center"/>
      </w:pPr>
      <w:r>
        <w:rPr>
          <w:b/>
          <w:caps/>
          <w:sz w:val="40"/>
        </w:rPr>
        <w:t>SMLOUVA O ÚČASTI NA ŘEŠENÍ PROJEKTU</w:t>
      </w:r>
    </w:p>
    <w:p w:rsidR="00DD5CE4" w:rsidRDefault="004721D3">
      <w:pPr>
        <w:pStyle w:val="Standard"/>
        <w:pBdr>
          <w:top w:val="single" w:sz="4" w:space="1" w:color="000000"/>
          <w:left w:val="single" w:sz="4" w:space="4" w:color="000000"/>
          <w:bottom w:val="single" w:sz="4" w:space="1" w:color="000000"/>
          <w:right w:val="single" w:sz="4" w:space="4" w:color="000000"/>
        </w:pBdr>
        <w:jc w:val="center"/>
      </w:pPr>
      <w:r>
        <w:t>Číslo smlouvy TACRDLEP2023</w:t>
      </w:r>
    </w:p>
    <w:p w:rsidR="00DD5CE4" w:rsidRDefault="004721D3">
      <w:pPr>
        <w:pStyle w:val="Standard"/>
        <w:jc w:val="center"/>
      </w:pPr>
      <w:r>
        <w:rPr>
          <w:sz w:val="18"/>
          <w:szCs w:val="18"/>
        </w:rPr>
        <w:t>uzavřely níže uvedeného dne, měsíce a roku a za následujících podmínek tyto smluvní strany</w:t>
      </w:r>
    </w:p>
    <w:p w:rsidR="00DD5CE4" w:rsidRDefault="00DD5CE4">
      <w:pPr>
        <w:pStyle w:val="Standard"/>
        <w:jc w:val="left"/>
        <w:rPr>
          <w:sz w:val="16"/>
          <w:szCs w:val="18"/>
        </w:rPr>
      </w:pPr>
    </w:p>
    <w:p w:rsidR="00DD5CE4" w:rsidRDefault="004721D3">
      <w:pPr>
        <w:pStyle w:val="Standard"/>
      </w:pPr>
      <w:r>
        <w:rPr>
          <w:b/>
          <w:color w:val="auto"/>
        </w:rPr>
        <w:t>Unicorn Solutions a.s.</w:t>
      </w:r>
    </w:p>
    <w:p w:rsidR="00DD5CE4" w:rsidRDefault="004721D3">
      <w:pPr>
        <w:pStyle w:val="Standard"/>
        <w:tabs>
          <w:tab w:val="left" w:pos="2126"/>
        </w:tabs>
        <w:jc w:val="left"/>
      </w:pPr>
      <w:r>
        <w:tab/>
      </w:r>
      <w:r>
        <w:rPr>
          <w:color w:val="auto"/>
        </w:rPr>
        <w:t xml:space="preserve">Sídlem: </w:t>
      </w:r>
      <w:r>
        <w:rPr>
          <w:color w:val="auto"/>
        </w:rPr>
        <w:tab/>
        <w:t>V Kapslovně 2/2767, 130 00 Praha</w:t>
      </w:r>
      <w:r>
        <w:rPr>
          <w:color w:val="auto"/>
        </w:rPr>
        <w:br/>
        <w:t xml:space="preserve">IČ: </w:t>
      </w:r>
      <w:r>
        <w:rPr>
          <w:color w:val="auto"/>
        </w:rPr>
        <w:tab/>
      </w:r>
      <w:r>
        <w:rPr>
          <w:color w:val="auto"/>
        </w:rPr>
        <w:tab/>
        <w:t>61860417</w:t>
      </w:r>
      <w:r>
        <w:rPr>
          <w:color w:val="auto"/>
        </w:rPr>
        <w:br/>
        <w:t xml:space="preserve">DIČ: </w:t>
      </w:r>
      <w:r>
        <w:rPr>
          <w:color w:val="auto"/>
        </w:rPr>
        <w:tab/>
      </w:r>
      <w:r>
        <w:rPr>
          <w:color w:val="auto"/>
        </w:rPr>
        <w:tab/>
        <w:t>CZ699004029</w:t>
      </w:r>
      <w:r>
        <w:rPr>
          <w:color w:val="auto"/>
        </w:rPr>
        <w:br/>
      </w:r>
      <w:r>
        <w:rPr>
          <w:color w:val="auto"/>
        </w:rPr>
        <w:t>Bankovní spojení:</w:t>
      </w:r>
      <w:r>
        <w:rPr>
          <w:color w:val="auto"/>
        </w:rPr>
        <w:tab/>
      </w:r>
      <w:r w:rsidRPr="004721D3">
        <w:rPr>
          <w:color w:val="auto"/>
          <w:highlight w:val="black"/>
        </w:rPr>
        <w:t>xx</w:t>
      </w:r>
      <w:r w:rsidRPr="004721D3">
        <w:rPr>
          <w:color w:val="auto"/>
          <w:highlight w:val="black"/>
        </w:rPr>
        <w:t>-xxxxxxxxxx/xxxx</w:t>
      </w:r>
      <w:r>
        <w:rPr>
          <w:color w:val="auto"/>
        </w:rPr>
        <w:t>, vedený u Komerční banka, a.s., Na Příkopě 33, 114 07 Praha 1</w:t>
      </w:r>
      <w:r>
        <w:rPr>
          <w:color w:val="auto"/>
        </w:rPr>
        <w:br/>
        <w:t>Zapsána v obchodním rejstříku vedeném u Městského soudu v Praze, oddíl B, vložka 2938</w:t>
      </w:r>
      <w:r>
        <w:rPr>
          <w:color w:val="auto"/>
        </w:rPr>
        <w:br/>
        <w:t xml:space="preserve">Zastoupená: </w:t>
      </w:r>
      <w:r>
        <w:tab/>
      </w:r>
      <w:r>
        <w:rPr>
          <w:color w:val="auto"/>
        </w:rPr>
        <w:t>Ing. Milan Hynek, člen představenstva</w:t>
      </w:r>
    </w:p>
    <w:p w:rsidR="00DD5CE4" w:rsidRDefault="004721D3">
      <w:pPr>
        <w:pStyle w:val="Standard"/>
        <w:tabs>
          <w:tab w:val="left" w:pos="2126"/>
        </w:tabs>
        <w:jc w:val="left"/>
      </w:pPr>
      <w:r>
        <w:rPr>
          <w:color w:val="auto"/>
        </w:rPr>
        <w:tab/>
      </w:r>
      <w:r>
        <w:rPr>
          <w:color w:val="auto"/>
        </w:rPr>
        <w:tab/>
      </w:r>
      <w:r>
        <w:rPr>
          <w:color w:val="auto"/>
        </w:rPr>
        <w:tab/>
        <w:t>Mgr. Ing. Jan Kon</w:t>
      </w:r>
      <w:r>
        <w:rPr>
          <w:color w:val="auto"/>
        </w:rPr>
        <w:t>rád, člen představenstva</w:t>
      </w:r>
    </w:p>
    <w:p w:rsidR="00DD5CE4" w:rsidRDefault="004721D3">
      <w:pPr>
        <w:pStyle w:val="Standard"/>
        <w:tabs>
          <w:tab w:val="left" w:pos="2126"/>
        </w:tabs>
        <w:jc w:val="left"/>
      </w:pPr>
      <w:r>
        <w:tab/>
        <w:t xml:space="preserve">Odpovědná osoba za příjemce: Ing. Milan Hynek </w:t>
      </w:r>
      <w:r>
        <w:br/>
        <w:t xml:space="preserve">dále též jako </w:t>
      </w:r>
      <w:r>
        <w:rPr>
          <w:b/>
        </w:rPr>
        <w:t>„hlavní příjemce“ či „USO“</w:t>
      </w:r>
    </w:p>
    <w:p w:rsidR="00DD5CE4" w:rsidRDefault="004721D3">
      <w:pPr>
        <w:pStyle w:val="Standard"/>
        <w:spacing w:before="360" w:after="360"/>
      </w:pPr>
      <w:r>
        <w:t>a</w:t>
      </w:r>
    </w:p>
    <w:p w:rsidR="00DD5CE4" w:rsidRDefault="004721D3">
      <w:pPr>
        <w:pStyle w:val="Standard"/>
      </w:pPr>
      <w:r>
        <w:rPr>
          <w:b/>
          <w:color w:val="auto"/>
        </w:rPr>
        <w:t>Unicorn Systems a.s.</w:t>
      </w:r>
    </w:p>
    <w:p w:rsidR="00DD5CE4" w:rsidRDefault="004721D3">
      <w:pPr>
        <w:pStyle w:val="Standard"/>
        <w:tabs>
          <w:tab w:val="left" w:pos="2126"/>
        </w:tabs>
        <w:jc w:val="left"/>
      </w:pPr>
      <w:r>
        <w:tab/>
      </w:r>
      <w:r>
        <w:rPr>
          <w:color w:val="auto"/>
        </w:rPr>
        <w:t xml:space="preserve">Sídlem: </w:t>
      </w:r>
      <w:r>
        <w:rPr>
          <w:color w:val="auto"/>
        </w:rPr>
        <w:tab/>
        <w:t>V Kapslovně 2/2767, 130 00 Praha</w:t>
      </w:r>
      <w:r>
        <w:rPr>
          <w:color w:val="auto"/>
        </w:rPr>
        <w:br/>
        <w:t xml:space="preserve">IČ: </w:t>
      </w:r>
      <w:r>
        <w:rPr>
          <w:color w:val="auto"/>
        </w:rPr>
        <w:tab/>
      </w:r>
      <w:r>
        <w:rPr>
          <w:color w:val="auto"/>
        </w:rPr>
        <w:tab/>
        <w:t>25110853</w:t>
      </w:r>
      <w:r>
        <w:rPr>
          <w:color w:val="auto"/>
        </w:rPr>
        <w:br/>
        <w:t xml:space="preserve">DIČ: </w:t>
      </w:r>
      <w:r>
        <w:rPr>
          <w:color w:val="auto"/>
        </w:rPr>
        <w:tab/>
      </w:r>
      <w:r>
        <w:rPr>
          <w:color w:val="auto"/>
        </w:rPr>
        <w:tab/>
        <w:t>CZ699004029</w:t>
      </w:r>
      <w:r>
        <w:rPr>
          <w:color w:val="auto"/>
        </w:rPr>
        <w:br/>
        <w:t>Bankovní spojení:</w:t>
      </w:r>
      <w:r>
        <w:rPr>
          <w:color w:val="auto"/>
        </w:rPr>
        <w:tab/>
      </w:r>
      <w:r w:rsidRPr="004721D3">
        <w:rPr>
          <w:color w:val="auto"/>
          <w:highlight w:val="black"/>
        </w:rPr>
        <w:t>xx</w:t>
      </w:r>
      <w:r w:rsidRPr="004721D3">
        <w:rPr>
          <w:color w:val="auto"/>
          <w:highlight w:val="black"/>
        </w:rPr>
        <w:t>-xxxxxxxxxxx</w:t>
      </w:r>
      <w:r w:rsidRPr="004721D3">
        <w:rPr>
          <w:color w:val="auto"/>
          <w:highlight w:val="black"/>
        </w:rPr>
        <w:t>/xxxx</w:t>
      </w:r>
      <w:r>
        <w:rPr>
          <w:color w:val="auto"/>
        </w:rPr>
        <w:t>, vede</w:t>
      </w:r>
      <w:r>
        <w:rPr>
          <w:color w:val="auto"/>
        </w:rPr>
        <w:t>ný u Komerční banka, a.s., Na Příkopě 33, 114 07 Praha 1</w:t>
      </w:r>
      <w:r>
        <w:rPr>
          <w:color w:val="auto"/>
        </w:rPr>
        <w:br/>
        <w:t>Zapsána v obchodním rejstříku vedeném u Městského soudu v Praze, oddíl B, vložka 4579</w:t>
      </w:r>
      <w:r>
        <w:rPr>
          <w:color w:val="auto"/>
        </w:rPr>
        <w:br/>
        <w:t xml:space="preserve">Zastoupená: </w:t>
      </w:r>
      <w:r>
        <w:rPr>
          <w:color w:val="auto"/>
        </w:rPr>
        <w:tab/>
        <w:t>Mgr. Ing. Jan Konrád, člen představenstva</w:t>
      </w:r>
    </w:p>
    <w:p w:rsidR="00DD5CE4" w:rsidRDefault="004721D3">
      <w:pPr>
        <w:pStyle w:val="Standard"/>
        <w:tabs>
          <w:tab w:val="left" w:pos="2126"/>
        </w:tabs>
        <w:jc w:val="left"/>
      </w:pPr>
      <w:r>
        <w:rPr>
          <w:color w:val="auto"/>
        </w:rPr>
        <w:tab/>
      </w:r>
      <w:r>
        <w:rPr>
          <w:color w:val="auto"/>
        </w:rPr>
        <w:tab/>
      </w:r>
      <w:r>
        <w:rPr>
          <w:color w:val="auto"/>
        </w:rPr>
        <w:tab/>
        <w:t>Mgr. Lukáš Zrzavý, člen představenstva</w:t>
      </w:r>
    </w:p>
    <w:p w:rsidR="00DD5CE4" w:rsidRDefault="004721D3">
      <w:pPr>
        <w:pStyle w:val="Standard"/>
        <w:tabs>
          <w:tab w:val="left" w:pos="2126"/>
        </w:tabs>
        <w:jc w:val="left"/>
      </w:pPr>
      <w:r>
        <w:tab/>
        <w:t>Odpovědná osoba</w:t>
      </w:r>
      <w:r>
        <w:t xml:space="preserve"> za příjemce: Ing. Mgr. Jan Konrád </w:t>
      </w:r>
      <w:r>
        <w:br/>
        <w:t xml:space="preserve">dále též jako </w:t>
      </w:r>
      <w:r>
        <w:rPr>
          <w:b/>
        </w:rPr>
        <w:t>„</w:t>
      </w:r>
      <w:r>
        <w:rPr>
          <w:b/>
          <w:color w:val="auto"/>
        </w:rPr>
        <w:t>další příjemce 1</w:t>
      </w:r>
      <w:r>
        <w:rPr>
          <w:b/>
        </w:rPr>
        <w:t>“ či „USY“</w:t>
      </w:r>
    </w:p>
    <w:p w:rsidR="00DD5CE4" w:rsidRDefault="004721D3">
      <w:pPr>
        <w:pStyle w:val="Standard"/>
        <w:spacing w:before="360" w:after="360"/>
      </w:pPr>
      <w:r>
        <w:t>a</w:t>
      </w:r>
    </w:p>
    <w:p w:rsidR="00DD5CE4" w:rsidRDefault="004721D3">
      <w:pPr>
        <w:pStyle w:val="Standard"/>
      </w:pPr>
      <w:r>
        <w:rPr>
          <w:b/>
          <w:color w:val="auto"/>
        </w:rPr>
        <w:t>Unicorn Vysoká škola s.r.o.</w:t>
      </w:r>
    </w:p>
    <w:p w:rsidR="00DD5CE4" w:rsidRDefault="004721D3">
      <w:pPr>
        <w:pStyle w:val="Standard"/>
        <w:tabs>
          <w:tab w:val="left" w:pos="2126"/>
        </w:tabs>
        <w:jc w:val="left"/>
      </w:pPr>
      <w:r>
        <w:tab/>
      </w:r>
      <w:r>
        <w:rPr>
          <w:color w:val="auto"/>
        </w:rPr>
        <w:t xml:space="preserve">Sídlem: </w:t>
      </w:r>
      <w:r>
        <w:rPr>
          <w:color w:val="auto"/>
        </w:rPr>
        <w:tab/>
        <w:t>V Kapslovně 2/2767, 130 00 Praha</w:t>
      </w:r>
      <w:r>
        <w:rPr>
          <w:color w:val="auto"/>
        </w:rPr>
        <w:br/>
        <w:t xml:space="preserve">IČ: </w:t>
      </w:r>
      <w:r>
        <w:rPr>
          <w:color w:val="auto"/>
        </w:rPr>
        <w:tab/>
      </w:r>
      <w:r>
        <w:rPr>
          <w:color w:val="auto"/>
        </w:rPr>
        <w:tab/>
        <w:t>27169511</w:t>
      </w:r>
      <w:r>
        <w:rPr>
          <w:color w:val="auto"/>
        </w:rPr>
        <w:br/>
        <w:t xml:space="preserve">DIČ: </w:t>
      </w:r>
      <w:r>
        <w:rPr>
          <w:color w:val="auto"/>
        </w:rPr>
        <w:tab/>
      </w:r>
      <w:r>
        <w:rPr>
          <w:color w:val="auto"/>
        </w:rPr>
        <w:tab/>
        <w:t>CZ699004029</w:t>
      </w:r>
      <w:r>
        <w:rPr>
          <w:color w:val="auto"/>
        </w:rPr>
        <w:br/>
        <w:t>Bankovní spojení:</w:t>
      </w:r>
      <w:r>
        <w:rPr>
          <w:color w:val="auto"/>
        </w:rPr>
        <w:tab/>
      </w:r>
      <w:r w:rsidRPr="004721D3">
        <w:rPr>
          <w:color w:val="auto"/>
          <w:highlight w:val="black"/>
        </w:rPr>
        <w:t>xx</w:t>
      </w:r>
      <w:r w:rsidRPr="004721D3">
        <w:rPr>
          <w:color w:val="auto"/>
          <w:highlight w:val="black"/>
        </w:rPr>
        <w:t>-xxxxxxxxxx</w:t>
      </w:r>
      <w:r w:rsidRPr="004721D3">
        <w:rPr>
          <w:color w:val="auto"/>
          <w:highlight w:val="black"/>
        </w:rPr>
        <w:t>/xxxx</w:t>
      </w:r>
      <w:r>
        <w:rPr>
          <w:color w:val="auto"/>
        </w:rPr>
        <w:t>, vedený u Komerční banka, a.s., Na</w:t>
      </w:r>
      <w:r>
        <w:rPr>
          <w:color w:val="auto"/>
        </w:rPr>
        <w:t xml:space="preserve"> Příkopě 33, 114 07 Praha 1</w:t>
      </w:r>
      <w:r>
        <w:rPr>
          <w:color w:val="auto"/>
        </w:rPr>
        <w:br/>
        <w:t>Zapsána v obchodním rejstříku vedeném u Městského soudu v Praze, oddíl C, vložka 101603</w:t>
      </w:r>
      <w:r>
        <w:rPr>
          <w:color w:val="auto"/>
        </w:rPr>
        <w:br/>
        <w:t xml:space="preserve">Zastoupená: </w:t>
      </w:r>
      <w:r>
        <w:rPr>
          <w:color w:val="auto"/>
        </w:rPr>
        <w:tab/>
        <w:t>Ing. Jakub Rykr Šindelář, jednatel</w:t>
      </w:r>
    </w:p>
    <w:p w:rsidR="00DD5CE4" w:rsidRDefault="004721D3">
      <w:pPr>
        <w:pStyle w:val="Standard"/>
        <w:tabs>
          <w:tab w:val="left" w:pos="2126"/>
        </w:tabs>
        <w:jc w:val="left"/>
      </w:pPr>
      <w:r>
        <w:rPr>
          <w:color w:val="auto"/>
        </w:rPr>
        <w:tab/>
      </w:r>
      <w:r>
        <w:rPr>
          <w:color w:val="auto"/>
        </w:rPr>
        <w:tab/>
      </w:r>
      <w:r>
        <w:rPr>
          <w:color w:val="auto"/>
        </w:rPr>
        <w:tab/>
        <w:t>RNDr. Jakub Haláček, jednatel</w:t>
      </w:r>
    </w:p>
    <w:p w:rsidR="00DD5CE4" w:rsidRDefault="004721D3">
      <w:pPr>
        <w:pStyle w:val="Standard"/>
        <w:tabs>
          <w:tab w:val="left" w:pos="2126"/>
        </w:tabs>
        <w:jc w:val="left"/>
      </w:pPr>
      <w:r>
        <w:tab/>
        <w:t xml:space="preserve">Odpovědná osoba za příjemce: </w:t>
      </w:r>
      <w:r w:rsidRPr="004721D3">
        <w:rPr>
          <w:highlight w:val="black"/>
        </w:rPr>
        <w:t>xxxxxxxxxxxxxxxxxxxxxxxxx</w:t>
      </w:r>
      <w:r w:rsidRPr="004721D3">
        <w:rPr>
          <w:highlight w:val="black"/>
        </w:rPr>
        <w:t>.</w:t>
      </w:r>
      <w:r>
        <w:t xml:space="preserve"> </w:t>
      </w:r>
      <w:r>
        <w:br/>
        <w:t>dá</w:t>
      </w:r>
      <w:r>
        <w:t xml:space="preserve">le též jako </w:t>
      </w:r>
      <w:r>
        <w:rPr>
          <w:b/>
        </w:rPr>
        <w:t>„</w:t>
      </w:r>
      <w:r>
        <w:rPr>
          <w:b/>
          <w:color w:val="auto"/>
        </w:rPr>
        <w:t>další příjemce 2</w:t>
      </w:r>
      <w:r>
        <w:rPr>
          <w:b/>
        </w:rPr>
        <w:t>“ či „UUN“</w:t>
      </w:r>
    </w:p>
    <w:p w:rsidR="00DD5CE4" w:rsidRDefault="004721D3">
      <w:pPr>
        <w:pStyle w:val="Standard"/>
        <w:spacing w:before="360" w:after="360"/>
      </w:pPr>
      <w:r>
        <w:lastRenderedPageBreak/>
        <w:t>a</w:t>
      </w:r>
    </w:p>
    <w:p w:rsidR="00DD5CE4" w:rsidRDefault="004721D3">
      <w:pPr>
        <w:pStyle w:val="Standard"/>
        <w:tabs>
          <w:tab w:val="left" w:pos="2126"/>
        </w:tabs>
        <w:jc w:val="left"/>
      </w:pPr>
      <w:r>
        <w:rPr>
          <w:b/>
          <w:color w:val="auto"/>
        </w:rPr>
        <w:t>Ústav informatiky AV ČR, v. v. i.</w:t>
      </w:r>
    </w:p>
    <w:p w:rsidR="00DD5CE4" w:rsidRDefault="004721D3">
      <w:pPr>
        <w:pStyle w:val="Standard"/>
        <w:tabs>
          <w:tab w:val="left" w:pos="2126"/>
        </w:tabs>
        <w:jc w:val="left"/>
      </w:pPr>
      <w:r>
        <w:rPr>
          <w:color w:val="auto"/>
        </w:rPr>
        <w:tab/>
        <w:t xml:space="preserve">Sídlem: </w:t>
      </w:r>
      <w:r>
        <w:rPr>
          <w:color w:val="auto"/>
        </w:rPr>
        <w:tab/>
        <w:t>Pod Vodárenskou věží 271/2, 182 00 Praha 8</w:t>
      </w:r>
      <w:r>
        <w:rPr>
          <w:color w:val="auto"/>
        </w:rPr>
        <w:br/>
        <w:t xml:space="preserve">IČ: </w:t>
      </w:r>
      <w:r>
        <w:rPr>
          <w:color w:val="auto"/>
        </w:rPr>
        <w:tab/>
      </w:r>
      <w:r>
        <w:rPr>
          <w:color w:val="auto"/>
        </w:rPr>
        <w:tab/>
        <w:t>67985807</w:t>
      </w:r>
      <w:r>
        <w:rPr>
          <w:color w:val="auto"/>
        </w:rPr>
        <w:br/>
        <w:t>DIČ:</w:t>
      </w:r>
      <w:r>
        <w:rPr>
          <w:color w:val="auto"/>
        </w:rPr>
        <w:tab/>
      </w:r>
      <w:r>
        <w:rPr>
          <w:color w:val="auto"/>
        </w:rPr>
        <w:tab/>
        <w:t>CZ67985807</w:t>
      </w:r>
      <w:r>
        <w:rPr>
          <w:color w:val="auto"/>
        </w:rPr>
        <w:br/>
        <w:t>Bankovní spojení:</w:t>
      </w:r>
      <w:r>
        <w:rPr>
          <w:color w:val="auto"/>
        </w:rPr>
        <w:tab/>
        <w:t xml:space="preserve">účet č. </w:t>
      </w:r>
      <w:r w:rsidRPr="004721D3">
        <w:rPr>
          <w:color w:val="auto"/>
          <w:highlight w:val="black"/>
        </w:rPr>
        <w:t>xxxxxxxxxx</w:t>
      </w:r>
      <w:r w:rsidRPr="004721D3">
        <w:rPr>
          <w:color w:val="auto"/>
          <w:highlight w:val="black"/>
        </w:rPr>
        <w:t>/xxxx</w:t>
      </w:r>
      <w:r>
        <w:t>,</w:t>
      </w:r>
      <w:r>
        <w:rPr>
          <w:color w:val="auto"/>
        </w:rPr>
        <w:t xml:space="preserve"> vedený u Raiffeisen Bank</w:t>
      </w:r>
      <w:r>
        <w:rPr>
          <w:color w:val="auto"/>
        </w:rPr>
        <w:br/>
        <w:t xml:space="preserve">Zastoupené: </w:t>
      </w:r>
      <w:r>
        <w:rPr>
          <w:color w:val="auto"/>
        </w:rPr>
        <w:tab/>
        <w:t>doc. Ing. Petr</w:t>
      </w:r>
      <w:r>
        <w:rPr>
          <w:color w:val="auto"/>
        </w:rPr>
        <w:t xml:space="preserve"> Cintula, Ph.D., ředitel</w:t>
      </w:r>
    </w:p>
    <w:p w:rsidR="00DD5CE4" w:rsidRDefault="004721D3">
      <w:pPr>
        <w:pStyle w:val="Standard"/>
        <w:tabs>
          <w:tab w:val="left" w:pos="2126"/>
        </w:tabs>
        <w:jc w:val="left"/>
      </w:pPr>
      <w:r>
        <w:rPr>
          <w:color w:val="auto"/>
        </w:rPr>
        <w:tab/>
        <w:t xml:space="preserve">Odpovědná  osoba za příjemce: </w:t>
      </w:r>
      <w:r w:rsidRPr="004721D3">
        <w:rPr>
          <w:color w:val="auto"/>
          <w:highlight w:val="black"/>
        </w:rPr>
        <w:t>xxxxxxxxxxxxxxxxxxxxxx</w:t>
      </w:r>
    </w:p>
    <w:p w:rsidR="00DD5CE4" w:rsidRDefault="004721D3">
      <w:pPr>
        <w:pStyle w:val="Standard"/>
        <w:tabs>
          <w:tab w:val="left" w:pos="2126"/>
        </w:tabs>
        <w:jc w:val="left"/>
      </w:pPr>
      <w:r>
        <w:rPr>
          <w:color w:val="auto"/>
        </w:rPr>
        <w:tab/>
      </w:r>
      <w:r>
        <w:rPr>
          <w:b/>
          <w:color w:val="auto"/>
        </w:rPr>
        <w:t>dále též jako „další příjemce 3“ či „UI AVČR“</w:t>
      </w:r>
      <w:bookmarkStart w:id="0" w:name="_GoBack"/>
      <w:bookmarkEnd w:id="0"/>
    </w:p>
    <w:p w:rsidR="00DD5CE4" w:rsidRDefault="00DD5CE4">
      <w:pPr>
        <w:pStyle w:val="Standard"/>
      </w:pPr>
    </w:p>
    <w:p w:rsidR="00DD5CE4" w:rsidRDefault="004721D3">
      <w:pPr>
        <w:pStyle w:val="Nadpis2"/>
      </w:pPr>
      <w:r>
        <w:t>I.</w:t>
      </w:r>
      <w:r>
        <w:br/>
        <w:t>Předmět smlouvy</w:t>
      </w:r>
    </w:p>
    <w:p w:rsidR="00DD5CE4" w:rsidRDefault="004721D3">
      <w:pPr>
        <w:pStyle w:val="Standard"/>
      </w:pPr>
      <w:r>
        <w:t>1.</w:t>
      </w:r>
      <w:r>
        <w:tab/>
        <w:t>Předmětem této smlouvy je stanovení podmínek spolupráce smluvních stran na řešení projektu z obla</w:t>
      </w:r>
      <w:r>
        <w:t xml:space="preserve">sti výzkumu a vývoje </w:t>
      </w:r>
      <w:r>
        <w:rPr>
          <w:bCs/>
        </w:rPr>
        <w:t xml:space="preserve">předkládaného v 5. veřejné soutěži „Programu na podporu aplikovaného výzkumu, experimentálního vývoje a inovací Théta“, podprogramu </w:t>
      </w:r>
      <w:r>
        <w:t>2 – Strategické energetické technologie,</w:t>
      </w:r>
      <w:r>
        <w:rPr>
          <w:bCs/>
        </w:rPr>
        <w:t xml:space="preserve"> </w:t>
      </w:r>
      <w:r>
        <w:t>Technologické agentury České republiky.</w:t>
      </w:r>
    </w:p>
    <w:p w:rsidR="00DD5CE4" w:rsidRDefault="004721D3">
      <w:pPr>
        <w:pStyle w:val="Standard"/>
      </w:pPr>
      <w:r>
        <w:t>2.</w:t>
      </w:r>
      <w:r>
        <w:tab/>
        <w:t>Identifikace projek</w:t>
      </w:r>
      <w:r>
        <w:t>tu:</w:t>
      </w:r>
    </w:p>
    <w:p w:rsidR="00DD5CE4" w:rsidRDefault="004721D3">
      <w:pPr>
        <w:pStyle w:val="Standard"/>
        <w:ind w:left="1134" w:hanging="1134"/>
      </w:pPr>
      <w:r>
        <w:rPr>
          <w:b/>
        </w:rPr>
        <w:t>Název:</w:t>
      </w:r>
      <w:r>
        <w:rPr>
          <w:b/>
        </w:rPr>
        <w:tab/>
        <w:t>Využití neuronových sítí pro realtime predikci variabilní baseline u energetických zařízení na vn, nn napěťových hladinách</w:t>
      </w:r>
    </w:p>
    <w:p w:rsidR="00DD5CE4" w:rsidRDefault="004721D3">
      <w:pPr>
        <w:pStyle w:val="Standard"/>
        <w:rPr>
          <w:b/>
        </w:rPr>
      </w:pPr>
      <w:r>
        <w:rPr>
          <w:b/>
        </w:rPr>
        <w:t xml:space="preserve">Reg. č.: </w:t>
      </w:r>
      <w:r>
        <w:rPr>
          <w:b/>
        </w:rPr>
        <w:tab/>
        <w:t>TK05020142</w:t>
      </w:r>
    </w:p>
    <w:p w:rsidR="00DD5CE4" w:rsidRDefault="004721D3">
      <w:pPr>
        <w:pStyle w:val="Standard"/>
      </w:pPr>
      <w:r>
        <w:rPr>
          <w:b/>
        </w:rPr>
        <w:t>Poskytovatel: Technologická agentura České republiky (dále též jako poskytovatel)</w:t>
      </w:r>
    </w:p>
    <w:p w:rsidR="00DD5CE4" w:rsidRDefault="00DD5CE4">
      <w:pPr>
        <w:pStyle w:val="Standard"/>
      </w:pPr>
    </w:p>
    <w:p w:rsidR="00DD5CE4" w:rsidRDefault="004721D3">
      <w:pPr>
        <w:pStyle w:val="Nadpis2"/>
      </w:pPr>
      <w:r>
        <w:t>II.</w:t>
      </w:r>
      <w:r>
        <w:br/>
        <w:t>Řešení projekt</w:t>
      </w:r>
      <w:r>
        <w:t>u</w:t>
      </w:r>
    </w:p>
    <w:p w:rsidR="00DD5CE4" w:rsidRDefault="004721D3">
      <w:pPr>
        <w:pStyle w:val="Standard"/>
      </w:pPr>
      <w:r>
        <w:t>1.</w:t>
      </w:r>
      <w:r>
        <w:tab/>
        <w:t>Řešení projektu je rozloženo do období od 02/2023 do 09/2025</w:t>
      </w:r>
    </w:p>
    <w:p w:rsidR="00DD5CE4" w:rsidRDefault="004721D3">
      <w:pPr>
        <w:pStyle w:val="Standard"/>
      </w:pPr>
      <w:r>
        <w:t>2.</w:t>
      </w:r>
      <w:r>
        <w:tab/>
        <w:t xml:space="preserve">Předmětem řešení projektu je vývoj softwarového řešení schopného splnit požadavky na predikci variabilní baseline podle standardů ČEPS u širokého spektra technologií na straně spotřeby i </w:t>
      </w:r>
      <w:r>
        <w:t>na straně výroby. Softwarové řešení – díky inovativnímu postupu predikce baseline - výrazně zvýší možnost zapojení těchto technologií v poskytování podporných služeb. Při řešení bude využito inovativních metod hlubokého učení neuronových sítí s regularizac</w:t>
      </w:r>
      <w:r>
        <w:t>í (Deep Learning – DL &amp; Deep Neural Networks – DNN). Nově vytvořené a implementované DNN modely budou následně prakticky validovány pro predikci baseline u konkrétních subjektů z řad poskytovatelů flexibility.</w:t>
      </w:r>
    </w:p>
    <w:p w:rsidR="00DD5CE4" w:rsidRDefault="004721D3">
      <w:pPr>
        <w:pStyle w:val="Standard"/>
      </w:pPr>
      <w:r>
        <w:t>3.</w:t>
      </w:r>
      <w:r>
        <w:tab/>
        <w:t>Předpokládané výsledky:</w:t>
      </w:r>
    </w:p>
    <w:p w:rsidR="00DD5CE4" w:rsidRDefault="004721D3">
      <w:pPr>
        <w:pStyle w:val="Odstavecseseznamem"/>
        <w:numPr>
          <w:ilvl w:val="0"/>
          <w:numId w:val="1"/>
        </w:numPr>
      </w:pPr>
      <w:r>
        <w:t xml:space="preserve">SW-Neural networks </w:t>
      </w:r>
      <w:r>
        <w:t>realtime forecasting, druh výsledku: R - Software, termín dosažení 09/2025 (označení výsledku TK05020142-V1),</w:t>
      </w:r>
    </w:p>
    <w:p w:rsidR="00DD5CE4" w:rsidRDefault="004721D3" w:rsidP="004721D3">
      <w:pPr>
        <w:pStyle w:val="Odstavecseseznamem"/>
        <w:numPr>
          <w:ilvl w:val="0"/>
          <w:numId w:val="9"/>
        </w:numPr>
      </w:pPr>
      <w:r>
        <w:t>Dokumentace predikčního modelu, druh výsledku: O – Ostatní výsledky, termín dosažení 09/2025 (označení výsledku TK05020142-V2).</w:t>
      </w:r>
    </w:p>
    <w:p w:rsidR="00DD5CE4" w:rsidRDefault="004721D3">
      <w:pPr>
        <w:pStyle w:val="Standard"/>
      </w:pPr>
      <w:r>
        <w:t>4.</w:t>
      </w:r>
      <w:r>
        <w:tab/>
        <w:t>Za řízení proje</w:t>
      </w:r>
      <w:r>
        <w:t>ktu je odpovědný hlavní příjemce.</w:t>
      </w:r>
    </w:p>
    <w:p w:rsidR="00DD5CE4" w:rsidRDefault="00DD5CE4">
      <w:pPr>
        <w:pStyle w:val="Standard"/>
      </w:pPr>
    </w:p>
    <w:p w:rsidR="00DD5CE4" w:rsidRDefault="004721D3">
      <w:pPr>
        <w:pStyle w:val="Nadpis2"/>
      </w:pPr>
      <w:r>
        <w:lastRenderedPageBreak/>
        <w:t>III.</w:t>
      </w:r>
      <w:r>
        <w:br/>
        <w:t>Věcná náplň spolupráce smluvních stran</w:t>
      </w:r>
    </w:p>
    <w:p w:rsidR="00DD5CE4" w:rsidRDefault="004721D3">
      <w:pPr>
        <w:pStyle w:val="Standard"/>
      </w:pPr>
      <w:r>
        <w:t>1.</w:t>
      </w:r>
      <w:r>
        <w:tab/>
        <w:t xml:space="preserve">Smluvní strany se za účelem naplnění předmětu smlouvy vymezeného výše zavazují spolupracovat tak, že zajistí spolupráci všech řešitelských týmů na řešení projektu, a to </w:t>
      </w:r>
      <w:r>
        <w:t>především v následujících činnostech:</w:t>
      </w:r>
    </w:p>
    <w:p w:rsidR="00DD5CE4" w:rsidRDefault="004721D3" w:rsidP="004721D3">
      <w:pPr>
        <w:pStyle w:val="Standard"/>
        <w:numPr>
          <w:ilvl w:val="0"/>
          <w:numId w:val="8"/>
        </w:numPr>
      </w:pPr>
      <w:r>
        <w:rPr>
          <w:b/>
          <w:color w:val="auto"/>
        </w:rPr>
        <w:t>Unicorn Solutions a.s.</w:t>
      </w:r>
    </w:p>
    <w:p w:rsidR="00DD5CE4" w:rsidRDefault="004721D3">
      <w:pPr>
        <w:pStyle w:val="Standard"/>
        <w:ind w:left="1134" w:firstLine="0"/>
        <w:rPr>
          <w:rStyle w:val="value"/>
        </w:rPr>
      </w:pPr>
      <w:r>
        <w:rPr>
          <w:rStyle w:val="value"/>
        </w:rPr>
        <w:t>výběr a definice vhodných typů sítí a jejich základních parametrů, specifikace akceptačních kritérií, trénovacích a testovacích dat, analýza a návrh modelu 1 - Recurrent Neuronal Network, analýza</w:t>
      </w:r>
      <w:r>
        <w:rPr>
          <w:rStyle w:val="value"/>
        </w:rPr>
        <w:t xml:space="preserve"> a návrh modelu 2 - Convolutioanal Neuronal Network, komplexní popis struktury řešení vč. popisu práce s daty</w:t>
      </w:r>
    </w:p>
    <w:p w:rsidR="00DD5CE4" w:rsidRDefault="004721D3" w:rsidP="004721D3">
      <w:pPr>
        <w:pStyle w:val="Standard"/>
        <w:numPr>
          <w:ilvl w:val="0"/>
          <w:numId w:val="8"/>
        </w:numPr>
        <w:rPr>
          <w:rStyle w:val="value"/>
        </w:rPr>
      </w:pPr>
      <w:r>
        <w:rPr>
          <w:rStyle w:val="value"/>
          <w:b/>
          <w:bCs/>
        </w:rPr>
        <w:t>Unicorn Systems a.s.</w:t>
      </w:r>
    </w:p>
    <w:p w:rsidR="00DD5CE4" w:rsidRDefault="004721D3">
      <w:pPr>
        <w:widowControl/>
        <w:spacing w:after="240"/>
        <w:ind w:left="1134"/>
        <w:textAlignment w:val="auto"/>
        <w:rPr>
          <w:rStyle w:val="value"/>
          <w:rFonts w:eastAsia="Cambria" w:cs="Times New Roman"/>
          <w:color w:val="000000"/>
        </w:rPr>
      </w:pPr>
      <w:r>
        <w:rPr>
          <w:rStyle w:val="value"/>
        </w:rPr>
        <w:t>zajištění komercionalizace a aplikace výsledků v praxi, směřování výsledků dle požadavků koncových zákazníků, eliminace poten</w:t>
      </w:r>
      <w:r>
        <w:rPr>
          <w:rStyle w:val="value"/>
        </w:rPr>
        <w:t xml:space="preserve">ciálních rizik projektu na straně aplikace do praxe, </w:t>
      </w:r>
      <w:r>
        <w:rPr>
          <w:rStyle w:val="value"/>
          <w:rFonts w:eastAsia="Cambria" w:cs="Times New Roman"/>
          <w:color w:val="000000"/>
        </w:rPr>
        <w:t>popis procesů implementace na cílový trh</w:t>
      </w:r>
    </w:p>
    <w:p w:rsidR="00DD5CE4" w:rsidRDefault="004721D3" w:rsidP="004721D3">
      <w:pPr>
        <w:pStyle w:val="Standard"/>
        <w:numPr>
          <w:ilvl w:val="0"/>
          <w:numId w:val="8"/>
        </w:numPr>
        <w:rPr>
          <w:rStyle w:val="value"/>
        </w:rPr>
      </w:pPr>
      <w:r>
        <w:rPr>
          <w:rStyle w:val="value"/>
          <w:b/>
          <w:bCs/>
        </w:rPr>
        <w:t>Unicorn Vysoká škola s.r.o.</w:t>
      </w:r>
    </w:p>
    <w:p w:rsidR="00DD5CE4" w:rsidRDefault="004721D3">
      <w:pPr>
        <w:pStyle w:val="Standard"/>
        <w:ind w:left="1134" w:firstLine="0"/>
        <w:rPr>
          <w:rStyle w:val="value"/>
        </w:rPr>
      </w:pPr>
      <w:r>
        <w:rPr>
          <w:rStyle w:val="value"/>
        </w:rPr>
        <w:t>návrh a nastavení modelu neuronových sítí pro plánované predikce a jeho trénování na testovacích datech, popis struktury hlavního pred</w:t>
      </w:r>
      <w:r>
        <w:rPr>
          <w:rStyle w:val="value"/>
        </w:rPr>
        <w:t>ikčního modelu a jeho správné parametrizace pro navrhované datasety</w:t>
      </w:r>
    </w:p>
    <w:p w:rsidR="00DD5CE4" w:rsidRDefault="004721D3" w:rsidP="004721D3">
      <w:pPr>
        <w:pStyle w:val="Odstavecseseznamem"/>
        <w:numPr>
          <w:ilvl w:val="0"/>
          <w:numId w:val="8"/>
        </w:numPr>
      </w:pPr>
      <w:r>
        <w:rPr>
          <w:b/>
          <w:bCs/>
        </w:rPr>
        <w:t>Ústav informatiky AV ČR, v. v. i.</w:t>
      </w:r>
    </w:p>
    <w:p w:rsidR="00DD5CE4" w:rsidRDefault="004721D3">
      <w:pPr>
        <w:pStyle w:val="Standard"/>
        <w:ind w:left="1134" w:firstLine="0"/>
      </w:pPr>
      <w:r>
        <w:rPr>
          <w:rStyle w:val="value"/>
        </w:rPr>
        <w:t xml:space="preserve">systematický průzkum statistických vlastností dat využitelných v predikčním modelování, testování a semiparametrické modelování reziduí modelů vyvinutých </w:t>
      </w:r>
      <w:r>
        <w:rPr>
          <w:rStyle w:val="value"/>
        </w:rPr>
        <w:t>při řešení projektu s cílem odhalit případné deficience, návrh vylepšení struktury modelu na základě chování predikčních reziduí, popis statistických vlastností navrhovaného řešení, zejména ve vztahu k chování reziduí, a tedy kvality predikcí</w:t>
      </w:r>
    </w:p>
    <w:p w:rsidR="00DD5CE4" w:rsidRDefault="00DD5CE4">
      <w:pPr>
        <w:pStyle w:val="Standard"/>
        <w:ind w:left="0" w:firstLine="0"/>
      </w:pPr>
    </w:p>
    <w:p w:rsidR="00DD5CE4" w:rsidRDefault="004721D3">
      <w:pPr>
        <w:pStyle w:val="Nadpis2"/>
      </w:pPr>
      <w:r>
        <w:t>IV.</w:t>
      </w:r>
      <w:r>
        <w:br/>
        <w:t>Finanční</w:t>
      </w:r>
      <w:r>
        <w:t xml:space="preserve"> zajištění projektu</w:t>
      </w:r>
    </w:p>
    <w:p w:rsidR="00DD5CE4" w:rsidRDefault="004721D3" w:rsidP="004721D3">
      <w:pPr>
        <w:pStyle w:val="Odstavecseseznamem"/>
        <w:numPr>
          <w:ilvl w:val="0"/>
          <w:numId w:val="10"/>
        </w:numPr>
      </w:pPr>
      <w:r>
        <w:t>Hlavní příjemce se na základě této smlouvy zavazuje dalším příjemcům převést na řešení výše uvedené věcné náplně projektu neinvestiční účelové finanční prostředky ve výši:</w:t>
      </w:r>
    </w:p>
    <w:p w:rsidR="00DD5CE4" w:rsidRDefault="004721D3" w:rsidP="004721D3">
      <w:pPr>
        <w:pStyle w:val="Odstavecseseznamem"/>
        <w:numPr>
          <w:ilvl w:val="1"/>
          <w:numId w:val="11"/>
        </w:numPr>
      </w:pPr>
      <w:r>
        <w:rPr>
          <w:b/>
          <w:bCs/>
        </w:rPr>
        <w:t>Unicorn Systems a.s.</w:t>
      </w:r>
    </w:p>
    <w:p w:rsidR="00DD5CE4" w:rsidRDefault="004721D3">
      <w:pPr>
        <w:pStyle w:val="Odstavecseseznamem"/>
        <w:ind w:left="1440"/>
      </w:pPr>
      <w:r>
        <w:t>1 384 454,-Kč, (54 % z celkových nákladů da</w:t>
      </w:r>
      <w:r>
        <w:t>lšího účastníka 1)</w:t>
      </w:r>
    </w:p>
    <w:p w:rsidR="00DD5CE4" w:rsidRDefault="004721D3" w:rsidP="004721D3">
      <w:pPr>
        <w:pStyle w:val="Odstavecseseznamem"/>
        <w:numPr>
          <w:ilvl w:val="2"/>
          <w:numId w:val="12"/>
        </w:numPr>
      </w:pPr>
      <w:r>
        <w:t>v roce 2023 ve výši: 437 760,-Kč</w:t>
      </w:r>
    </w:p>
    <w:p w:rsidR="00DD5CE4" w:rsidRDefault="004721D3" w:rsidP="004721D3">
      <w:pPr>
        <w:pStyle w:val="Odstavecseseznamem"/>
        <w:numPr>
          <w:ilvl w:val="2"/>
          <w:numId w:val="13"/>
        </w:numPr>
      </w:pPr>
      <w:r>
        <w:t>v roce 2024 ve výši: 487 108,-Kč</w:t>
      </w:r>
    </w:p>
    <w:p w:rsidR="00DD5CE4" w:rsidRDefault="004721D3" w:rsidP="004721D3">
      <w:pPr>
        <w:pStyle w:val="Odstavecseseznamem"/>
        <w:numPr>
          <w:ilvl w:val="2"/>
          <w:numId w:val="14"/>
        </w:numPr>
      </w:pPr>
      <w:r>
        <w:t>v roce 2025 ve výši: 459 586,-Kč</w:t>
      </w:r>
    </w:p>
    <w:p w:rsidR="00DD5CE4" w:rsidRDefault="00DD5CE4">
      <w:pPr>
        <w:pStyle w:val="Odstavecseseznamem"/>
        <w:ind w:left="2160"/>
      </w:pPr>
    </w:p>
    <w:p w:rsidR="00DD5CE4" w:rsidRDefault="004721D3" w:rsidP="004721D3">
      <w:pPr>
        <w:pStyle w:val="Odstavecseseznamem"/>
        <w:numPr>
          <w:ilvl w:val="1"/>
          <w:numId w:val="15"/>
        </w:numPr>
      </w:pPr>
      <w:r>
        <w:rPr>
          <w:b/>
          <w:bCs/>
        </w:rPr>
        <w:t>Unicorn Vysoká škola s.r.o.</w:t>
      </w:r>
    </w:p>
    <w:p w:rsidR="00DD5CE4" w:rsidRDefault="004721D3">
      <w:pPr>
        <w:pStyle w:val="Odstavecseseznamem"/>
        <w:ind w:left="1440"/>
      </w:pPr>
      <w:r>
        <w:t>1 589 544,-Kč, (50 % z celkových nákladů dalšího účastníka 2)</w:t>
      </w:r>
    </w:p>
    <w:p w:rsidR="00DD5CE4" w:rsidRDefault="004721D3" w:rsidP="004721D3">
      <w:pPr>
        <w:pStyle w:val="Odstavecseseznamem"/>
        <w:numPr>
          <w:ilvl w:val="2"/>
          <w:numId w:val="16"/>
        </w:numPr>
      </w:pPr>
      <w:r>
        <w:t>v roce 2023 ve výši: 546 406,-Kč</w:t>
      </w:r>
    </w:p>
    <w:p w:rsidR="00DD5CE4" w:rsidRDefault="004721D3" w:rsidP="004721D3">
      <w:pPr>
        <w:pStyle w:val="Odstavecseseznamem"/>
        <w:numPr>
          <w:ilvl w:val="2"/>
          <w:numId w:val="17"/>
        </w:numPr>
      </w:pPr>
      <w:r>
        <w:t>v roce 2024 ve</w:t>
      </w:r>
      <w:r>
        <w:t xml:space="preserve"> výši: 596 079,-Kč</w:t>
      </w:r>
    </w:p>
    <w:p w:rsidR="00DD5CE4" w:rsidRDefault="004721D3" w:rsidP="004721D3">
      <w:pPr>
        <w:pStyle w:val="Odstavecseseznamem"/>
        <w:numPr>
          <w:ilvl w:val="2"/>
          <w:numId w:val="18"/>
        </w:numPr>
      </w:pPr>
      <w:r>
        <w:t>v roce 2025 ve výši: 447 059,-Kč</w:t>
      </w:r>
    </w:p>
    <w:p w:rsidR="00DD5CE4" w:rsidRDefault="00DD5CE4">
      <w:pPr>
        <w:pStyle w:val="Odstavecseseznamem"/>
        <w:ind w:left="2160"/>
      </w:pPr>
    </w:p>
    <w:p w:rsidR="00DD5CE4" w:rsidRDefault="004721D3" w:rsidP="004721D3">
      <w:pPr>
        <w:pStyle w:val="Odstavecseseznamem"/>
        <w:numPr>
          <w:ilvl w:val="1"/>
          <w:numId w:val="19"/>
        </w:numPr>
      </w:pPr>
      <w:r>
        <w:rPr>
          <w:b/>
          <w:bCs/>
        </w:rPr>
        <w:t>Ústav informatiky AV ČR, v. v. i.</w:t>
      </w:r>
    </w:p>
    <w:p w:rsidR="00DD5CE4" w:rsidRDefault="004721D3">
      <w:pPr>
        <w:pStyle w:val="Odstavecseseznamem"/>
        <w:ind w:left="1440"/>
      </w:pPr>
      <w:r>
        <w:t>2 703 039,-Kč (100 % celkových nákladů dalšího účastníka 3)</w:t>
      </w:r>
    </w:p>
    <w:p w:rsidR="00DD5CE4" w:rsidRDefault="004721D3" w:rsidP="004721D3">
      <w:pPr>
        <w:pStyle w:val="Odstavecseseznamem"/>
        <w:numPr>
          <w:ilvl w:val="2"/>
          <w:numId w:val="20"/>
        </w:numPr>
      </w:pPr>
      <w:r>
        <w:t>v roce 2023 ve výši: 927 607,-Kč</w:t>
      </w:r>
    </w:p>
    <w:p w:rsidR="00DD5CE4" w:rsidRDefault="004721D3" w:rsidP="004721D3">
      <w:pPr>
        <w:pStyle w:val="Odstavecseseznamem"/>
        <w:numPr>
          <w:ilvl w:val="2"/>
          <w:numId w:val="21"/>
        </w:numPr>
      </w:pPr>
      <w:r>
        <w:t>v roce 2024 ve výši: 1 007 390,-Kč</w:t>
      </w:r>
    </w:p>
    <w:p w:rsidR="00DD5CE4" w:rsidRDefault="004721D3" w:rsidP="004721D3">
      <w:pPr>
        <w:pStyle w:val="Odstavecseseznamem"/>
        <w:numPr>
          <w:ilvl w:val="2"/>
          <w:numId w:val="22"/>
        </w:numPr>
      </w:pPr>
      <w:r>
        <w:t>v roce 2025 ve výši: 768 042</w:t>
      </w:r>
      <w:bookmarkStart w:id="1" w:name="_Hlk129100923"/>
      <w:r>
        <w:t>,-</w:t>
      </w:r>
      <w:bookmarkEnd w:id="1"/>
      <w:r>
        <w:t>Kč</w:t>
      </w:r>
    </w:p>
    <w:p w:rsidR="00DD5CE4" w:rsidRDefault="004721D3">
      <w:pPr>
        <w:pStyle w:val="Standard"/>
      </w:pPr>
      <w:r>
        <w:t>2.</w:t>
      </w:r>
      <w:r>
        <w:tab/>
        <w:t>Účelo</w:t>
      </w:r>
      <w:r>
        <w:t>vé finanční prostředky je hlavní příjemce povinen dalším příjemcům uhradit vždy bezhotovostním převodem na jejich bankovní účty uvedené v záhlaví smlouvy nejpozději do 20 dnů od obdržení účelových prostředků od poskytovatele.</w:t>
      </w:r>
    </w:p>
    <w:p w:rsidR="00DD5CE4" w:rsidRDefault="004721D3">
      <w:pPr>
        <w:pStyle w:val="Standard"/>
      </w:pPr>
      <w:r>
        <w:t>3.</w:t>
      </w:r>
      <w:r>
        <w:tab/>
        <w:t xml:space="preserve">V případě, že poskytovatel </w:t>
      </w:r>
      <w:r>
        <w:t>rozhodne o poskytnutí odlišné částky na řešení projektu, než je uvedena v návrhu projektu, zavazují se smluvní strany upravit poměrně výši účelových prostředků dodatkem k této smlouvě, pokud nerozhodne poskytovatel jinak.</w:t>
      </w:r>
    </w:p>
    <w:p w:rsidR="00DD5CE4" w:rsidRDefault="004721D3">
      <w:pPr>
        <w:pStyle w:val="Standard"/>
      </w:pPr>
      <w:r>
        <w:t>4.</w:t>
      </w:r>
      <w:r>
        <w:tab/>
        <w:t>Převáděné účelové finanční pros</w:t>
      </w:r>
      <w:r>
        <w:t>tředky nejsou předmětem DPH.</w:t>
      </w:r>
    </w:p>
    <w:p w:rsidR="00DD5CE4" w:rsidRDefault="004721D3">
      <w:pPr>
        <w:pStyle w:val="Standard"/>
      </w:pPr>
      <w:r>
        <w:t>5.</w:t>
      </w:r>
      <w:r>
        <w:tab/>
        <w:t>Účelové finanční prostředky dle této smlouvy jsou hlavním příjemcem dalšímu příjemci poskytovány na úhradu nákladů účelově vymezených touto smlouvou a platnými směrnicemi a podmínkami poskytovatele.</w:t>
      </w:r>
    </w:p>
    <w:p w:rsidR="00DD5CE4" w:rsidRDefault="004721D3">
      <w:pPr>
        <w:pStyle w:val="Standard"/>
      </w:pPr>
      <w:r>
        <w:t>6.</w:t>
      </w:r>
      <w:r>
        <w:tab/>
        <w:t>Smluvní strany ujednáv</w:t>
      </w:r>
      <w:r>
        <w:t>ají, že jejich finanční vklad do spolupráce na řešení projektu je ze strany:</w:t>
      </w:r>
    </w:p>
    <w:p w:rsidR="00DD5CE4" w:rsidRDefault="004721D3">
      <w:pPr>
        <w:pStyle w:val="Standard"/>
        <w:ind w:left="850"/>
      </w:pPr>
      <w:r>
        <w:rPr>
          <w:bCs/>
          <w:color w:val="auto"/>
        </w:rPr>
        <w:t xml:space="preserve">Unicorn Solutions a.s.: 6 691 449,-Kč (46 % celkových nákladů </w:t>
      </w:r>
      <w:r>
        <w:t>hlavního příjemce</w:t>
      </w:r>
      <w:r>
        <w:rPr>
          <w:bCs/>
          <w:color w:val="auto"/>
        </w:rPr>
        <w:t>)</w:t>
      </w:r>
    </w:p>
    <w:p w:rsidR="00DD5CE4" w:rsidRDefault="004721D3">
      <w:pPr>
        <w:pStyle w:val="Standard"/>
      </w:pPr>
      <w:r>
        <w:tab/>
      </w:r>
      <w:r>
        <w:rPr>
          <w:bCs/>
          <w:color w:val="auto"/>
        </w:rPr>
        <w:t xml:space="preserve">Unicorn Systems a.s.: 1 179 351,-Kč (46 % celkových nákladů </w:t>
      </w:r>
      <w:r>
        <w:t>dalšího příjemce 1</w:t>
      </w:r>
      <w:r>
        <w:rPr>
          <w:bCs/>
          <w:color w:val="auto"/>
        </w:rPr>
        <w:t>)</w:t>
      </w:r>
    </w:p>
    <w:p w:rsidR="00DD5CE4" w:rsidRDefault="004721D3">
      <w:pPr>
        <w:pStyle w:val="Standard"/>
      </w:pPr>
      <w:r>
        <w:rPr>
          <w:bCs/>
          <w:color w:val="auto"/>
        </w:rPr>
        <w:tab/>
      </w:r>
      <w:r>
        <w:rPr>
          <w:bCs/>
          <w:color w:val="auto"/>
        </w:rPr>
        <w:t xml:space="preserve">Unicorn Vysoká škola s.r.o.: 1 589 542,-Kč (50 % celkových nákladů </w:t>
      </w:r>
      <w:r>
        <w:t>dalšího příjemce 2</w:t>
      </w:r>
      <w:r>
        <w:rPr>
          <w:bCs/>
          <w:color w:val="auto"/>
        </w:rPr>
        <w:t>)</w:t>
      </w:r>
    </w:p>
    <w:p w:rsidR="00DD5CE4" w:rsidRDefault="004721D3">
      <w:pPr>
        <w:pStyle w:val="Standard"/>
      </w:pPr>
      <w:r>
        <w:rPr>
          <w:bCs/>
          <w:color w:val="auto"/>
        </w:rPr>
        <w:tab/>
        <w:t>Ústav informatiky AV ČR, v. v. i.: 0,-Kč (</w:t>
      </w:r>
      <w:r>
        <w:rPr>
          <w:bCs/>
        </w:rPr>
        <w:t>0</w:t>
      </w:r>
      <w:r>
        <w:rPr>
          <w:bCs/>
          <w:color w:val="auto"/>
        </w:rPr>
        <w:t xml:space="preserve"> % celkových nákladů </w:t>
      </w:r>
      <w:r>
        <w:t>dalšího příjemce 3</w:t>
      </w:r>
      <w:r>
        <w:rPr>
          <w:bCs/>
          <w:color w:val="auto"/>
        </w:rPr>
        <w:t>)</w:t>
      </w:r>
    </w:p>
    <w:p w:rsidR="00DD5CE4" w:rsidRDefault="00DD5CE4">
      <w:pPr>
        <w:pStyle w:val="Standard"/>
        <w:rPr>
          <w:bCs/>
          <w:color w:val="auto"/>
        </w:rPr>
      </w:pPr>
    </w:p>
    <w:p w:rsidR="00DD5CE4" w:rsidRDefault="004721D3">
      <w:pPr>
        <w:pStyle w:val="Nadpis2"/>
      </w:pPr>
      <w:r>
        <w:t>V.</w:t>
      </w:r>
      <w:r>
        <w:br/>
        <w:t>Podmínky použití poskytnutých účelových finančních prostředků</w:t>
      </w:r>
    </w:p>
    <w:p w:rsidR="00DD5CE4" w:rsidRDefault="004721D3">
      <w:pPr>
        <w:pStyle w:val="Standard"/>
      </w:pPr>
      <w:r>
        <w:t>1.</w:t>
      </w:r>
      <w:r>
        <w:tab/>
        <w:t xml:space="preserve">Další příjemci </w:t>
      </w:r>
      <w:r>
        <w:t>(USY, UUN a UI AVČR) jsou povinni:</w:t>
      </w:r>
    </w:p>
    <w:p w:rsidR="00DD5CE4" w:rsidRDefault="004721D3">
      <w:pPr>
        <w:pStyle w:val="Odstavecseseznamem"/>
        <w:numPr>
          <w:ilvl w:val="0"/>
          <w:numId w:val="3"/>
        </w:numPr>
        <w:tabs>
          <w:tab w:val="clear" w:pos="850"/>
        </w:tabs>
      </w:pPr>
      <w:r>
        <w:t>Vést o čerpání a užití účelových finančních prostředků poskytnutých na řešení projektu samostatnou účetní evidenci tak, aby tyto prostředky a nakládání s nimi bylo odděleno od ostatního majetku dalšího účastníka projektu.</w:t>
      </w:r>
      <w:r>
        <w:t xml:space="preserve"> Při vedení této účetní evidence je další příjemce povinen dodržovat obecně závazné právní předpisy, běžné účetní zvyklosti a příslušné závazné podmínky uvedené v zásadách, pokynech, směrnicích nebo v jiných předpisech uveřejněných ve Finančním zpravodaji </w:t>
      </w:r>
      <w:r>
        <w:t>Ministerstva financí, nebo jiným obdobným závazným způsobem.</w:t>
      </w:r>
    </w:p>
    <w:p w:rsidR="00DD5CE4" w:rsidRDefault="004721D3" w:rsidP="004721D3">
      <w:pPr>
        <w:pStyle w:val="Odstavecseseznamem"/>
        <w:numPr>
          <w:ilvl w:val="0"/>
          <w:numId w:val="23"/>
        </w:numPr>
        <w:tabs>
          <w:tab w:val="clear" w:pos="850"/>
        </w:tabs>
      </w:pPr>
      <w:r>
        <w:t>Vykonávat činnosti vedoucí k dosažení cílů uvedených v závazných parametrech projektu. Vynaložit na řešení projektu finanční prostředky z ostatních stanovených forem financování projektu a ve výš</w:t>
      </w:r>
      <w:r>
        <w:t>i uvedené v závazných parametrech projektu.</w:t>
      </w:r>
    </w:p>
    <w:p w:rsidR="00DD5CE4" w:rsidRDefault="004721D3" w:rsidP="004721D3">
      <w:pPr>
        <w:pStyle w:val="Odstavecseseznamem"/>
        <w:numPr>
          <w:ilvl w:val="0"/>
          <w:numId w:val="24"/>
        </w:numPr>
        <w:tabs>
          <w:tab w:val="clear" w:pos="850"/>
        </w:tabs>
      </w:pPr>
      <w:r>
        <w:t xml:space="preserve">Předložit hlavnímu příjemci nejpozději do dne </w:t>
      </w:r>
      <w:r>
        <w:rPr>
          <w:b/>
        </w:rPr>
        <w:t>31. 12</w:t>
      </w:r>
      <w:r>
        <w:t xml:space="preserve">. kalendářního roku, ve kterém trvá řešení projektu, písemnou roční zprávu o realizaci části projektu v průběhu daného roku. Do </w:t>
      </w:r>
      <w:r>
        <w:rPr>
          <w:b/>
        </w:rPr>
        <w:t>15. 1</w:t>
      </w:r>
      <w:r>
        <w:t>. následujícího roku předlo</w:t>
      </w:r>
      <w:r>
        <w:t>žit hlavnímu příjemci vyúčtování hospodaření s poskytnutými účelovými finančními prostředky za daný kalendářní rok. Předložit hlavnímu příjemci závěrečnou písemnou zprávu o realizaci projektu k poslednímu dnu řešení projektu, pokud tento den není posledním</w:t>
      </w:r>
      <w:r>
        <w:t xml:space="preserve"> dnem kalendářního roku (31.12.). Předložit hlavnímu příjemci vyúčtování hospodaření s poskytnutými účelovými finančními prostředky do 15 dnů ode dne ukončení řešení projektu.</w:t>
      </w:r>
    </w:p>
    <w:p w:rsidR="00DD5CE4" w:rsidRDefault="004721D3" w:rsidP="004721D3">
      <w:pPr>
        <w:pStyle w:val="Odstavecseseznamem"/>
        <w:numPr>
          <w:ilvl w:val="0"/>
          <w:numId w:val="25"/>
        </w:numPr>
        <w:tabs>
          <w:tab w:val="clear" w:pos="850"/>
        </w:tabs>
      </w:pPr>
      <w:r>
        <w:t>V případě, kdy vzniká povinnost vrácení finanční účelové podpory poskytnuté posk</w:t>
      </w:r>
      <w:r>
        <w:t xml:space="preserve">ytovatelem z důvodu jejího nevyčerpání dalším účastníkem, je tento účastník povinen vrátit nevyčerpané účelové finanční prostředky hlavnímu příjemci s tím, že vrácené účelové finanční prostředky budou hlavnímu příjemci avizovány předem a ten je povinen je </w:t>
      </w:r>
      <w:r>
        <w:t>v plné výši vrátit poskytovateli v souladu s platnými směrnicemi a podmínkami poskytovatele. Stanoví-li zvláštní právní předpis či rozhodnutí poskytovatele odlišné podmínky pro vyúčtování či finanční vypořádání, jsou hlavní příjemce a další příjemce povinn</w:t>
      </w:r>
      <w:r>
        <w:t xml:space="preserve">i tyto podmínky dodržet.  </w:t>
      </w:r>
    </w:p>
    <w:p w:rsidR="00DD5CE4" w:rsidRDefault="004721D3" w:rsidP="004721D3">
      <w:pPr>
        <w:pStyle w:val="Odstavecseseznamem"/>
        <w:numPr>
          <w:ilvl w:val="0"/>
          <w:numId w:val="26"/>
        </w:numPr>
        <w:tabs>
          <w:tab w:val="clear" w:pos="850"/>
        </w:tabs>
      </w:pPr>
      <w:r>
        <w:t>V případě, že vznikne povinnost vrácení účelových finančních prostředků z jiných důvodů než na podkladě finančního vypořádání, je další příjemce povinen neprodleně písemně požádat hlavního příjemce o sdělení podmínek a způsobu vy</w:t>
      </w:r>
      <w:r>
        <w:t>pořádání těchto prostředků vyplývajících z platných směrnic a podmínek poskytovatele. Hlavní příjemce je pak povinen oznámit dalšímu příjemci tyto podmínky.</w:t>
      </w:r>
    </w:p>
    <w:p w:rsidR="00DD5CE4" w:rsidRDefault="004721D3" w:rsidP="004721D3">
      <w:pPr>
        <w:pStyle w:val="Odstavecseseznamem"/>
        <w:numPr>
          <w:ilvl w:val="0"/>
          <w:numId w:val="27"/>
        </w:numPr>
        <w:tabs>
          <w:tab w:val="clear" w:pos="850"/>
        </w:tabs>
      </w:pPr>
      <w:r>
        <w:t>Umožnit poskytovateli či jím pověřeným osobám provádět kontrolu jak výsledků řešení projektu, tak i</w:t>
      </w:r>
      <w:r>
        <w:t xml:space="preserve"> účetní evidence a použití účelových finančních prostředků, které byly na řešení projektu poskytnuty poskytovatelem, a to dle podmínek stanovených poskytovatelem. Tímto ujednáním nejsou dotčena ani omezena práva kontrolních a finančních orgánů státní správ</w:t>
      </w:r>
      <w:r>
        <w:t>y České republiky.</w:t>
      </w:r>
    </w:p>
    <w:p w:rsidR="00DD5CE4" w:rsidRDefault="004721D3" w:rsidP="004721D3">
      <w:pPr>
        <w:pStyle w:val="Odstavecseseznamem"/>
        <w:numPr>
          <w:ilvl w:val="0"/>
          <w:numId w:val="28"/>
        </w:numPr>
        <w:tabs>
          <w:tab w:val="clear" w:pos="850"/>
        </w:tabs>
      </w:pPr>
      <w:r>
        <w:t>Postupovat při nakládání s účelovými finančními prostředky získanými na základě rozhodnutí poskytovatele a této smlouvy a s majetkem a právy za ně pořízenými v souladu s obecně závaznými právními předpisy a platnými směrnicemi a podmínka</w:t>
      </w:r>
      <w:r>
        <w:t xml:space="preserve">mi poskytovatele. </w:t>
      </w:r>
    </w:p>
    <w:p w:rsidR="00DD5CE4" w:rsidRDefault="004721D3" w:rsidP="004721D3">
      <w:pPr>
        <w:pStyle w:val="Odstavecseseznamem"/>
        <w:numPr>
          <w:ilvl w:val="0"/>
          <w:numId w:val="29"/>
        </w:numPr>
        <w:tabs>
          <w:tab w:val="clear" w:pos="850"/>
        </w:tabs>
      </w:pPr>
      <w:r>
        <w:t>Informovat hlavního příjemce o případné své neschopnosti plnit řádně a včas povinnosti vyplývající pro něj z této smlouvy a o všech významných změnách svého majetkoprávního postavení majících vliv na schopnost řešení projektu dalším příj</w:t>
      </w:r>
      <w:r>
        <w:t>emcem, jakými jsou zejména vznik, spojení či rozdělení společnosti, změna právní formy, snížení základního kapitálu, vstup do likvidace, zahájení insolvenčního řízení, zánik příslušného oprávnění k činnosti apod., a to bezprostředně poté, co tyto změny nab</w:t>
      </w:r>
      <w:r>
        <w:t>ydou právní platnost.</w:t>
      </w:r>
    </w:p>
    <w:p w:rsidR="00DD5CE4" w:rsidRDefault="004721D3" w:rsidP="004721D3">
      <w:pPr>
        <w:pStyle w:val="Odstavecseseznamem"/>
        <w:numPr>
          <w:ilvl w:val="0"/>
          <w:numId w:val="30"/>
        </w:numPr>
        <w:tabs>
          <w:tab w:val="clear" w:pos="850"/>
        </w:tabs>
      </w:pPr>
      <w:r>
        <w:t>V případě nastání situace ve smyslu předchozího odstavce na jejímž základě další příjemce nebude moci nadále plnit své povinnosti vyplývající pro něj z této smlouvy, je tento další příjemce povinen vrátit hlavnímu příjemci jemu poskyt</w:t>
      </w:r>
      <w:r>
        <w:t xml:space="preserve">nuté účelové finanční prostředky ve výši vyžadované k navrácení poskytovatelem a dle jeho platných směrnic a podmínek, a to do 30 dnů ode dne, kdy bude hlavním příjemcem tomuto dalšímu účastníkovi oznámena výše této částky. Hlavní příjemce je povinen tyto </w:t>
      </w:r>
      <w:r>
        <w:t>finanční prostředky vrátit poskytovateli v souladu s platnými směrnicemi a podmínkami poskytovatele. Stanoví-li zvláštní právní předpis či rozhodnutí poskytovatele odlišné podmínky pro vyúčtování či finanční vypořádání, jsou hlavní příjemce a další příjemc</w:t>
      </w:r>
      <w:r>
        <w:t xml:space="preserve">e povinni tyto podmínky dodržet.  </w:t>
      </w:r>
    </w:p>
    <w:p w:rsidR="00DD5CE4" w:rsidRDefault="004721D3" w:rsidP="004721D3">
      <w:pPr>
        <w:pStyle w:val="Odstavecseseznamem"/>
        <w:numPr>
          <w:ilvl w:val="0"/>
          <w:numId w:val="31"/>
        </w:numPr>
        <w:tabs>
          <w:tab w:val="clear" w:pos="850"/>
        </w:tabs>
      </w:pPr>
      <w:r>
        <w:t>Dodržovat další povinnosti, vyplývající z čl. 4 Všeobecných podmínek „</w:t>
      </w:r>
      <w:r>
        <w:rPr>
          <w:bCs/>
        </w:rPr>
        <w:t xml:space="preserve">Programu na podporu aplikovaného výzkumu, experimentálního vývoje a inovací THÉTA“ </w:t>
      </w:r>
      <w:r>
        <w:t>Technologické agentury České republiky.</w:t>
      </w:r>
    </w:p>
    <w:p w:rsidR="00DD5CE4" w:rsidRDefault="004721D3">
      <w:pPr>
        <w:pStyle w:val="Standard"/>
      </w:pPr>
      <w:r>
        <w:t>2.</w:t>
      </w:r>
      <w:r>
        <w:tab/>
        <w:t xml:space="preserve">Hlavní příjemce (USO) je </w:t>
      </w:r>
      <w:r>
        <w:t>povinen:</w:t>
      </w:r>
    </w:p>
    <w:p w:rsidR="00DD5CE4" w:rsidRDefault="004721D3">
      <w:pPr>
        <w:pStyle w:val="Standard"/>
        <w:numPr>
          <w:ilvl w:val="0"/>
          <w:numId w:val="5"/>
        </w:numPr>
      </w:pPr>
      <w:r>
        <w:t xml:space="preserve">Vzít na zřetel dalším příjemcem včas oznámené skutečnosti, které je dle platných směrnic a podmínek poskytovatele nutné tomuto poskytovateli oznámit. </w:t>
      </w:r>
    </w:p>
    <w:p w:rsidR="00DD5CE4" w:rsidRDefault="004721D3">
      <w:pPr>
        <w:pStyle w:val="Standard"/>
        <w:numPr>
          <w:ilvl w:val="0"/>
          <w:numId w:val="5"/>
        </w:numPr>
      </w:pPr>
      <w:r>
        <w:t>Hlavní příjemce se zavazuje věnovat součinnost při řešení nových skutečností oznámených mu další</w:t>
      </w:r>
      <w:r>
        <w:t>m příjemcem a dávajících za povinnost vznik žádosti o změnu závazných parametrů, pokud by tato změna jednoznačně přispěla k dosažení cílů projektu v těchto parametrech uvedených.</w:t>
      </w:r>
    </w:p>
    <w:p w:rsidR="00DD5CE4" w:rsidRDefault="004721D3">
      <w:pPr>
        <w:pStyle w:val="Standard"/>
      </w:pPr>
      <w:r>
        <w:t xml:space="preserve"> </w:t>
      </w:r>
    </w:p>
    <w:p w:rsidR="00DD5CE4" w:rsidRDefault="004721D3">
      <w:pPr>
        <w:pStyle w:val="Nadpis2"/>
      </w:pPr>
      <w:r>
        <w:t>VI.</w:t>
      </w:r>
      <w:r>
        <w:br/>
        <w:t>Práva k hmotnému majetku</w:t>
      </w:r>
    </w:p>
    <w:p w:rsidR="00DD5CE4" w:rsidRDefault="004721D3">
      <w:pPr>
        <w:pStyle w:val="Standard"/>
      </w:pPr>
      <w:r>
        <w:t>1.</w:t>
      </w:r>
      <w:r>
        <w:tab/>
        <w:t>Vlastníkem hmotného majetku, nutného k řeše</w:t>
      </w:r>
      <w:r>
        <w:t>ní projektu a pořízeného z poskytnutých účelových prostředků, je ta smluvní strana, která si uvedený majetek pořídila nebo ho při řešení projektu vytvořila. Byl-li tento majetek pořízen či vytvořen více smluvními stranami společně, je jejich podíl na vlast</w:t>
      </w:r>
      <w:r>
        <w:t>nictví tohoto majetku stejný, nedohodnou-li se jinak.</w:t>
      </w:r>
    </w:p>
    <w:p w:rsidR="00DD5CE4" w:rsidRDefault="004721D3">
      <w:pPr>
        <w:pStyle w:val="Standard"/>
      </w:pPr>
      <w:r>
        <w:t>2.</w:t>
      </w:r>
      <w:r>
        <w:tab/>
        <w:t>S majetkem, který další příjemce získá v přímé souvislosti s plněním cílů projektu a který pořídí z poskytnutých účelových finančních prostředků, není další příjemce oprávněn nakládat ve vztahu k tře</w:t>
      </w:r>
      <w:r>
        <w:t>tím osobám v rozporu s touto smlouvou bez předchozího písemného souhlasu příjemce, a to až do doby úplného vyrovnání všech závazků, které pro dalšího účastníka projektu vyplývají z této smlouvy.</w:t>
      </w:r>
    </w:p>
    <w:p w:rsidR="00DD5CE4" w:rsidRDefault="004721D3">
      <w:pPr>
        <w:pStyle w:val="Standard"/>
      </w:pPr>
      <w:r>
        <w:t>3.</w:t>
      </w:r>
      <w:r>
        <w:tab/>
        <w:t>Všechny smluvní strany se zavazují, že si navzájem poskytn</w:t>
      </w:r>
      <w:r>
        <w:t xml:space="preserve">ou během řešení projektu veškerou podporu v oblasti návrhu, výzkumu a vývoje jednotlivých cílů projektu. </w:t>
      </w:r>
    </w:p>
    <w:p w:rsidR="00DD5CE4" w:rsidRDefault="00DD5CE4">
      <w:pPr>
        <w:pStyle w:val="Standard"/>
        <w:ind w:left="0" w:firstLine="0"/>
      </w:pPr>
    </w:p>
    <w:p w:rsidR="00DD5CE4" w:rsidRDefault="004721D3">
      <w:pPr>
        <w:pStyle w:val="Nadpis2"/>
      </w:pPr>
      <w:r>
        <w:t>VII.</w:t>
      </w:r>
      <w:r>
        <w:br/>
        <w:t>Práva k výsledkům a využití výsledků, ochrana duševního vlastnictví</w:t>
      </w:r>
    </w:p>
    <w:p w:rsidR="00DD5CE4" w:rsidRDefault="004721D3">
      <w:pPr>
        <w:pStyle w:val="Standard"/>
        <w:numPr>
          <w:ilvl w:val="0"/>
          <w:numId w:val="4"/>
        </w:numPr>
        <w:tabs>
          <w:tab w:val="clear" w:pos="850"/>
          <w:tab w:val="left" w:pos="567"/>
        </w:tabs>
        <w:ind w:left="426"/>
      </w:pPr>
      <w:r>
        <w:t xml:space="preserve">Strany této smlouvy výslovně prohlašují, že za důvěrné budou považovat </w:t>
      </w:r>
      <w:r>
        <w:t>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w:t>
      </w:r>
      <w:r>
        <w:t xml:space="preserve">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w:t>
      </w:r>
      <w:r>
        <w:t>je potřebují znát pro řádné plnění projektu. Závazek k ochraně důvěrných informací se nevztahuje na informace již oprávněně zveřejněné a na informace povinně předávané poskytovateli, kontrolním orgánům v souvislosti s poskytnutou účelovou finanční podporou</w:t>
      </w:r>
      <w:r>
        <w:t xml:space="preserve"> a do Rejstříku informací o výsledcích (RIV). Všechny smluvní strany se zavazují k součinnosti v případě publikačních výstupů dle platné Metodiky hodnocení výzkumných organizací a programů účelové podpory výzkumu, vývoje a inovací tak, aby bylo možné publi</w:t>
      </w:r>
      <w:r>
        <w:t>kovat základní vědecké poznatky a zároveň nedošlo k omezení nebo narušení obchodních plánů některé ze smluvních stran. Pokud jsou předmětem projektu též utajované skutečnosti podle zvláštního zákona, řídí se nakládání s nimi platnou legislativou.</w:t>
      </w:r>
    </w:p>
    <w:p w:rsidR="00DD5CE4" w:rsidRDefault="004721D3">
      <w:pPr>
        <w:pStyle w:val="Standard"/>
        <w:numPr>
          <w:ilvl w:val="0"/>
          <w:numId w:val="4"/>
        </w:numPr>
        <w:tabs>
          <w:tab w:val="clear" w:pos="850"/>
          <w:tab w:val="left" w:pos="567"/>
        </w:tabs>
        <w:ind w:left="426"/>
      </w:pPr>
      <w:r>
        <w:t>Právní vz</w:t>
      </w:r>
      <w:r>
        <w:t>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w:t>
      </w:r>
      <w:r>
        <w:t>, zákonem č. 207/2000 Sb., o ochraně průmyslových vzorů, ve znění pozdějších předpisů, zákonem č. 478/1992 Sb., o užitných vzorech, ve znění pozdějších předpisů, zákonem č. 221/2006 Sb., o vymáhání práv z průmyslového vlastnictví a o změně zákonů na ochran</w:t>
      </w:r>
      <w:r>
        <w:t xml:space="preserve">u průmyslového vlastnictví, zákonem č. 206/2000 Sb., o ochraně biotechnologických vynálezů, zákonem č. 441/2003 Sb., o ochranných známkách, ve znění pozdějších předpisů, zákonem č. 121/2000 Sb. o právu autorském, o právech souvisejících s právem autorským </w:t>
      </w:r>
      <w:r>
        <w:t>a o změně některých zákonů (autorský zákon), zákonem č. 130/2002 Sb., o podpoře výzkumu experimentálního vývoje a inovací z veřejných prostředků a o změně některých souvisejících zákonů (zákon o podpoře výzkumu a vývoje), ve znění pozdějších předpisů.</w:t>
      </w:r>
    </w:p>
    <w:p w:rsidR="00DD5CE4" w:rsidRDefault="004721D3">
      <w:pPr>
        <w:pStyle w:val="Standard"/>
        <w:numPr>
          <w:ilvl w:val="0"/>
          <w:numId w:val="4"/>
        </w:numPr>
        <w:tabs>
          <w:tab w:val="clear" w:pos="850"/>
          <w:tab w:val="left" w:pos="567"/>
        </w:tabs>
        <w:ind w:left="426"/>
      </w:pPr>
      <w:r>
        <w:t>Před</w:t>
      </w:r>
      <w:r>
        <w:t>mětem duševního vlastnictví se pro účely této smlouvy rozumí jakýkoli výsledek duševní činnosti, na jehož základě vznikne nehmotný statek, který je objektivně zachytitelný, který má faktickou či potencionální výrobní, průmyslovou či vědeckou hodnotu. Jedná</w:t>
      </w:r>
      <w:r>
        <w:t xml:space="preserve"> se zejména o vynálezy, technická řešení chráněná užitným vzorem, průmyslové vzory, zlepšovací návrhy, biotechnologické vynálezy, ochranné známky, díla podle práva autorského, know-how, a další výsledky duševní činnosti.</w:t>
      </w:r>
    </w:p>
    <w:p w:rsidR="00DD5CE4" w:rsidRDefault="004721D3">
      <w:pPr>
        <w:pStyle w:val="Standard"/>
        <w:numPr>
          <w:ilvl w:val="0"/>
          <w:numId w:val="4"/>
        </w:numPr>
        <w:tabs>
          <w:tab w:val="clear" w:pos="850"/>
          <w:tab w:val="left" w:pos="567"/>
        </w:tabs>
        <w:ind w:left="426"/>
      </w:pPr>
      <w:r>
        <w:t>Duševní vlastnictví vkládané smluvn</w:t>
      </w:r>
      <w:r>
        <w:t>ími stranami do projektu:</w:t>
      </w:r>
    </w:p>
    <w:p w:rsidR="00DD5CE4" w:rsidRDefault="004721D3">
      <w:pPr>
        <w:pStyle w:val="Odstavecseseznamem"/>
        <w:numPr>
          <w:ilvl w:val="0"/>
          <w:numId w:val="6"/>
        </w:numPr>
        <w:tabs>
          <w:tab w:val="clear" w:pos="850"/>
        </w:tabs>
      </w:pPr>
      <w:r>
        <w:t>Smluvní strany vstupují do projektu s následujícími dovednostmi, know-how a jinými právy duševního vlastnictví, které jsou potřebné pro realizaci projektu:</w:t>
      </w:r>
    </w:p>
    <w:p w:rsidR="00DD5CE4" w:rsidRDefault="004721D3">
      <w:pPr>
        <w:pStyle w:val="Odstavecseseznamem"/>
        <w:numPr>
          <w:ilvl w:val="1"/>
          <w:numId w:val="2"/>
        </w:numPr>
        <w:tabs>
          <w:tab w:val="clear" w:pos="850"/>
        </w:tabs>
      </w:pPr>
      <w:r>
        <w:t>Hlavní příjemce disponuje detailními znalostmi z celého spektra podnikatel</w:t>
      </w:r>
      <w:r>
        <w:t>ských odvětví a rozumí principům jejich fungování. Je pro ni snadné vyhovět specifickým a náročným potřebám koncových uživatelů (např. ČEPS a.s., PRE a.s., FINGRID). Má rozsáhlé týmy systematicky vzdělávaných odborníků, kteří dokonale ovládají všechny v so</w:t>
      </w:r>
      <w:r>
        <w:t>učasnosti obvyklé produktové řady, komponenty a technologie špičkových ICT řešení apod.</w:t>
      </w:r>
    </w:p>
    <w:p w:rsidR="00DD5CE4" w:rsidRDefault="004721D3">
      <w:pPr>
        <w:pStyle w:val="Odstavecseseznamem"/>
        <w:numPr>
          <w:ilvl w:val="1"/>
          <w:numId w:val="2"/>
        </w:numPr>
        <w:tabs>
          <w:tab w:val="clear" w:pos="850"/>
        </w:tabs>
      </w:pPr>
      <w:r>
        <w:t>Další příjemce USY disponuje rozsáhlými znalostmi trhu a jeho požadavků v oblasti predikčních algoritmů. Disponuje podrobnými znalostmi z oblasti ekonomiky a marketingu</w:t>
      </w:r>
      <w:r>
        <w:t>.</w:t>
      </w:r>
    </w:p>
    <w:p w:rsidR="00DD5CE4" w:rsidRDefault="004721D3">
      <w:pPr>
        <w:pStyle w:val="Odstavecseseznamem"/>
        <w:numPr>
          <w:ilvl w:val="1"/>
          <w:numId w:val="2"/>
        </w:numPr>
        <w:tabs>
          <w:tab w:val="clear" w:pos="850"/>
        </w:tabs>
      </w:pPr>
      <w:r>
        <w:t xml:space="preserve">Další příjemce UUN disponuje rozsáhlými znalostmi z oblastí zpracování dat, metod umělé inteligence a strojového učení. Rovněž disponuje znalostmi v oblasti vývoje software, ekonomie a marketingu.   </w:t>
      </w:r>
    </w:p>
    <w:p w:rsidR="00DD5CE4" w:rsidRDefault="004721D3">
      <w:pPr>
        <w:pStyle w:val="Odstavecseseznamem"/>
        <w:numPr>
          <w:ilvl w:val="1"/>
          <w:numId w:val="2"/>
        </w:numPr>
        <w:tabs>
          <w:tab w:val="clear" w:pos="850"/>
        </w:tabs>
      </w:pPr>
      <w:r>
        <w:t xml:space="preserve">Další příjemce UI AVČR disponuje rozsáhlými znalostmi </w:t>
      </w:r>
      <w:r>
        <w:t>v oblasti matematického modelování, statistického zpracování dat, predikcí, optimalizace a metod umělé inteligence a strojového učení, a to i v aplikacích pro energetiku. V rámci UI AVČR jsou týmy odborníků, které dlouhodobě spolupracují s předními energet</w:t>
      </w:r>
      <w:r>
        <w:t>ickými subjekty (např. ČEPS a.s., ČEZ a.s., OTE a.s., Innogy a.s., GasNet a.s. či NET4GAS a.s.) na modelování výroby a spotřeby a dalších problémech spojených se současnou energetikou.</w:t>
      </w:r>
    </w:p>
    <w:p w:rsidR="00DD5CE4" w:rsidRDefault="004721D3">
      <w:pPr>
        <w:pStyle w:val="Standard"/>
        <w:numPr>
          <w:ilvl w:val="0"/>
          <w:numId w:val="4"/>
        </w:numPr>
        <w:tabs>
          <w:tab w:val="clear" w:pos="850"/>
          <w:tab w:val="left" w:pos="567"/>
        </w:tabs>
        <w:ind w:left="426"/>
      </w:pPr>
      <w:r>
        <w:t>Předměty duševního vlastnictví, které jsou ve vlastnictví smluvních str</w:t>
      </w:r>
      <w:r>
        <w:t>an před uzavřením této smlouvy a které jsou potřebné pro realizaci tohoto projektu nebo pro užívání jeho výsledků, zůstávají ve vlastnictví původního vlastníka. Každá smluvní strana umožní využívání předmětů duševního vlastnictví jí náležících ostatním sml</w:t>
      </w:r>
      <w:r>
        <w:t xml:space="preserve">uvním stranám v rozsahu potřebném pro účely realizace řešeného projektu. Smluvní strany nejsou oprávněny použít duševní vlastnictví vkládané jinou smluvní stranou k jinému účelu a jiným způsobem, pokud si předem písemně nesjednají jinak zvláštní smlouvou. </w:t>
      </w:r>
    </w:p>
    <w:p w:rsidR="00DD5CE4" w:rsidRDefault="004721D3">
      <w:pPr>
        <w:pStyle w:val="Standard"/>
        <w:numPr>
          <w:ilvl w:val="0"/>
          <w:numId w:val="4"/>
        </w:numPr>
        <w:tabs>
          <w:tab w:val="clear" w:pos="850"/>
          <w:tab w:val="left" w:pos="567"/>
        </w:tabs>
        <w:ind w:left="426"/>
      </w:pPr>
      <w:r>
        <w:t>Smluvní strany mají právo na nevýhradní licenci za tržních podmínek k vkládanému duševnímu vlastnictví ve vlastnictví jiné strany, pokud je nezbytně potřebují pro využití vlastních výsledků projektu, protože bez nich by bylo užití vlastních výsledků techn</w:t>
      </w:r>
      <w:r>
        <w:t>icky nebo právně nemožné. O licenci je třeba požádat do dvou let od skončení projektu.</w:t>
      </w:r>
    </w:p>
    <w:p w:rsidR="00DD5CE4" w:rsidRDefault="004721D3">
      <w:pPr>
        <w:pStyle w:val="Standard"/>
        <w:numPr>
          <w:ilvl w:val="0"/>
          <w:numId w:val="4"/>
        </w:numPr>
        <w:tabs>
          <w:tab w:val="clear" w:pos="850"/>
          <w:tab w:val="left" w:pos="567"/>
        </w:tabs>
        <w:ind w:left="426"/>
      </w:pPr>
      <w:r>
        <w:t>Smluvní strany používají vkládané duševní vlastnictví druhé strany na vlastní nebezpečí a berou na vědomí, že jsou jim vkládané duševní vlastnictví zpřístupněny bez jaké</w:t>
      </w:r>
      <w:r>
        <w:t>koli záruky, zejména, co se týče jejich správnosti, přesnosti a vhodnosti pro konkrétní účel. Smluvní strana, která vkládané duševní vlastnictví jiné strany použije, je sama odpovědná za případná porušení práv duševního vlastnictví třetích osob.</w:t>
      </w:r>
    </w:p>
    <w:p w:rsidR="00DD5CE4" w:rsidRDefault="004721D3">
      <w:pPr>
        <w:pStyle w:val="Standard"/>
        <w:numPr>
          <w:ilvl w:val="0"/>
          <w:numId w:val="4"/>
        </w:numPr>
        <w:tabs>
          <w:tab w:val="clear" w:pos="850"/>
          <w:tab w:val="left" w:pos="567"/>
        </w:tabs>
        <w:ind w:left="426"/>
      </w:pPr>
      <w:r>
        <w:t>Smluvní st</w:t>
      </w:r>
      <w:r>
        <w:t>rany se dohodly na tom, že duševní vlastnictví vzniklé při plnění úkolů v rámci řešení projektu je majetkem té smluvní strany, jejíž pracovníci duševní vlastnictví vytvořili. Smluvní strany si navzájem oznámí vytvoření duševního vlastnictví a smluvní stran</w:t>
      </w:r>
      <w:r>
        <w:t>a, která je majitelem takového duševního vlastnictví, nese náklady spojené s podáním přihlášek a vedením příslušných řízení.</w:t>
      </w:r>
    </w:p>
    <w:p w:rsidR="00DD5CE4" w:rsidRDefault="004721D3">
      <w:pPr>
        <w:pStyle w:val="Standard"/>
        <w:numPr>
          <w:ilvl w:val="0"/>
          <w:numId w:val="4"/>
        </w:numPr>
        <w:tabs>
          <w:tab w:val="clear" w:pos="850"/>
          <w:tab w:val="left" w:pos="567"/>
        </w:tabs>
        <w:ind w:left="426"/>
      </w:pPr>
      <w:r>
        <w:t>Vznikne-li duševní vlastnictví při plnění úkolů v rámci projektu prokazatelně spoluprací pracovníků více smluvních stran, je toto d</w:t>
      </w:r>
      <w:r>
        <w:t>uševní vlastnictví společným majetkem všech těchto smluvních stran, a to v poměru projektových nákladů jednotlivých smluvních stran, ve kterém se na řešení projektu podílí. Smluvní strany jsou si vzájemně nápomocny při přípravě podání přihlášek, a to i zah</w:t>
      </w:r>
      <w:r>
        <w:t>raničních. Smluvní strany se v poměru svých spoluvlastnických podílů podílejí na nákladech spojených s podáním přihlášek a vedením příslušných řízení. Nebude-li kterákoliv ze smluvních stran mít zájem na podání přihlášky, mohou ostatní smluvní strany požád</w:t>
      </w:r>
      <w:r>
        <w:t>at o převedení práva na podání takové přihlášky na sebe. Smluvní strany před převodem projednají podmínky převedení práva podat přihlášku. Smluvní strany, na které je převedeno právo k podání přihlášky nesou náklady spojené s podáním přihlášky a vedením př</w:t>
      </w:r>
      <w:r>
        <w:t>íslušných řízení.</w:t>
      </w:r>
    </w:p>
    <w:p w:rsidR="00DD5CE4" w:rsidRDefault="004721D3">
      <w:pPr>
        <w:pStyle w:val="Standard"/>
        <w:numPr>
          <w:ilvl w:val="0"/>
          <w:numId w:val="4"/>
        </w:numPr>
        <w:tabs>
          <w:tab w:val="clear" w:pos="850"/>
          <w:tab w:val="left" w:pos="567"/>
        </w:tabs>
        <w:ind w:left="426"/>
      </w:pPr>
      <w:r>
        <w:t xml:space="preserve">Pokud práva z předmětu duševního vlastnictví, které bude vytvořeno při realizaci projektu, náleží v souladu s ustanoveními smlouvy více smluvním stranám, o využití těchto práv rozhodují smluvní strany jako spolumajitelé podle svého </w:t>
      </w:r>
      <w:r>
        <w:t>skutečného podílu na vytvoření takového výsledku projektu. smluvní strany se zavazují vynaložit maximální úsilí o dohodu na společném využití práv z předmětu duševního vlastnictví. V ostatních otázkách se vzájemné vztahy mezi spolumajiteli řídí obecnými př</w:t>
      </w:r>
      <w:r>
        <w:t>edpisy o podílovém spoluvlastnictví.</w:t>
      </w:r>
    </w:p>
    <w:p w:rsidR="00DD5CE4" w:rsidRDefault="004721D3">
      <w:pPr>
        <w:pStyle w:val="Standard"/>
        <w:numPr>
          <w:ilvl w:val="0"/>
          <w:numId w:val="4"/>
        </w:numPr>
        <w:tabs>
          <w:tab w:val="clear" w:pos="850"/>
          <w:tab w:val="left" w:pos="567"/>
        </w:tabs>
        <w:ind w:left="426"/>
      </w:pPr>
      <w:r>
        <w:t>Smluvní strany jsou povinny zajistit si vůči nositelům chráněných práv duševního vlastnictví vzniklých v souvislosti s realizací části projektu možnost volného nakládání s těmito právy (zejména řádně a včas uplatnit vůč</w:t>
      </w:r>
      <w:r>
        <w:t>i původci právo na zaměstnanecký vynález, užitný vzor nebo průmyslový vzor, popřípadě se vypořádat s původci a autory smluvně). Každá ze stran je zodpovědná za vypořádání nároků autorů a původců na své straně.</w:t>
      </w:r>
    </w:p>
    <w:p w:rsidR="00DD5CE4" w:rsidRDefault="004721D3">
      <w:pPr>
        <w:pStyle w:val="Standard"/>
        <w:numPr>
          <w:ilvl w:val="0"/>
          <w:numId w:val="4"/>
        </w:numPr>
        <w:tabs>
          <w:tab w:val="clear" w:pos="850"/>
          <w:tab w:val="left" w:pos="567"/>
        </w:tabs>
        <w:ind w:left="426"/>
      </w:pPr>
      <w:r>
        <w:t>V případě výsledků TK05020142-V1 a TK05020142-</w:t>
      </w:r>
      <w:r>
        <w:t>V2 se dále smluvní strany dohodly na následujícím:</w:t>
      </w:r>
    </w:p>
    <w:p w:rsidR="00DD5CE4" w:rsidRDefault="004721D3">
      <w:pPr>
        <w:pStyle w:val="Standard"/>
        <w:numPr>
          <w:ilvl w:val="1"/>
          <w:numId w:val="4"/>
        </w:numPr>
        <w:tabs>
          <w:tab w:val="clear" w:pos="850"/>
          <w:tab w:val="left" w:pos="567"/>
        </w:tabs>
      </w:pPr>
      <w:r>
        <w:t>Smluvní strany udělují výhradní licenci, časově a místně neomezenou, hlavnímu příjemci pro užití a následnou komercializaci těchto výsledků.</w:t>
      </w:r>
    </w:p>
    <w:p w:rsidR="00DD5CE4" w:rsidRDefault="004721D3">
      <w:pPr>
        <w:pStyle w:val="Standard"/>
        <w:numPr>
          <w:ilvl w:val="1"/>
          <w:numId w:val="4"/>
        </w:numPr>
        <w:tabs>
          <w:tab w:val="clear" w:pos="850"/>
          <w:tab w:val="left" w:pos="567"/>
        </w:tabs>
      </w:pPr>
      <w:r>
        <w:t>Hlavní příjemce může podnikat kroky k ochraně duševního vlastnic</w:t>
      </w:r>
      <w:r>
        <w:t>tví (např. patentování) těchto výsledků. Bude tak činit na vlastní náklady a dle vlastního uvážení.</w:t>
      </w:r>
    </w:p>
    <w:p w:rsidR="00DD5CE4" w:rsidRDefault="004721D3">
      <w:pPr>
        <w:pStyle w:val="Standard"/>
        <w:numPr>
          <w:ilvl w:val="0"/>
          <w:numId w:val="4"/>
        </w:numPr>
        <w:tabs>
          <w:tab w:val="clear" w:pos="850"/>
          <w:tab w:val="left" w:pos="567"/>
        </w:tabs>
        <w:ind w:left="426"/>
      </w:pPr>
      <w:r>
        <w:t>Využití výsledků, vyjma výsledků TK05020142-V1 a TK05020142-V2:</w:t>
      </w:r>
    </w:p>
    <w:p w:rsidR="00DD5CE4" w:rsidRDefault="004721D3" w:rsidP="004721D3">
      <w:pPr>
        <w:pStyle w:val="Odstavecseseznamem"/>
        <w:numPr>
          <w:ilvl w:val="0"/>
          <w:numId w:val="32"/>
        </w:numPr>
        <w:tabs>
          <w:tab w:val="clear" w:pos="850"/>
        </w:tabs>
      </w:pPr>
      <w:r>
        <w:t xml:space="preserve">Smluvní strana je oprávněna k nevýhradnímu užití výsledků ve vlastnictví druhé smluvní </w:t>
      </w:r>
      <w:r>
        <w:t>strany, pokud jsou nezbytné pro užívání výsledků projektu vlastněných touto smluvní stranou, za obvyklých tržních podmínek, o licenci je třeba požádat do dvou let od skončení projektu.</w:t>
      </w:r>
    </w:p>
    <w:p w:rsidR="00DD5CE4" w:rsidRDefault="004721D3" w:rsidP="004721D3">
      <w:pPr>
        <w:pStyle w:val="Odstavecseseznamem"/>
        <w:numPr>
          <w:ilvl w:val="0"/>
          <w:numId w:val="33"/>
        </w:numPr>
        <w:tabs>
          <w:tab w:val="clear" w:pos="850"/>
        </w:tabs>
      </w:pPr>
      <w:r>
        <w:t>Výsledky ve společném vlastnictví všech smluvních stran je oprávněna sa</w:t>
      </w:r>
      <w:r>
        <w:t>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w:t>
      </w:r>
      <w:r>
        <w:t>, která stanoví způsob dělení příjmů z komerčního využití.</w:t>
      </w:r>
    </w:p>
    <w:p w:rsidR="00DD5CE4" w:rsidRDefault="004721D3">
      <w:pPr>
        <w:pStyle w:val="Standard"/>
        <w:numPr>
          <w:ilvl w:val="0"/>
          <w:numId w:val="4"/>
        </w:numPr>
        <w:tabs>
          <w:tab w:val="clear" w:pos="850"/>
          <w:tab w:val="left" w:pos="567"/>
        </w:tabs>
        <w:ind w:left="426"/>
      </w:pPr>
      <w:r>
        <w:t>Ustanovení předchozích odstavců nebrání tomu, aby smluvní strany po vzájemné dohodě upravily vlastnická a užívací práva k výsledkům projektu v jednotlivých případech odlišně při respektování platné</w:t>
      </w:r>
      <w:r>
        <w:t xml:space="preserve"> legislativy a podmínek projektu stanovených poskytovatelem.</w:t>
      </w:r>
    </w:p>
    <w:p w:rsidR="00DD5CE4" w:rsidRDefault="004721D3">
      <w:pPr>
        <w:pStyle w:val="Standard"/>
        <w:numPr>
          <w:ilvl w:val="0"/>
          <w:numId w:val="4"/>
        </w:numPr>
        <w:tabs>
          <w:tab w:val="clear" w:pos="850"/>
          <w:tab w:val="left" w:pos="567"/>
        </w:tabs>
        <w:ind w:left="426"/>
      </w:pPr>
      <w:r>
        <w:t>Pokud se smluvní strany nedohodnou písemně jinak, uplatní se ustanovení tohoto článku obdobně na nároky k výsledkům projektu v případě předčasného ukončení smlouvy.</w:t>
      </w:r>
    </w:p>
    <w:p w:rsidR="00DD5CE4" w:rsidRDefault="004721D3">
      <w:pPr>
        <w:pStyle w:val="Standard"/>
        <w:numPr>
          <w:ilvl w:val="0"/>
          <w:numId w:val="4"/>
        </w:numPr>
        <w:tabs>
          <w:tab w:val="clear" w:pos="850"/>
          <w:tab w:val="left" w:pos="567"/>
        </w:tabs>
        <w:ind w:left="426"/>
      </w:pPr>
      <w:r>
        <w:t>Smluvní strany se zavazují spo</w:t>
      </w:r>
      <w:r>
        <w:t>lupracovat a poskytnout si vzájemně maximální součinnost k tomu, aby k dosaženým výsledkům vytvořily implementační plán. Při užití výsledků včetně, pokud to bude nezbytné, uzavření příslušných smluv o postoupení práv nebo užívacích práv z výsledků se smluv</w:t>
      </w:r>
      <w:r>
        <w:t>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w:t>
      </w:r>
      <w:r>
        <w:t>ebo dodatky, tato práva následně měnící.</w:t>
      </w:r>
    </w:p>
    <w:p w:rsidR="00DD5CE4" w:rsidRDefault="00DD5CE4">
      <w:pPr>
        <w:pStyle w:val="Standard"/>
      </w:pPr>
    </w:p>
    <w:p w:rsidR="00DD5CE4" w:rsidRDefault="004721D3">
      <w:pPr>
        <w:pStyle w:val="Nadpis2"/>
      </w:pPr>
      <w:bookmarkStart w:id="2" w:name="_Hlk88824858"/>
      <w:r>
        <w:t>VIII.</w:t>
      </w:r>
      <w:r>
        <w:br/>
        <w:t>Odpovědnost a sankce</w:t>
      </w:r>
      <w:bookmarkEnd w:id="2"/>
    </w:p>
    <w:p w:rsidR="00DD5CE4" w:rsidRDefault="00DD5CE4">
      <w:pPr>
        <w:pStyle w:val="Standard"/>
      </w:pPr>
    </w:p>
    <w:p w:rsidR="00DD5CE4" w:rsidRDefault="004721D3">
      <w:pPr>
        <w:pStyle w:val="Standard"/>
        <w:numPr>
          <w:ilvl w:val="0"/>
          <w:numId w:val="7"/>
        </w:numPr>
        <w:tabs>
          <w:tab w:val="clear" w:pos="850"/>
          <w:tab w:val="left" w:pos="567"/>
        </w:tabs>
        <w:ind w:left="426"/>
      </w:pPr>
      <w:r>
        <w:t>Pokud další příjemce použije jemu poskytnuté účelové finanční prostředky v rozporu s účelem anebo na jiný účel, než na který mu byly dle této smlouvy poskytnuty, či jinak je bude neopráv</w:t>
      </w:r>
      <w:r>
        <w:t>něně používat či zadržovat, ujednávají smluvní strany výslovně, že takové jednání bude posuzováno jako porušení rozpočtové kázně ve smyslu § 44 rozpočtových pravidel (zákon č. 218/2000 Sb. ve znění pozdějších předpisů) a bude mít důsledky analogické důsled</w:t>
      </w:r>
      <w:r>
        <w:t>kům v tomto zákonném ustanovení uvedeným. V případě sporu o použití finančních prostředků v rozporu s účelem anebo na jiný účel, než na který mu byly dle této smlouvy poskytnuty, prokazuje řádné použití těchto prostředků další příjemce.</w:t>
      </w:r>
    </w:p>
    <w:p w:rsidR="00DD5CE4" w:rsidRDefault="004721D3">
      <w:pPr>
        <w:pStyle w:val="Standard"/>
        <w:numPr>
          <w:ilvl w:val="0"/>
          <w:numId w:val="7"/>
        </w:numPr>
        <w:tabs>
          <w:tab w:val="clear" w:pos="850"/>
          <w:tab w:val="left" w:pos="567"/>
        </w:tabs>
        <w:ind w:left="426"/>
      </w:pPr>
      <w:r>
        <w:t>V případě, kdy se u</w:t>
      </w:r>
      <w:r>
        <w:t>káže, že údaje, na jejichž základě byly dalšímu účastníkovi poskytnuty účelové finanční prostředky, byly neúplné nebo nepravdivé, může být zahájeno řízení o jejich vymáhání hlavním příjemcem.</w:t>
      </w:r>
    </w:p>
    <w:p w:rsidR="00DD5CE4" w:rsidRDefault="004721D3">
      <w:pPr>
        <w:pStyle w:val="Standard"/>
        <w:numPr>
          <w:ilvl w:val="0"/>
          <w:numId w:val="7"/>
        </w:numPr>
        <w:tabs>
          <w:tab w:val="clear" w:pos="850"/>
          <w:tab w:val="left" w:pos="567"/>
        </w:tabs>
        <w:ind w:left="426"/>
      </w:pPr>
      <w:r>
        <w:t>Pokud další příjemce poruší jakoukoliv povinnost vyplývající z t</w:t>
      </w:r>
      <w:r>
        <w:t>éto smlouvy, Smlouvy a poskytnutí dotace, směrnic a podmínek poskytovatele, za jejíž porušení hlavní příjemce uhradil poskytovateli za dalšího účastníka sankci ve smyslu čl. XIII. Smlouvy o poskytnutí dotace, uhradí takovou sankcí další účastník hlavnímu p</w:t>
      </w:r>
      <w:r>
        <w:t>říjemci a to do 15 dnů ode dne, kdy hlavní příjemce takovou sankci uhradí poskytovateli a tuto skutečnost sdělí a prokáže dalšímu účastníkovi. Za prodlení se splněním tohoto svého peněžitého závazku je povinen uhradit další účastník hlavnímu příjemci zákon</w:t>
      </w:r>
      <w:r>
        <w:t>ný úrok z prodlení. Tímto ujednáním o smluvních sankcích není dotčeno právo hlavního příjemce na náhradu vzniklé škody, kterou je oprávněn vymáhat samostatně.</w:t>
      </w:r>
    </w:p>
    <w:p w:rsidR="00DD5CE4" w:rsidRDefault="004721D3">
      <w:pPr>
        <w:pStyle w:val="Standard"/>
        <w:numPr>
          <w:ilvl w:val="0"/>
          <w:numId w:val="7"/>
        </w:numPr>
        <w:tabs>
          <w:tab w:val="clear" w:pos="850"/>
          <w:tab w:val="left" w:pos="567"/>
        </w:tabs>
        <w:ind w:left="426"/>
      </w:pPr>
      <w:r>
        <w:t>V případě, kdy další účastník poruší méně závažným způsobem své povinnosti vyplývající z této sml</w:t>
      </w:r>
      <w:r>
        <w:t>ouvy, je hlavní příjemce oprávněn na základě písemného upozornění pozastavit dalšímu účastníkovi uvolňování účelových finančních prostředků, a to až do doby, než dojde ze strany dalšího účastníka k odstranění nedostatků včetně opatření k zabránění jejich o</w:t>
      </w:r>
      <w:r>
        <w:t>pakování.</w:t>
      </w:r>
    </w:p>
    <w:p w:rsidR="00DD5CE4" w:rsidRDefault="004721D3">
      <w:pPr>
        <w:pStyle w:val="Standard"/>
        <w:numPr>
          <w:ilvl w:val="0"/>
          <w:numId w:val="7"/>
        </w:numPr>
        <w:tabs>
          <w:tab w:val="clear" w:pos="850"/>
          <w:tab w:val="left" w:pos="567"/>
        </w:tabs>
        <w:ind w:left="426"/>
      </w:pPr>
      <w:r>
        <w:t>Neodstraní-li další účastník ve lhůtě stanovené hlavním příjemcem zjištěné nedostatky v plnění povinnosti vyplývajících z této smlouvy, je hlavní příjemce oprávněn tuto smlouvu vypovědět bez výpovědní doby. Výpověď zašle hlavní příjemce dalšímu ú</w:t>
      </w:r>
      <w:r>
        <w:t>častníkovi písemně s udáním důvodů. V případě výpovědí dle tohoto odstavce je další účastník povinen vrátit účelové finanční prostředky poskytnuté v daném kalendářním roce na řešení tohoto projektu na účet hlavního příjemce, a to nejpozději do 15 dnů ode d</w:t>
      </w:r>
      <w:r>
        <w:t>ne, kdy mu bylo doručena výpověď hlavního příjemce. Hlavní příjemce je povinen takové prostředky, nerozhodne-li poskytovatel jinak, vrátit na účet poskytovatele do 15 dnů od jejich připsání na jeho vlastní účet.</w:t>
      </w:r>
    </w:p>
    <w:p w:rsidR="00DD5CE4" w:rsidRDefault="00DD5CE4">
      <w:pPr>
        <w:pStyle w:val="Standard"/>
        <w:ind w:left="0" w:firstLine="0"/>
      </w:pPr>
    </w:p>
    <w:p w:rsidR="00DD5CE4" w:rsidRDefault="004721D3">
      <w:pPr>
        <w:pStyle w:val="Nadpis2"/>
      </w:pPr>
      <w:r>
        <w:t>IX.</w:t>
      </w:r>
      <w:r>
        <w:br/>
        <w:t>Závěrečná ustanovení</w:t>
      </w:r>
    </w:p>
    <w:p w:rsidR="00DD5CE4" w:rsidRDefault="004721D3">
      <w:pPr>
        <w:pStyle w:val="Standard"/>
      </w:pPr>
      <w:r>
        <w:t>1.</w:t>
      </w:r>
      <w:r>
        <w:tab/>
        <w:t xml:space="preserve">Další příjemce </w:t>
      </w:r>
      <w:r>
        <w:t>se bezvýhradně zavazuje, že se bude řídit smlouvou o poskytnutí podpory na řešení projektu uzavřenou mezi poskytovatelem a hlavním příjemcem, včetně všech jejích příloh. Další příjemce je dále povinen poskytnout hlavnímu příjemci veškerou potřebnou součinn</w:t>
      </w:r>
      <w:r>
        <w:t>ost za účelem dodržení povinností mu plynoucích ze smlouvy o poskytnutí podpory uzavřené s poskytovatelem.</w:t>
      </w:r>
    </w:p>
    <w:p w:rsidR="00DD5CE4" w:rsidRDefault="004721D3">
      <w:pPr>
        <w:pStyle w:val="Standard"/>
      </w:pPr>
      <w:r>
        <w:t>3.</w:t>
      </w:r>
      <w:r>
        <w:tab/>
        <w:t>Zásady, které nejsou touto smlouvou upraveny, se řídí zákonem č. 89/2012 Sb., občanským zákoníkem, v platném znění, a právními předpisy na občansk</w:t>
      </w:r>
      <w:r>
        <w:t>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w:t>
      </w:r>
      <w:r>
        <w:t>h předpisů.</w:t>
      </w:r>
    </w:p>
    <w:p w:rsidR="00DD5CE4" w:rsidRDefault="004721D3">
      <w:pPr>
        <w:pStyle w:val="Standard"/>
      </w:pPr>
      <w:r>
        <w:t>4</w:t>
      </w:r>
      <w:r>
        <w:tab/>
        <w:t>Tuto smlouvu lze měnit pouze písemně, její změna v jiné formě je vyloučena. Za písemnou formu se pro tento účel nepovažuje jednání učiněné elektronickými či jinými technickými prostředky (e-mail, fax). Smluvní strany mohou namítnout neplatnos</w:t>
      </w:r>
      <w:r>
        <w:t>t změny této smlouvy z důvodu nedodržení formy kdykoliv, i poté, co bylo započato s plněním.</w:t>
      </w:r>
    </w:p>
    <w:p w:rsidR="00DD5CE4" w:rsidRDefault="004721D3">
      <w:pPr>
        <w:pStyle w:val="Standard"/>
      </w:pPr>
      <w:r>
        <w:t>5.</w:t>
      </w:r>
      <w:r>
        <w:tab/>
        <w:t>Tato smlouva o vzájemných vztazích mezi příjemci se uzavírá s účinností od data zahájení řešení projektu, na dobu určitou do ukončení řešení projektu a vyrovnán</w:t>
      </w:r>
      <w:r>
        <w:t>í všech závazků smluvních stran s tím souvisejících, avšak s výjimkou přežívajícího článku VII této smlouvy.</w:t>
      </w:r>
    </w:p>
    <w:p w:rsidR="00DD5CE4" w:rsidRDefault="004721D3">
      <w:pPr>
        <w:pStyle w:val="Standard"/>
      </w:pPr>
      <w:r>
        <w:t>6.</w:t>
      </w:r>
      <w:r>
        <w:tab/>
        <w:t>Kterákoliv smluvní strana může tuto smlouvu vypovědět. Výpovědní doba je v takovém případě dvouměsíční a její běh začíná prvým dnem měsíce násle</w:t>
      </w:r>
      <w:r>
        <w:t>dujícího po doručení výpovědi. Výpověď musí být učiněna v písemné formě, jinak je neplatná.</w:t>
      </w:r>
    </w:p>
    <w:p w:rsidR="00DD5CE4" w:rsidRDefault="004721D3">
      <w:pPr>
        <w:pStyle w:val="Standard"/>
      </w:pPr>
      <w:r>
        <w:t>7.</w:t>
      </w:r>
      <w:r>
        <w:tab/>
        <w:t>Smluvní strany podpisem této smlouvy potvrzují, že jsou si vědomy, že se na smlouvu vztahuje povinnost jejího uveřejnění dle zákona č. 340/2015 Sb. o registru sm</w:t>
      </w:r>
      <w:r>
        <w:t xml:space="preserve">luv, v platném znění. Uveřejnění smlouvy zajišťuje </w:t>
      </w:r>
      <w:r>
        <w:rPr>
          <w:bCs/>
          <w:color w:val="auto"/>
        </w:rPr>
        <w:t>UI AVČR</w:t>
      </w:r>
      <w:r>
        <w:t>.</w:t>
      </w:r>
    </w:p>
    <w:p w:rsidR="00DD5CE4" w:rsidRDefault="004721D3">
      <w:pPr>
        <w:pStyle w:val="Standard"/>
      </w:pPr>
      <w:r>
        <w:t>8.</w:t>
      </w:r>
      <w:r>
        <w:tab/>
        <w:t>Smlouva je vyhotovena v elektronické podobě podepsané každou stranou minimálně zaručeným elektronickým podpisem dle Nařízení eIDAS. Hlavní příjemce zajistí rozeslání kopií této elektronické pod</w:t>
      </w:r>
      <w:r>
        <w:t>oby stranám.</w:t>
      </w:r>
    </w:p>
    <w:p w:rsidR="00DD5CE4" w:rsidRDefault="004721D3">
      <w:pPr>
        <w:pStyle w:val="Standard"/>
      </w:pPr>
      <w:r>
        <w:t>9.</w:t>
      </w:r>
      <w:r>
        <w:tab/>
        <w:t>Tato smlouva obsahuje úplné ujednání o předmětu smlouvy a všech náležitostech, které strany měly a chtěly ve smlouvě ujednat, a které považují za důležité pro závaznost této smlouvy. Žádný projev stran učiněný při jednání o této smlouvě ani</w:t>
      </w:r>
      <w:r>
        <w:t xml:space="preserve"> projev učiněný po uzavření této smlouvy nesmí být vykládán v rozporu s výslovnými ustanoveními této smlouvy a nezakládá žádný závazek žádné ze stran.</w:t>
      </w:r>
    </w:p>
    <w:p w:rsidR="00DD5CE4" w:rsidRDefault="004721D3">
      <w:pPr>
        <w:pStyle w:val="Standard"/>
      </w:pPr>
      <w:r>
        <w:t>10.</w:t>
      </w:r>
      <w:r>
        <w:tab/>
        <w:t xml:space="preserve">Smluvní strany výslovně potvrzují, že tato smlouva je výsledkem jejich jednání a každá ze stran měla </w:t>
      </w:r>
      <w:r>
        <w:t>příležitost ovlivnit její základní podmínky.</w:t>
      </w:r>
    </w:p>
    <w:p w:rsidR="00DD5CE4" w:rsidRDefault="00DD5CE4">
      <w:pPr>
        <w:pStyle w:val="Standard"/>
      </w:pPr>
    </w:p>
    <w:p w:rsidR="00DD5CE4" w:rsidRDefault="004721D3">
      <w:pPr>
        <w:pStyle w:val="Standard"/>
        <w:ind w:left="0" w:firstLine="0"/>
      </w:pPr>
      <w:r>
        <w:t>Seznam příloh</w:t>
      </w:r>
    </w:p>
    <w:p w:rsidR="00DD5CE4" w:rsidRDefault="004721D3">
      <w:pPr>
        <w:pStyle w:val="Standard"/>
      </w:pPr>
      <w:r>
        <w:t>PŘÍLOHA Č. 1 – Všeobecné podmínky (verze 7)</w:t>
      </w:r>
    </w:p>
    <w:p w:rsidR="00DD5CE4" w:rsidRDefault="004721D3">
      <w:pPr>
        <w:pStyle w:val="Standard"/>
        <w:tabs>
          <w:tab w:val="left" w:pos="6237"/>
        </w:tabs>
        <w:ind w:left="0" w:firstLine="0"/>
      </w:pPr>
      <w:r>
        <w:t>V Praze dne ___________</w:t>
      </w:r>
      <w:r>
        <w:tab/>
        <w:t>V dne ___________</w:t>
      </w:r>
    </w:p>
    <w:p w:rsidR="00DD5CE4" w:rsidRDefault="00DD5CE4">
      <w:pPr>
        <w:pStyle w:val="Standard"/>
      </w:pPr>
    </w:p>
    <w:p w:rsidR="00DD5CE4" w:rsidRDefault="00DD5CE4">
      <w:pPr>
        <w:pStyle w:val="Standard"/>
      </w:pPr>
    </w:p>
    <w:p w:rsidR="00DD5CE4" w:rsidRDefault="00DD5CE4">
      <w:pPr>
        <w:pStyle w:val="Standard"/>
      </w:pPr>
    </w:p>
    <w:p w:rsidR="00DD5CE4" w:rsidRDefault="004721D3">
      <w:pPr>
        <w:pStyle w:val="Standard"/>
        <w:tabs>
          <w:tab w:val="clear" w:pos="850"/>
          <w:tab w:val="left" w:pos="5812"/>
        </w:tabs>
        <w:ind w:left="0" w:firstLine="1"/>
        <w:jc w:val="left"/>
      </w:pPr>
      <w:r>
        <w:t>_____________________________</w:t>
      </w:r>
      <w:r>
        <w:tab/>
        <w:t>___________________________   za hlavního příjemce</w:t>
      </w:r>
      <w:r>
        <w:tab/>
        <w:t>za dalšího příjemce 1</w:t>
      </w:r>
    </w:p>
    <w:p w:rsidR="00DD5CE4" w:rsidRDefault="00DD5CE4">
      <w:pPr>
        <w:pStyle w:val="Standard"/>
        <w:tabs>
          <w:tab w:val="left" w:pos="6237"/>
        </w:tabs>
        <w:jc w:val="left"/>
      </w:pPr>
    </w:p>
    <w:p w:rsidR="00DD5CE4" w:rsidRDefault="00DD5CE4">
      <w:pPr>
        <w:pStyle w:val="Standard"/>
        <w:tabs>
          <w:tab w:val="left" w:pos="6237"/>
        </w:tabs>
        <w:jc w:val="left"/>
      </w:pPr>
    </w:p>
    <w:p w:rsidR="00DD5CE4" w:rsidRDefault="00DD5CE4">
      <w:pPr>
        <w:pStyle w:val="Standard"/>
        <w:tabs>
          <w:tab w:val="left" w:pos="6237"/>
        </w:tabs>
        <w:jc w:val="left"/>
      </w:pPr>
    </w:p>
    <w:p w:rsidR="00DD5CE4" w:rsidRDefault="004721D3">
      <w:pPr>
        <w:pStyle w:val="Standard"/>
        <w:tabs>
          <w:tab w:val="clear" w:pos="850"/>
          <w:tab w:val="left" w:pos="5812"/>
        </w:tabs>
        <w:ind w:left="0" w:firstLine="0"/>
        <w:jc w:val="left"/>
      </w:pPr>
      <w:r>
        <w:t>_</w:t>
      </w:r>
      <w:r>
        <w:t>____________________________</w:t>
      </w:r>
      <w:r>
        <w:br/>
        <w:t>za dalšího příjemce 2</w:t>
      </w:r>
    </w:p>
    <w:p w:rsidR="00DD5CE4" w:rsidRDefault="00DD5CE4">
      <w:pPr>
        <w:pStyle w:val="Standard"/>
        <w:tabs>
          <w:tab w:val="clear" w:pos="850"/>
          <w:tab w:val="left" w:pos="5812"/>
        </w:tabs>
        <w:ind w:left="0" w:firstLine="1"/>
        <w:jc w:val="left"/>
      </w:pPr>
    </w:p>
    <w:p w:rsidR="00DD5CE4" w:rsidRDefault="00DD5CE4">
      <w:pPr>
        <w:pStyle w:val="Standard"/>
        <w:tabs>
          <w:tab w:val="clear" w:pos="850"/>
          <w:tab w:val="left" w:pos="5812"/>
        </w:tabs>
        <w:ind w:left="0" w:firstLine="1"/>
        <w:jc w:val="left"/>
      </w:pPr>
    </w:p>
    <w:p w:rsidR="00DD5CE4" w:rsidRDefault="00DD5CE4">
      <w:pPr>
        <w:pStyle w:val="Standard"/>
        <w:tabs>
          <w:tab w:val="clear" w:pos="850"/>
          <w:tab w:val="left" w:pos="5812"/>
        </w:tabs>
        <w:ind w:left="0" w:firstLine="1"/>
        <w:jc w:val="left"/>
      </w:pPr>
    </w:p>
    <w:p w:rsidR="00DD5CE4" w:rsidRDefault="004721D3">
      <w:pPr>
        <w:pStyle w:val="Standard"/>
        <w:tabs>
          <w:tab w:val="clear" w:pos="850"/>
          <w:tab w:val="left" w:pos="5812"/>
        </w:tabs>
        <w:ind w:left="0" w:firstLine="1"/>
        <w:jc w:val="left"/>
      </w:pPr>
      <w:r>
        <w:t>_____________________________</w:t>
      </w:r>
      <w:r>
        <w:br/>
        <w:t>za dalšího příjemce 3</w:t>
      </w:r>
    </w:p>
    <w:sectPr w:rsidR="00DD5CE4">
      <w:footerReference w:type="default" r:id="rId8"/>
      <w:pgSz w:w="11906" w:h="16838"/>
      <w:pgMar w:top="1417" w:right="1417" w:bottom="1417" w:left="1417" w:header="0" w:footer="709"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721D3">
      <w:r>
        <w:separator/>
      </w:r>
    </w:p>
  </w:endnote>
  <w:endnote w:type="continuationSeparator" w:id="0">
    <w:p w:rsidR="00000000" w:rsidRDefault="0047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E4" w:rsidRDefault="004721D3">
    <w:pPr>
      <w:pStyle w:val="Zpat"/>
      <w:jc w:val="center"/>
    </w:pPr>
    <w:r>
      <w:rPr>
        <w:rStyle w:val="slostrnky"/>
        <w:sz w:val="18"/>
        <w:szCs w:val="18"/>
      </w:rPr>
      <w:t xml:space="preserve">Strana </w:t>
    </w: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Pr>
        <w:rStyle w:val="slostrnky"/>
        <w:noProof/>
        <w:sz w:val="18"/>
        <w:szCs w:val="18"/>
      </w:rPr>
      <w:t>1</w:t>
    </w:r>
    <w:r>
      <w:rPr>
        <w:rStyle w:val="slostrnky"/>
        <w:sz w:val="18"/>
        <w:szCs w:val="18"/>
      </w:rPr>
      <w:fldChar w:fldCharType="end"/>
    </w:r>
    <w:r>
      <w:rPr>
        <w:rStyle w:val="slostrnky"/>
        <w:sz w:val="18"/>
        <w:szCs w:val="18"/>
      </w:rPr>
      <w:t xml:space="preserve"> (celkem </w:t>
    </w:r>
    <w:r>
      <w:rPr>
        <w:rStyle w:val="slostrnky"/>
        <w:sz w:val="18"/>
        <w:szCs w:val="18"/>
      </w:rPr>
      <w:fldChar w:fldCharType="begin"/>
    </w:r>
    <w:r>
      <w:rPr>
        <w:rStyle w:val="slostrnky"/>
        <w:sz w:val="18"/>
        <w:szCs w:val="18"/>
      </w:rPr>
      <w:instrText xml:space="preserve"> NUMPAGES </w:instrText>
    </w:r>
    <w:r>
      <w:rPr>
        <w:rStyle w:val="slostrnky"/>
        <w:sz w:val="18"/>
        <w:szCs w:val="18"/>
      </w:rPr>
      <w:fldChar w:fldCharType="separate"/>
    </w:r>
    <w:r>
      <w:rPr>
        <w:rStyle w:val="slostrnky"/>
        <w:noProof/>
        <w:sz w:val="18"/>
        <w:szCs w:val="18"/>
      </w:rPr>
      <w:t>10</w:t>
    </w:r>
    <w:r>
      <w:rPr>
        <w:rStyle w:val="slostrnky"/>
        <w:sz w:val="18"/>
        <w:szCs w:val="18"/>
      </w:rPr>
      <w:fldChar w:fldCharType="end"/>
    </w:r>
    <w:r>
      <w:rPr>
        <w:rStyle w:val="slostrnky"/>
        <w:sz w:val="18"/>
        <w:szCs w:val="18"/>
      </w:rPr>
      <w:t xml:space="preserve">) – SMLOUVA O ÚČASTI NA ŘEŠENÍ PROJEKTU - Projekt </w:t>
    </w:r>
    <w:r>
      <w:rPr>
        <w:sz w:val="18"/>
        <w:szCs w:val="18"/>
      </w:rPr>
      <w:t>TK05020142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721D3">
      <w:r>
        <w:separator/>
      </w:r>
    </w:p>
  </w:footnote>
  <w:footnote w:type="continuationSeparator" w:id="0">
    <w:p w:rsidR="00000000" w:rsidRDefault="00472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71"/>
    <w:multiLevelType w:val="multilevel"/>
    <w:tmpl w:val="21A640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16518C"/>
    <w:multiLevelType w:val="multilevel"/>
    <w:tmpl w:val="634E476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910F5C"/>
    <w:multiLevelType w:val="multilevel"/>
    <w:tmpl w:val="F01037A2"/>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A202920"/>
    <w:multiLevelType w:val="multilevel"/>
    <w:tmpl w:val="D5E0837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 w15:restartNumberingAfterBreak="0">
    <w:nsid w:val="3B0452F4"/>
    <w:multiLevelType w:val="multilevel"/>
    <w:tmpl w:val="373EB4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07D35B8"/>
    <w:multiLevelType w:val="multilevel"/>
    <w:tmpl w:val="30B618F0"/>
    <w:lvl w:ilvl="0">
      <w:numFmt w:val="bullet"/>
      <w:lvlText w:val="-"/>
      <w:lvlJc w:val="left"/>
      <w:pPr>
        <w:tabs>
          <w:tab w:val="num" w:pos="0"/>
        </w:tabs>
        <w:ind w:left="1080" w:hanging="360"/>
      </w:pPr>
      <w:rPr>
        <w:rFonts w:ascii="Times New Roman" w:hAnsi="Times New Roman" w:cs="Times New Roman" w:hint="default"/>
      </w:rPr>
    </w:lvl>
    <w:lvl w:ilvl="1">
      <w:numFmt w:val="bullet"/>
      <w:lvlText w:val="o"/>
      <w:lvlJc w:val="left"/>
      <w:pPr>
        <w:tabs>
          <w:tab w:val="num" w:pos="0"/>
        </w:tabs>
        <w:ind w:left="1800" w:hanging="360"/>
      </w:pPr>
      <w:rPr>
        <w:rFonts w:ascii="Times New Roman" w:hAnsi="Times New Roman" w:cs="Times New Roman"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Times New Roman" w:hAnsi="Times New Roman" w:cs="Times New Roman"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Times New Roman" w:hAnsi="Times New Roman" w:cs="Times New Roman" w:hint="default"/>
      </w:rPr>
    </w:lvl>
    <w:lvl w:ilvl="8">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46487997"/>
    <w:multiLevelType w:val="multilevel"/>
    <w:tmpl w:val="E5023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B51DEC"/>
    <w:multiLevelType w:val="multilevel"/>
    <w:tmpl w:val="1CF092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2A13AEC"/>
    <w:multiLevelType w:val="multilevel"/>
    <w:tmpl w:val="40AA41AA"/>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1D53763"/>
    <w:multiLevelType w:val="multilevel"/>
    <w:tmpl w:val="238AB8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1"/>
  </w:num>
  <w:num w:numId="3">
    <w:abstractNumId w:val="7"/>
  </w:num>
  <w:num w:numId="4">
    <w:abstractNumId w:val="0"/>
  </w:num>
  <w:num w:numId="5">
    <w:abstractNumId w:val="9"/>
  </w:num>
  <w:num w:numId="6">
    <w:abstractNumId w:val="2"/>
  </w:num>
  <w:num w:numId="7">
    <w:abstractNumId w:val="6"/>
  </w:num>
  <w:num w:numId="8">
    <w:abstractNumId w:val="3"/>
  </w:num>
  <w:num w:numId="9">
    <w:abstractNumId w:val="5"/>
  </w:num>
  <w:num w:numId="10">
    <w:abstractNumId w:val="8"/>
    <w:lvlOverride w:ilvl="0">
      <w:startOverride w:val="1"/>
    </w:lvlOverride>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4"/>
    <w:lvlOverride w:ilvl="0">
      <w:startOverride w:val="1"/>
    </w:lvlOverride>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E4"/>
    <w:rsid w:val="004721D3"/>
    <w:rsid w:val="00DD5CE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EA5F"/>
  <w15:docId w15:val="{7BF0A2DE-A3D4-4307-BE92-66975AA1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B0E"/>
    <w:pPr>
      <w:widowControl w:val="0"/>
      <w:textAlignment w:val="baseline"/>
    </w:pPr>
  </w:style>
  <w:style w:type="paragraph" w:styleId="Nadpis1">
    <w:name w:val="heading 1"/>
    <w:basedOn w:val="Standard"/>
    <w:next w:val="Standard"/>
    <w:uiPriority w:val="9"/>
    <w:qFormat/>
    <w:pPr>
      <w:ind w:left="0" w:firstLine="0"/>
      <w:jc w:val="center"/>
      <w:outlineLvl w:val="0"/>
    </w:pPr>
    <w:rPr>
      <w:b/>
      <w:caps/>
      <w:sz w:val="40"/>
    </w:rPr>
  </w:style>
  <w:style w:type="paragraph" w:styleId="Nadpis2">
    <w:name w:val="heading 2"/>
    <w:basedOn w:val="Standard"/>
    <w:next w:val="Standard"/>
    <w:uiPriority w:val="9"/>
    <w:unhideWhenUsed/>
    <w:qFormat/>
    <w:pPr>
      <w:keepNext/>
      <w:ind w:left="0" w:firstLine="0"/>
      <w:jc w:val="center"/>
      <w:outlineLvl w:val="1"/>
    </w:pPr>
    <w:rPr>
      <w:b/>
    </w:rPr>
  </w:style>
  <w:style w:type="paragraph" w:styleId="Nadpis3">
    <w:name w:val="heading 3"/>
    <w:basedOn w:val="Standard"/>
    <w:next w:val="Standard"/>
    <w:uiPriority w:val="9"/>
    <w:semiHidden/>
    <w:unhideWhenUsed/>
    <w:qFormat/>
    <w:pPr>
      <w:keepNext/>
      <w:keepLines/>
      <w:spacing w:before="40" w:after="0"/>
      <w:outlineLvl w:val="2"/>
    </w:pPr>
    <w:rPr>
      <w:rFonts w:ascii="Calibri Light" w:eastAsia="F" w:hAnsi="Calibri Light" w:cs="F"/>
      <w:color w:val="1F4D78"/>
      <w:sz w:val="24"/>
      <w:szCs w:val="24"/>
    </w:rPr>
  </w:style>
  <w:style w:type="paragraph" w:styleId="Nadpis4">
    <w:name w:val="heading 4"/>
    <w:basedOn w:val="Standard"/>
    <w:next w:val="Standard"/>
    <w:uiPriority w:val="9"/>
    <w:semiHidden/>
    <w:unhideWhenUsed/>
    <w:qFormat/>
    <w:pPr>
      <w:keepNext/>
      <w:keepLines/>
      <w:tabs>
        <w:tab w:val="clear" w:pos="850"/>
      </w:tabs>
      <w:spacing w:before="240" w:after="0"/>
      <w:ind w:left="0" w:firstLine="0"/>
      <w:outlineLvl w:val="3"/>
    </w:pPr>
    <w:rPr>
      <w:rFonts w:eastAsia="F" w:cs="F"/>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qFormat/>
    <w:rPr>
      <w:rFonts w:ascii="Cambria" w:eastAsia="Cambria" w:hAnsi="Cambria" w:cs="Times New Roman"/>
      <w:sz w:val="24"/>
      <w:szCs w:val="24"/>
      <w:lang w:val="en-US"/>
    </w:rPr>
  </w:style>
  <w:style w:type="character" w:customStyle="1" w:styleId="ZpatChar">
    <w:name w:val="Zápatí Char"/>
    <w:basedOn w:val="Standardnpsmoodstavce"/>
    <w:qFormat/>
    <w:rPr>
      <w:rFonts w:ascii="Cambria" w:eastAsia="Cambria" w:hAnsi="Cambria" w:cs="Times New Roman"/>
      <w:sz w:val="24"/>
      <w:szCs w:val="24"/>
      <w:lang w:val="en-US"/>
    </w:rPr>
  </w:style>
  <w:style w:type="character" w:styleId="slostrnky">
    <w:name w:val="page number"/>
    <w:basedOn w:val="Standardnpsmoodstavce"/>
    <w:qFormat/>
    <w:rPr>
      <w:rFonts w:cs="Times New Roman"/>
    </w:rPr>
  </w:style>
  <w:style w:type="character" w:customStyle="1" w:styleId="TextbublinyChar">
    <w:name w:val="Text bubliny Char"/>
    <w:basedOn w:val="Standardnpsmoodstavce"/>
    <w:qFormat/>
    <w:rPr>
      <w:rFonts w:ascii="Segoe UI" w:eastAsia="Cambria" w:hAnsi="Segoe UI" w:cs="Segoe UI"/>
      <w:sz w:val="18"/>
      <w:szCs w:val="18"/>
      <w:lang w:val="en-US"/>
    </w:rPr>
  </w:style>
  <w:style w:type="character" w:customStyle="1" w:styleId="Nadpis2Char">
    <w:name w:val="Nadpis 2 Char"/>
    <w:basedOn w:val="Standardnpsmoodstavce"/>
    <w:qFormat/>
    <w:rPr>
      <w:rFonts w:ascii="Open Sans" w:eastAsia="Cambria" w:hAnsi="Open Sans" w:cs="Times New Roman"/>
      <w:b/>
      <w:color w:val="000000"/>
      <w:sz w:val="20"/>
    </w:rPr>
  </w:style>
  <w:style w:type="character" w:customStyle="1" w:styleId="Nadpis1Char">
    <w:name w:val="Nadpis 1 Char"/>
    <w:basedOn w:val="Standardnpsmoodstavce"/>
    <w:qFormat/>
    <w:rPr>
      <w:rFonts w:ascii="Open Sans" w:eastAsia="Cambria" w:hAnsi="Open Sans" w:cs="Times New Roman"/>
      <w:b/>
      <w:caps/>
      <w:color w:val="000000"/>
      <w:sz w:val="40"/>
    </w:rPr>
  </w:style>
  <w:style w:type="character" w:customStyle="1" w:styleId="Nadpis3Char">
    <w:name w:val="Nadpis 3 Char"/>
    <w:basedOn w:val="Standardnpsmoodstavce"/>
    <w:qFormat/>
    <w:rPr>
      <w:rFonts w:ascii="Calibri Light" w:eastAsia="F" w:hAnsi="Calibri Light" w:cs="F"/>
      <w:color w:val="1F4D78"/>
      <w:sz w:val="24"/>
      <w:szCs w:val="24"/>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rFonts w:eastAsia="Cambria" w:cs="Times New Roman"/>
      <w:color w:val="000000"/>
      <w:sz w:val="20"/>
      <w:szCs w:val="20"/>
    </w:rPr>
  </w:style>
  <w:style w:type="character" w:customStyle="1" w:styleId="PedmtkomenteChar">
    <w:name w:val="Předmět komentáře Char"/>
    <w:basedOn w:val="TextkomenteChar"/>
    <w:qFormat/>
    <w:rPr>
      <w:rFonts w:eastAsia="Cambria" w:cs="Times New Roman"/>
      <w:b/>
      <w:bCs/>
      <w:color w:val="000000"/>
      <w:sz w:val="20"/>
      <w:szCs w:val="20"/>
    </w:rPr>
  </w:style>
  <w:style w:type="character" w:customStyle="1" w:styleId="TextpoznpodarouChar">
    <w:name w:val="Text pozn. pod čarou Char"/>
    <w:basedOn w:val="Standardnpsmoodstavce"/>
    <w:qFormat/>
    <w:rPr>
      <w:rFonts w:ascii="Open Sans" w:eastAsia="Cambria" w:hAnsi="Open Sans" w:cs="Times New Roman"/>
      <w:color w:val="000000"/>
      <w:sz w:val="20"/>
      <w:szCs w:val="20"/>
    </w:rPr>
  </w:style>
  <w:style w:type="character" w:customStyle="1" w:styleId="FootnoteCharacters">
    <w:name w:val="Footnote Characters"/>
    <w:basedOn w:val="Standardnpsmoodstavce"/>
    <w:qFormat/>
    <w:rPr>
      <w:vertAlign w:val="superscript"/>
    </w:rPr>
  </w:style>
  <w:style w:type="character" w:customStyle="1" w:styleId="FootnoteAnchor">
    <w:name w:val="Footnote Anchor"/>
    <w:rPr>
      <w:vertAlign w:val="superscript"/>
    </w:rPr>
  </w:style>
  <w:style w:type="character" w:customStyle="1" w:styleId="Nadpis4Char">
    <w:name w:val="Nadpis 4 Char"/>
    <w:basedOn w:val="Standardnpsmoodstavce"/>
    <w:qFormat/>
    <w:rPr>
      <w:rFonts w:ascii="Open Sans" w:eastAsia="F" w:hAnsi="Open Sans" w:cs="F"/>
      <w:iCs/>
      <w:sz w:val="16"/>
    </w:rPr>
  </w:style>
  <w:style w:type="character" w:customStyle="1" w:styleId="value">
    <w:name w:val="value"/>
    <w:basedOn w:val="Standardnpsmoodstavce"/>
    <w:qFormat/>
  </w:style>
  <w:style w:type="character" w:customStyle="1" w:styleId="Linenumbering">
    <w:name w:val="Line numbering"/>
    <w:qFormat/>
  </w:style>
  <w:style w:type="character" w:customStyle="1" w:styleId="LineNumbering0">
    <w:name w:val="Line Numbering"/>
  </w:style>
  <w:style w:type="paragraph" w:customStyle="1" w:styleId="Heading">
    <w:name w:val="Heading"/>
    <w:basedOn w:val="Standard"/>
    <w:next w:val="Textbody"/>
    <w:qFormat/>
    <w:pPr>
      <w:keepNext/>
      <w:spacing w:before="240" w:after="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Textbody"/>
    <w:rPr>
      <w:rFonts w:cs="Lohit Devanagari"/>
    </w:rPr>
  </w:style>
  <w:style w:type="paragraph" w:styleId="Titulek">
    <w:name w:val="caption"/>
    <w:basedOn w:val="Standard"/>
    <w:qFormat/>
    <w:pPr>
      <w:suppressLineNumbers/>
      <w:spacing w:before="120" w:after="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Standard">
    <w:name w:val="Standard"/>
    <w:qFormat/>
    <w:pPr>
      <w:tabs>
        <w:tab w:val="left" w:pos="850"/>
      </w:tabs>
      <w:spacing w:after="120"/>
      <w:ind w:left="425" w:hanging="425"/>
      <w:jc w:val="both"/>
      <w:textAlignment w:val="baseline"/>
    </w:pPr>
    <w:rPr>
      <w:rFonts w:eastAsia="Cambria" w:cs="Times New Roman"/>
      <w:color w:val="000000"/>
    </w:rPr>
  </w:style>
  <w:style w:type="paragraph" w:customStyle="1" w:styleId="Textbody">
    <w:name w:val="Text body"/>
    <w:basedOn w:val="Standard"/>
    <w:qFormat/>
    <w:pPr>
      <w:spacing w:after="140" w:line="276" w:lineRule="auto"/>
    </w:pPr>
  </w:style>
  <w:style w:type="paragraph" w:customStyle="1" w:styleId="HeaderandFooter">
    <w:name w:val="Header and Footer"/>
    <w:basedOn w:val="Standard"/>
    <w:qFormat/>
  </w:style>
  <w:style w:type="paragraph" w:styleId="Zhlav">
    <w:name w:val="header"/>
    <w:basedOn w:val="HeaderandFooter"/>
    <w:pPr>
      <w:suppressLineNumbers/>
      <w:tabs>
        <w:tab w:val="clear" w:pos="850"/>
        <w:tab w:val="center" w:pos="5244"/>
        <w:tab w:val="right" w:pos="10063"/>
      </w:tabs>
    </w:pPr>
  </w:style>
  <w:style w:type="paragraph" w:styleId="Zpat">
    <w:name w:val="footer"/>
    <w:basedOn w:val="HeaderandFooter"/>
    <w:pPr>
      <w:suppressLineNumbers/>
      <w:tabs>
        <w:tab w:val="clear" w:pos="850"/>
        <w:tab w:val="center" w:pos="5244"/>
        <w:tab w:val="right" w:pos="10063"/>
      </w:tabs>
    </w:pPr>
  </w:style>
  <w:style w:type="paragraph" w:styleId="Textbubliny">
    <w:name w:val="Balloon Text"/>
    <w:basedOn w:val="Standard"/>
    <w:qFormat/>
    <w:pPr>
      <w:spacing w:after="0"/>
    </w:pPr>
    <w:rPr>
      <w:rFonts w:ascii="Segoe UI" w:eastAsia="Segoe UI" w:hAnsi="Segoe UI" w:cs="Segoe UI"/>
      <w:sz w:val="18"/>
      <w:szCs w:val="18"/>
    </w:rPr>
  </w:style>
  <w:style w:type="paragraph" w:styleId="Textkomente">
    <w:name w:val="annotation text"/>
    <w:basedOn w:val="Standard"/>
    <w:qFormat/>
    <w:rPr>
      <w:szCs w:val="20"/>
    </w:rPr>
  </w:style>
  <w:style w:type="paragraph" w:styleId="Pedmtkomente">
    <w:name w:val="annotation subject"/>
    <w:basedOn w:val="Textkomente"/>
    <w:next w:val="Textkomente"/>
    <w:qFormat/>
    <w:rPr>
      <w:b/>
      <w:bCs/>
    </w:rPr>
  </w:style>
  <w:style w:type="paragraph" w:customStyle="1" w:styleId="Textpoznpodarou1">
    <w:name w:val="Text pozn. pod čarou1"/>
    <w:basedOn w:val="Standard"/>
    <w:qFormat/>
    <w:pPr>
      <w:spacing w:after="0"/>
    </w:pPr>
    <w:rPr>
      <w:szCs w:val="20"/>
    </w:rPr>
  </w:style>
  <w:style w:type="paragraph" w:styleId="Odstavecseseznamem">
    <w:name w:val="List Paragraph"/>
    <w:basedOn w:val="Standard"/>
    <w:qFormat/>
    <w:pPr>
      <w:ind w:left="720" w:firstLine="0"/>
    </w:pPr>
  </w:style>
  <w:style w:type="paragraph" w:styleId="Revize">
    <w:name w:val="Revision"/>
    <w:qFormat/>
    <w:pPr>
      <w:textAlignment w:val="baseline"/>
    </w:pPr>
    <w:rPr>
      <w:rFonts w:eastAsia="Cambria" w:cs="Times New Roman"/>
      <w:color w:val="000000"/>
    </w:rPr>
  </w:style>
  <w:style w:type="paragraph" w:styleId="Normlnweb">
    <w:name w:val="Normal (Web)"/>
    <w:basedOn w:val="Normln"/>
    <w:uiPriority w:val="99"/>
    <w:semiHidden/>
    <w:unhideWhenUsed/>
    <w:qFormat/>
    <w:rsid w:val="00B0331D"/>
    <w:pPr>
      <w:widowControl/>
      <w:suppressAutoHyphens w:val="0"/>
      <w:spacing w:beforeAutospacing="1" w:afterAutospacing="1"/>
      <w:textAlignment w:val="auto"/>
    </w:pPr>
    <w:rPr>
      <w:rFonts w:ascii="Times New Roman" w:eastAsia="Times New Roman" w:hAnsi="Times New Roman" w:cs="Times New Roman"/>
      <w:sz w:val="24"/>
      <w:szCs w:val="24"/>
      <w:lang w:eastAsia="cs-CZ"/>
    </w:rPr>
  </w:style>
  <w:style w:type="numbering" w:customStyle="1" w:styleId="Bezseznamu1">
    <w:name w:val="Bez seznamu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F201-C321-45B5-8951-28C1A1BD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4201</Words>
  <Characters>24787</Characters>
  <Application>Microsoft Office Word</Application>
  <DocSecurity>4</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Gregorek Kamil</dc:creator>
  <dc:description/>
  <cp:lastModifiedBy>Dana Kuzelova</cp:lastModifiedBy>
  <cp:revision>2</cp:revision>
  <cp:lastPrinted>2014-03-04T13:15:00Z</cp:lastPrinted>
  <dcterms:created xsi:type="dcterms:W3CDTF">2023-05-10T09:33:00Z</dcterms:created>
  <dcterms:modified xsi:type="dcterms:W3CDTF">2023-05-10T09:33:00Z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