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672" w14:textId="77777777" w:rsidR="00984196" w:rsidRDefault="00984196" w:rsidP="00984196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Příloha č. 2 výzvy</w:t>
      </w:r>
    </w:p>
    <w:p w14:paraId="6F81F199" w14:textId="77777777" w:rsidR="00984196" w:rsidRDefault="00984196" w:rsidP="00984196">
      <w:pPr>
        <w:spacing w:line="200" w:lineRule="exact"/>
        <w:rPr>
          <w:rFonts w:ascii="Times New Roman" w:eastAsia="Times New Roman" w:hAnsi="Times New Roman"/>
        </w:rPr>
      </w:pPr>
    </w:p>
    <w:p w14:paraId="671E77C9" w14:textId="77777777" w:rsidR="00984196" w:rsidRDefault="00984196" w:rsidP="00984196">
      <w:pPr>
        <w:spacing w:line="33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6580"/>
      </w:tblGrid>
      <w:tr w:rsidR="00984196" w14:paraId="33B78B4F" w14:textId="77777777" w:rsidTr="00FD4D17">
        <w:trPr>
          <w:trHeight w:val="276"/>
        </w:trPr>
        <w:tc>
          <w:tcPr>
            <w:tcW w:w="2500" w:type="dxa"/>
            <w:shd w:val="clear" w:color="auto" w:fill="auto"/>
            <w:vAlign w:val="bottom"/>
          </w:tcPr>
          <w:p w14:paraId="16E647F1" w14:textId="77777777" w:rsidR="00984196" w:rsidRDefault="00984196" w:rsidP="00FD4D1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B62ADF0" w14:textId="77777777" w:rsidR="00984196" w:rsidRDefault="00984196" w:rsidP="00FD4D17">
            <w:pPr>
              <w:spacing w:line="0" w:lineRule="atLeast"/>
              <w:ind w:left="4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Specifikace předmětu plnění</w:t>
            </w:r>
          </w:p>
        </w:tc>
      </w:tr>
      <w:tr w:rsidR="00984196" w14:paraId="0525929B" w14:textId="77777777" w:rsidTr="00FD4D17">
        <w:trPr>
          <w:trHeight w:val="245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68153E" w14:textId="77777777" w:rsidR="00984196" w:rsidRDefault="00984196" w:rsidP="00FD4D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03A032" w14:textId="77777777" w:rsidR="00984196" w:rsidRDefault="00984196" w:rsidP="00FD4D1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84196" w14:paraId="19DC6763" w14:textId="77777777" w:rsidTr="00FD4D17">
        <w:trPr>
          <w:trHeight w:val="332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D760247" w14:textId="77777777" w:rsidR="00984196" w:rsidRDefault="00984196" w:rsidP="00FD4D17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Název veřejné zakázky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21997" w14:textId="73F252B2" w:rsidR="00984196" w:rsidRDefault="00984196" w:rsidP="00FD4D17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Právní podpora a administrace veřejných zakázek 202</w:t>
            </w:r>
            <w:r w:rsidR="00622942">
              <w:rPr>
                <w:rFonts w:ascii="Arial" w:eastAsia="Arial" w:hAnsi="Arial"/>
                <w:b/>
              </w:rPr>
              <w:t>3</w:t>
            </w:r>
            <w:r>
              <w:rPr>
                <w:rFonts w:ascii="Arial" w:eastAsia="Arial" w:hAnsi="Arial"/>
                <w:b/>
              </w:rPr>
              <w:t>-202</w:t>
            </w:r>
            <w:r w:rsidR="0090319A">
              <w:rPr>
                <w:rFonts w:ascii="Arial" w:eastAsia="Arial" w:hAnsi="Arial"/>
                <w:b/>
              </w:rPr>
              <w:t>4</w:t>
            </w:r>
          </w:p>
        </w:tc>
      </w:tr>
      <w:tr w:rsidR="00984196" w14:paraId="0487054A" w14:textId="77777777" w:rsidTr="00FD4D17">
        <w:trPr>
          <w:trHeight w:val="128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776F6EB" w14:textId="77777777" w:rsidR="00984196" w:rsidRDefault="00984196" w:rsidP="00FD4D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B5775" w14:textId="77777777" w:rsidR="00984196" w:rsidRDefault="00984196" w:rsidP="00FD4D1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4196" w14:paraId="2FDE23D0" w14:textId="77777777" w:rsidTr="00FD4D17">
        <w:trPr>
          <w:trHeight w:val="33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AE29CEF" w14:textId="77777777" w:rsidR="00984196" w:rsidRDefault="00984196" w:rsidP="00FD4D17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Zadavatel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B4760" w14:textId="77777777" w:rsidR="00984196" w:rsidRDefault="00984196" w:rsidP="00FD4D17">
            <w:pPr>
              <w:spacing w:line="0" w:lineRule="atLeast"/>
              <w:ind w:left="10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 xml:space="preserve">Domov U </w:t>
            </w:r>
            <w:proofErr w:type="spellStart"/>
            <w:r>
              <w:rPr>
                <w:rFonts w:ascii="Arial" w:eastAsia="Arial" w:hAnsi="Arial"/>
                <w:w w:val="99"/>
              </w:rPr>
              <w:t>Biřičky</w:t>
            </w:r>
            <w:proofErr w:type="spellEnd"/>
            <w:r>
              <w:rPr>
                <w:rFonts w:ascii="Arial" w:eastAsia="Arial" w:hAnsi="Arial"/>
                <w:w w:val="99"/>
              </w:rPr>
              <w:t xml:space="preserve">, K </w:t>
            </w:r>
            <w:proofErr w:type="spellStart"/>
            <w:r>
              <w:rPr>
                <w:rFonts w:ascii="Arial" w:eastAsia="Arial" w:hAnsi="Arial"/>
                <w:w w:val="99"/>
              </w:rPr>
              <w:t>Biřičce</w:t>
            </w:r>
            <w:proofErr w:type="spellEnd"/>
            <w:r>
              <w:rPr>
                <w:rFonts w:ascii="Arial" w:eastAsia="Arial" w:hAnsi="Arial"/>
                <w:w w:val="99"/>
              </w:rPr>
              <w:t xml:space="preserve"> 1240, 500 08 Hradec Králové, IČO 00579033</w:t>
            </w:r>
          </w:p>
        </w:tc>
      </w:tr>
      <w:tr w:rsidR="00984196" w14:paraId="5CB5AA24" w14:textId="77777777" w:rsidTr="00FD4D17">
        <w:trPr>
          <w:trHeight w:val="12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810B8CD" w14:textId="77777777" w:rsidR="00984196" w:rsidRDefault="00984196" w:rsidP="00FD4D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E934C" w14:textId="77777777" w:rsidR="00984196" w:rsidRDefault="00984196" w:rsidP="00FD4D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4196" w14:paraId="77A41941" w14:textId="77777777" w:rsidTr="00FD4D17">
        <w:trPr>
          <w:trHeight w:val="33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04D179F" w14:textId="77777777" w:rsidR="00984196" w:rsidRDefault="00984196" w:rsidP="00FD4D17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Druh řízení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001DB" w14:textId="77777777" w:rsidR="00984196" w:rsidRDefault="00984196" w:rsidP="00FD4D17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výběrové řízení veřejné zakázky malého rozsahu na služby</w:t>
            </w:r>
          </w:p>
        </w:tc>
      </w:tr>
      <w:tr w:rsidR="00984196" w14:paraId="6D187328" w14:textId="77777777" w:rsidTr="00FD4D17">
        <w:trPr>
          <w:trHeight w:val="12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D69C5A0" w14:textId="77777777" w:rsidR="00984196" w:rsidRDefault="00984196" w:rsidP="00FD4D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F8470" w14:textId="77777777" w:rsidR="00984196" w:rsidRDefault="00984196" w:rsidP="00FD4D1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5E06C7C1" w14:textId="77777777" w:rsidR="00984196" w:rsidRDefault="00984196" w:rsidP="00984196">
      <w:pPr>
        <w:spacing w:line="200" w:lineRule="exact"/>
        <w:rPr>
          <w:rFonts w:ascii="Times New Roman" w:eastAsia="Times New Roman" w:hAnsi="Times New Roman"/>
        </w:rPr>
      </w:pPr>
    </w:p>
    <w:p w14:paraId="452A2BA0" w14:textId="77777777" w:rsidR="00984196" w:rsidRDefault="00984196" w:rsidP="00984196">
      <w:pPr>
        <w:spacing w:line="266" w:lineRule="exact"/>
        <w:rPr>
          <w:rFonts w:ascii="Times New Roman" w:eastAsia="Times New Roman" w:hAnsi="Times New Roman"/>
        </w:rPr>
      </w:pPr>
    </w:p>
    <w:p w14:paraId="7DD88445" w14:textId="77777777" w:rsidR="00984196" w:rsidRDefault="00984196" w:rsidP="00984196">
      <w:pPr>
        <w:spacing w:line="237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Předmětem plnění veřejné zakázky je poskytování služeb spočívajících v komplexní organizační, administrativní a právní podpoře ve výběrových a zadávacích řízeních veřejných zakázek. Jedná se zejména o administraci veřejných zakázek malého rozsahu, popř. podlimitních veřejných zakázek zadávaných ve zjednodušeném podlimitním řízení, to vše podle platných právních předpisů a interních směrnic zadavatele. Jedná se zejména o následující činnosti:</w:t>
      </w:r>
    </w:p>
    <w:p w14:paraId="76574186" w14:textId="77777777" w:rsidR="00984196" w:rsidRDefault="00984196" w:rsidP="00984196">
      <w:pPr>
        <w:spacing w:line="232" w:lineRule="exact"/>
        <w:rPr>
          <w:rFonts w:ascii="Times New Roman" w:eastAsia="Times New Roman" w:hAnsi="Times New Roman"/>
        </w:rPr>
      </w:pPr>
    </w:p>
    <w:p w14:paraId="0C79B8A1" w14:textId="77777777" w:rsidR="00984196" w:rsidRDefault="00984196" w:rsidP="00984196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činnosti spojené s přípravou výběrových a zadávacích řízení:</w:t>
      </w:r>
    </w:p>
    <w:p w14:paraId="34ACB136" w14:textId="77777777" w:rsidR="00984196" w:rsidRDefault="00984196" w:rsidP="00984196">
      <w:pPr>
        <w:spacing w:line="5" w:lineRule="exact"/>
        <w:rPr>
          <w:rFonts w:ascii="Arial" w:eastAsia="Arial" w:hAnsi="Arial"/>
          <w:b/>
        </w:rPr>
      </w:pPr>
    </w:p>
    <w:p w14:paraId="60172B59" w14:textId="77777777" w:rsidR="00984196" w:rsidRDefault="00984196" w:rsidP="00984196">
      <w:pPr>
        <w:numPr>
          <w:ilvl w:val="0"/>
          <w:numId w:val="2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převzetí podkladů od zadavatele,</w:t>
      </w:r>
    </w:p>
    <w:p w14:paraId="73E6E127" w14:textId="77777777" w:rsidR="00984196" w:rsidRDefault="00984196" w:rsidP="00984196">
      <w:pPr>
        <w:numPr>
          <w:ilvl w:val="0"/>
          <w:numId w:val="2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 w:rsidRPr="000C3DB3">
        <w:rPr>
          <w:rFonts w:ascii="Arial" w:eastAsia="Arial" w:hAnsi="Arial"/>
        </w:rPr>
        <w:t>osobní účast při konzultaci zadávacích podmínek v sídle zadavatele</w:t>
      </w:r>
    </w:p>
    <w:p w14:paraId="7B587D9D" w14:textId="77777777" w:rsidR="00984196" w:rsidRDefault="00984196" w:rsidP="00984196">
      <w:pPr>
        <w:numPr>
          <w:ilvl w:val="0"/>
          <w:numId w:val="2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 w:rsidRPr="000C3DB3">
        <w:rPr>
          <w:rFonts w:ascii="Arial" w:eastAsia="Arial" w:hAnsi="Arial"/>
        </w:rPr>
        <w:t>zpracování návrhu zadávací dokumentace a její konzultace se zadavatelem,</w:t>
      </w:r>
    </w:p>
    <w:p w14:paraId="0CD7F855" w14:textId="77777777" w:rsidR="00984196" w:rsidRDefault="00984196" w:rsidP="00984196">
      <w:pPr>
        <w:numPr>
          <w:ilvl w:val="0"/>
          <w:numId w:val="2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 w:rsidRPr="000C3DB3">
        <w:rPr>
          <w:rFonts w:ascii="Arial" w:eastAsia="Arial" w:hAnsi="Arial"/>
        </w:rPr>
        <w:t>zpracování návrhu požadavků na kvalifikaci a jejich konzultace se zadavatelem,</w:t>
      </w:r>
    </w:p>
    <w:p w14:paraId="545E97F0" w14:textId="77777777" w:rsidR="00984196" w:rsidRDefault="00984196" w:rsidP="00984196">
      <w:pPr>
        <w:numPr>
          <w:ilvl w:val="0"/>
          <w:numId w:val="2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 w:rsidRPr="000C3DB3">
        <w:rPr>
          <w:rFonts w:ascii="Arial" w:eastAsia="Arial" w:hAnsi="Arial"/>
        </w:rPr>
        <w:t>zpracování návrhu smlouvy a obchodních podmínek a jejich konzultace se zadavatelem,</w:t>
      </w:r>
    </w:p>
    <w:p w14:paraId="4BF7C1D5" w14:textId="77777777" w:rsidR="00984196" w:rsidRPr="000C3DB3" w:rsidRDefault="00984196" w:rsidP="00984196">
      <w:pPr>
        <w:numPr>
          <w:ilvl w:val="0"/>
          <w:numId w:val="2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 w:rsidRPr="000C3DB3">
        <w:rPr>
          <w:rFonts w:ascii="Arial" w:eastAsia="Arial" w:hAnsi="Arial"/>
        </w:rPr>
        <w:t>zajištění administrativních činností souvisejících se zahájením výběrových a zadávacích řízení,</w:t>
      </w:r>
    </w:p>
    <w:p w14:paraId="7AD3D494" w14:textId="77777777" w:rsidR="00984196" w:rsidRDefault="00984196" w:rsidP="00984196">
      <w:pPr>
        <w:spacing w:line="137" w:lineRule="exact"/>
        <w:rPr>
          <w:rFonts w:ascii="Wingdings" w:eastAsia="Wingdings" w:hAnsi="Wingdings"/>
          <w:sz w:val="16"/>
        </w:rPr>
      </w:pPr>
    </w:p>
    <w:p w14:paraId="2B8F278E" w14:textId="77777777" w:rsidR="00984196" w:rsidRDefault="00984196" w:rsidP="00984196">
      <w:pPr>
        <w:numPr>
          <w:ilvl w:val="0"/>
          <w:numId w:val="1"/>
        </w:numPr>
        <w:tabs>
          <w:tab w:val="left" w:pos="284"/>
        </w:tabs>
        <w:spacing w:line="234" w:lineRule="auto"/>
        <w:ind w:left="284" w:right="20" w:hanging="28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činnosti spojené s organizací výběrových a zadávacích řízení v průběhu lhůty pro podání nabídek:</w:t>
      </w:r>
    </w:p>
    <w:p w14:paraId="2DED3ABE" w14:textId="77777777" w:rsidR="00984196" w:rsidRDefault="00984196" w:rsidP="00984196">
      <w:pPr>
        <w:spacing w:line="17" w:lineRule="exact"/>
        <w:rPr>
          <w:rFonts w:ascii="Arial" w:eastAsia="Arial" w:hAnsi="Arial"/>
          <w:b/>
        </w:rPr>
      </w:pPr>
    </w:p>
    <w:p w14:paraId="0A176A26" w14:textId="77777777" w:rsidR="000773B3" w:rsidRPr="000C3DB3" w:rsidRDefault="000773B3" w:rsidP="000773B3">
      <w:pPr>
        <w:numPr>
          <w:ilvl w:val="0"/>
          <w:numId w:val="3"/>
        </w:numPr>
        <w:tabs>
          <w:tab w:val="left" w:pos="567"/>
        </w:tabs>
        <w:spacing w:line="264" w:lineRule="auto"/>
        <w:ind w:left="567" w:right="20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 xml:space="preserve">účast na prohlídce místa plnění </w:t>
      </w:r>
    </w:p>
    <w:p w14:paraId="00F361CB" w14:textId="7ED0A9D2" w:rsidR="00984196" w:rsidRDefault="00984196" w:rsidP="00984196">
      <w:pPr>
        <w:numPr>
          <w:ilvl w:val="0"/>
          <w:numId w:val="3"/>
        </w:numPr>
        <w:tabs>
          <w:tab w:val="left" w:pos="567"/>
        </w:tabs>
        <w:spacing w:line="264" w:lineRule="auto"/>
        <w:ind w:left="567" w:right="20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zpracování vysvětlení zadávací dokumentace na základě žádostí dodavatelů i z vlastního podnětu a zajištění jejich uveřejnění na profilu zadavatele a jejich odeslání dodavatelům,</w:t>
      </w:r>
    </w:p>
    <w:p w14:paraId="13FB6943" w14:textId="77777777" w:rsidR="00984196" w:rsidRPr="0090319A" w:rsidRDefault="00984196" w:rsidP="00984196">
      <w:pPr>
        <w:numPr>
          <w:ilvl w:val="0"/>
          <w:numId w:val="3"/>
        </w:numPr>
        <w:tabs>
          <w:tab w:val="left" w:pos="567"/>
        </w:tabs>
        <w:spacing w:line="264" w:lineRule="auto"/>
        <w:ind w:left="567" w:right="20" w:hanging="283"/>
        <w:rPr>
          <w:rFonts w:ascii="Wingdings" w:eastAsia="Wingdings" w:hAnsi="Wingdings"/>
          <w:sz w:val="16"/>
        </w:rPr>
      </w:pPr>
      <w:r w:rsidRPr="000C3DB3">
        <w:rPr>
          <w:rFonts w:ascii="Arial" w:eastAsia="Arial" w:hAnsi="Arial"/>
        </w:rPr>
        <w:t>zpracování podkladů pro jednání komise pro otevírání obálek</w:t>
      </w:r>
    </w:p>
    <w:p w14:paraId="2F01F1E1" w14:textId="77777777" w:rsidR="00984196" w:rsidRDefault="00984196" w:rsidP="00984196">
      <w:pPr>
        <w:spacing w:line="159" w:lineRule="exact"/>
        <w:rPr>
          <w:rFonts w:ascii="Wingdings" w:eastAsia="Wingdings" w:hAnsi="Wingdings"/>
          <w:sz w:val="16"/>
        </w:rPr>
      </w:pPr>
    </w:p>
    <w:p w14:paraId="78A90F1A" w14:textId="77777777" w:rsidR="00984196" w:rsidRDefault="00984196" w:rsidP="00984196">
      <w:pPr>
        <w:numPr>
          <w:ilvl w:val="0"/>
          <w:numId w:val="1"/>
        </w:numPr>
        <w:tabs>
          <w:tab w:val="left" w:pos="284"/>
        </w:tabs>
        <w:spacing w:line="234" w:lineRule="auto"/>
        <w:ind w:left="284" w:right="20" w:hanging="28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činnosti spojené s organizací výběrových a zadávacích řízení v době, po kterou jsou účastníci vázáni svými nabídkami:</w:t>
      </w:r>
    </w:p>
    <w:p w14:paraId="08B55026" w14:textId="77777777" w:rsidR="00984196" w:rsidRDefault="00984196" w:rsidP="00984196">
      <w:pPr>
        <w:spacing w:line="17" w:lineRule="exact"/>
        <w:rPr>
          <w:rFonts w:ascii="Arial" w:eastAsia="Arial" w:hAnsi="Arial"/>
          <w:b/>
        </w:rPr>
      </w:pPr>
    </w:p>
    <w:p w14:paraId="2ED068B2" w14:textId="77777777" w:rsidR="00984196" w:rsidRDefault="00984196" w:rsidP="00984196">
      <w:pPr>
        <w:numPr>
          <w:ilvl w:val="0"/>
          <w:numId w:val="6"/>
        </w:numPr>
        <w:tabs>
          <w:tab w:val="left" w:pos="567"/>
        </w:tabs>
        <w:spacing w:line="265" w:lineRule="auto"/>
        <w:ind w:left="567" w:right="20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organizační zajištění jednání hodnotící komise, posouzení mimořádně nízké nabídkové ceny,</w:t>
      </w:r>
    </w:p>
    <w:p w14:paraId="0C4D328F" w14:textId="77777777" w:rsidR="00984196" w:rsidRDefault="00984196" w:rsidP="00984196">
      <w:pPr>
        <w:tabs>
          <w:tab w:val="left" w:pos="567"/>
        </w:tabs>
        <w:spacing w:line="10" w:lineRule="exact"/>
        <w:ind w:left="567" w:hanging="283"/>
        <w:rPr>
          <w:rFonts w:ascii="Wingdings" w:eastAsia="Wingdings" w:hAnsi="Wingdings"/>
          <w:sz w:val="16"/>
        </w:rPr>
      </w:pPr>
    </w:p>
    <w:p w14:paraId="08994CC7" w14:textId="77777777" w:rsidR="00984196" w:rsidRDefault="00984196" w:rsidP="00984196">
      <w:pPr>
        <w:numPr>
          <w:ilvl w:val="0"/>
          <w:numId w:val="6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účast v komisi na žádost zadavatele,</w:t>
      </w:r>
    </w:p>
    <w:p w14:paraId="7C2323F0" w14:textId="77777777" w:rsidR="00984196" w:rsidRDefault="00984196" w:rsidP="00984196">
      <w:pPr>
        <w:tabs>
          <w:tab w:val="left" w:pos="567"/>
        </w:tabs>
        <w:spacing w:line="36" w:lineRule="exact"/>
        <w:ind w:left="567" w:hanging="283"/>
        <w:rPr>
          <w:rFonts w:ascii="Wingdings" w:eastAsia="Wingdings" w:hAnsi="Wingdings"/>
          <w:sz w:val="16"/>
        </w:rPr>
      </w:pPr>
    </w:p>
    <w:p w14:paraId="6B26B07C" w14:textId="77777777" w:rsidR="00984196" w:rsidRDefault="00984196" w:rsidP="00984196">
      <w:pPr>
        <w:numPr>
          <w:ilvl w:val="0"/>
          <w:numId w:val="6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organizační řízení hodnotící komise v průběhu jejích jednání,</w:t>
      </w:r>
    </w:p>
    <w:p w14:paraId="464D8074" w14:textId="77777777" w:rsidR="00984196" w:rsidRDefault="00984196" w:rsidP="00984196">
      <w:pPr>
        <w:tabs>
          <w:tab w:val="left" w:pos="567"/>
        </w:tabs>
        <w:spacing w:line="34" w:lineRule="exact"/>
        <w:ind w:left="567" w:hanging="283"/>
        <w:rPr>
          <w:rFonts w:ascii="Wingdings" w:eastAsia="Wingdings" w:hAnsi="Wingdings"/>
          <w:sz w:val="16"/>
        </w:rPr>
      </w:pPr>
    </w:p>
    <w:p w14:paraId="2645C247" w14:textId="77777777" w:rsidR="00984196" w:rsidRDefault="00984196" w:rsidP="00984196">
      <w:pPr>
        <w:numPr>
          <w:ilvl w:val="0"/>
          <w:numId w:val="6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zpracování všech protokolů dle zákona či směrnice zřizovatele,</w:t>
      </w:r>
    </w:p>
    <w:p w14:paraId="5D3AD2FE" w14:textId="77777777" w:rsidR="00984196" w:rsidRDefault="00984196" w:rsidP="00984196">
      <w:pPr>
        <w:tabs>
          <w:tab w:val="left" w:pos="567"/>
        </w:tabs>
        <w:spacing w:line="44" w:lineRule="exact"/>
        <w:ind w:left="567" w:hanging="283"/>
        <w:rPr>
          <w:rFonts w:ascii="Wingdings" w:eastAsia="Wingdings" w:hAnsi="Wingdings"/>
          <w:sz w:val="16"/>
        </w:rPr>
      </w:pPr>
    </w:p>
    <w:p w14:paraId="34BD32C4" w14:textId="4204EFBE" w:rsidR="00984196" w:rsidRDefault="00984196" w:rsidP="00984196">
      <w:pPr>
        <w:numPr>
          <w:ilvl w:val="0"/>
          <w:numId w:val="6"/>
        </w:numPr>
        <w:tabs>
          <w:tab w:val="left" w:pos="567"/>
        </w:tabs>
        <w:spacing w:line="264" w:lineRule="auto"/>
        <w:ind w:left="567" w:right="20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zpracování všech podkladů pro rozhodnutí zadavatele o výběru dodavatele, o vyloučení účas</w:t>
      </w:r>
      <w:r w:rsidR="00622942">
        <w:rPr>
          <w:rFonts w:ascii="Arial" w:eastAsia="Arial" w:hAnsi="Arial"/>
        </w:rPr>
        <w:t>t</w:t>
      </w:r>
      <w:r>
        <w:rPr>
          <w:rFonts w:ascii="Arial" w:eastAsia="Arial" w:hAnsi="Arial"/>
        </w:rPr>
        <w:t>níka, o zrušení zadávacího řízení</w:t>
      </w:r>
    </w:p>
    <w:p w14:paraId="59515089" w14:textId="77777777" w:rsidR="00984196" w:rsidRDefault="00984196" w:rsidP="00984196">
      <w:pPr>
        <w:spacing w:line="126" w:lineRule="exact"/>
        <w:rPr>
          <w:rFonts w:ascii="Wingdings" w:eastAsia="Wingdings" w:hAnsi="Wingdings"/>
          <w:sz w:val="16"/>
        </w:rPr>
      </w:pPr>
    </w:p>
    <w:p w14:paraId="1F8B6E9D" w14:textId="77777777" w:rsidR="00984196" w:rsidRDefault="00984196" w:rsidP="00984196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činnosti spojené s ukončením zadávacího řízení:</w:t>
      </w:r>
    </w:p>
    <w:p w14:paraId="431F4484" w14:textId="77777777" w:rsidR="00984196" w:rsidRDefault="00984196" w:rsidP="00984196">
      <w:pPr>
        <w:spacing w:line="5" w:lineRule="exact"/>
        <w:rPr>
          <w:rFonts w:ascii="Arial" w:eastAsia="Arial" w:hAnsi="Arial"/>
          <w:b/>
        </w:rPr>
      </w:pPr>
    </w:p>
    <w:p w14:paraId="219460BC" w14:textId="77777777" w:rsidR="00984196" w:rsidRDefault="00984196" w:rsidP="00984196">
      <w:pPr>
        <w:numPr>
          <w:ilvl w:val="0"/>
          <w:numId w:val="5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odeslání příslušných rozhodnutí dotčeným účastníkům,</w:t>
      </w:r>
    </w:p>
    <w:p w14:paraId="544FCB89" w14:textId="77777777" w:rsidR="00984196" w:rsidRDefault="00984196" w:rsidP="00984196">
      <w:pPr>
        <w:tabs>
          <w:tab w:val="left" w:pos="567"/>
        </w:tabs>
        <w:spacing w:line="34" w:lineRule="exact"/>
        <w:ind w:left="567" w:hanging="283"/>
        <w:rPr>
          <w:rFonts w:ascii="Wingdings" w:eastAsia="Wingdings" w:hAnsi="Wingdings"/>
          <w:sz w:val="16"/>
        </w:rPr>
      </w:pPr>
    </w:p>
    <w:p w14:paraId="14402C4D" w14:textId="77777777" w:rsidR="00984196" w:rsidRDefault="00984196" w:rsidP="00984196">
      <w:pPr>
        <w:numPr>
          <w:ilvl w:val="0"/>
          <w:numId w:val="5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organizační zajištění podpisu smlouvy,</w:t>
      </w:r>
    </w:p>
    <w:p w14:paraId="7CF03E2A" w14:textId="77777777" w:rsidR="00984196" w:rsidRDefault="00984196" w:rsidP="00984196">
      <w:pPr>
        <w:tabs>
          <w:tab w:val="left" w:pos="567"/>
        </w:tabs>
        <w:spacing w:line="46" w:lineRule="exact"/>
        <w:ind w:left="567" w:hanging="283"/>
        <w:rPr>
          <w:rFonts w:ascii="Wingdings" w:eastAsia="Wingdings" w:hAnsi="Wingdings"/>
          <w:sz w:val="16"/>
        </w:rPr>
      </w:pPr>
    </w:p>
    <w:p w14:paraId="278DDA4E" w14:textId="325B7884" w:rsidR="00984196" w:rsidRDefault="00984196" w:rsidP="00984196">
      <w:pPr>
        <w:numPr>
          <w:ilvl w:val="0"/>
          <w:numId w:val="5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5"/>
        </w:rPr>
      </w:pPr>
      <w:r>
        <w:rPr>
          <w:rFonts w:ascii="Arial" w:eastAsia="Arial" w:hAnsi="Arial"/>
          <w:sz w:val="19"/>
        </w:rPr>
        <w:t>sumarizace, uspořádání a příprava pro archivac</w:t>
      </w:r>
      <w:r w:rsidR="00622942">
        <w:rPr>
          <w:rFonts w:ascii="Arial" w:eastAsia="Arial" w:hAnsi="Arial"/>
          <w:sz w:val="19"/>
        </w:rPr>
        <w:t>i</w:t>
      </w:r>
      <w:r>
        <w:rPr>
          <w:rFonts w:ascii="Arial" w:eastAsia="Arial" w:hAnsi="Arial"/>
          <w:sz w:val="19"/>
        </w:rPr>
        <w:t xml:space="preserve"> veškeré dokumentace v sídle zadavatele</w:t>
      </w:r>
    </w:p>
    <w:p w14:paraId="07FC9E5B" w14:textId="77777777" w:rsidR="00984196" w:rsidRDefault="00984196" w:rsidP="00984196">
      <w:pPr>
        <w:spacing w:line="150" w:lineRule="exact"/>
        <w:rPr>
          <w:rFonts w:ascii="Wingdings" w:eastAsia="Wingdings" w:hAnsi="Wingdings"/>
          <w:sz w:val="15"/>
        </w:rPr>
      </w:pPr>
    </w:p>
    <w:p w14:paraId="0153CF7F" w14:textId="77777777" w:rsidR="00984196" w:rsidRDefault="00984196" w:rsidP="00984196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činnosti spojené s celým cyklem veřejné zakázky</w:t>
      </w:r>
    </w:p>
    <w:p w14:paraId="074BE4BA" w14:textId="77777777" w:rsidR="00984196" w:rsidRDefault="00984196" w:rsidP="00984196">
      <w:pPr>
        <w:spacing w:line="15" w:lineRule="exact"/>
        <w:rPr>
          <w:rFonts w:ascii="Arial" w:eastAsia="Arial" w:hAnsi="Arial"/>
          <w:b/>
        </w:rPr>
      </w:pPr>
    </w:p>
    <w:p w14:paraId="05925FC8" w14:textId="77777777" w:rsidR="00984196" w:rsidRDefault="00984196" w:rsidP="00984196">
      <w:pPr>
        <w:numPr>
          <w:ilvl w:val="0"/>
          <w:numId w:val="4"/>
        </w:numPr>
        <w:tabs>
          <w:tab w:val="left" w:pos="567"/>
        </w:tabs>
        <w:spacing w:line="270" w:lineRule="auto"/>
        <w:ind w:left="567" w:right="20" w:hanging="283"/>
        <w:jc w:val="both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zajištění veškerých povinností souvisejících s uveřejňováním dle vyhlášky č. 168/2016 Sb., o uveřejňování formulářů pro účely zákona o zadávání veřejných zakázek a náležitostech profilu zadavatele,</w:t>
      </w:r>
    </w:p>
    <w:p w14:paraId="5B714113" w14:textId="77777777" w:rsidR="00984196" w:rsidRDefault="00984196" w:rsidP="00984196">
      <w:pPr>
        <w:tabs>
          <w:tab w:val="left" w:pos="567"/>
        </w:tabs>
        <w:spacing w:line="16" w:lineRule="exact"/>
        <w:ind w:left="567" w:hanging="283"/>
        <w:rPr>
          <w:rFonts w:ascii="Wingdings" w:eastAsia="Wingdings" w:hAnsi="Wingdings"/>
          <w:sz w:val="16"/>
        </w:rPr>
      </w:pPr>
    </w:p>
    <w:p w14:paraId="22DA6E0D" w14:textId="77777777" w:rsidR="00984196" w:rsidRPr="000C3DB3" w:rsidRDefault="00984196" w:rsidP="00984196">
      <w:pPr>
        <w:numPr>
          <w:ilvl w:val="0"/>
          <w:numId w:val="4"/>
        </w:numPr>
        <w:tabs>
          <w:tab w:val="left" w:pos="567"/>
        </w:tabs>
        <w:spacing w:line="264" w:lineRule="auto"/>
        <w:ind w:left="567" w:right="20" w:hanging="283"/>
        <w:rPr>
          <w:rFonts w:ascii="Wingdings" w:eastAsia="Wingdings" w:hAnsi="Wingdings"/>
          <w:spacing w:val="-4"/>
          <w:sz w:val="16"/>
        </w:rPr>
      </w:pPr>
      <w:r w:rsidRPr="000C3DB3">
        <w:rPr>
          <w:rFonts w:ascii="Arial" w:eastAsia="Arial" w:hAnsi="Arial"/>
          <w:spacing w:val="-4"/>
        </w:rPr>
        <w:t>zajištění uveřejnění formulářů ve Věstníku veřejných zakázek a Úředním věstníku Evropské unie,</w:t>
      </w:r>
    </w:p>
    <w:p w14:paraId="30BCB959" w14:textId="77777777" w:rsidR="00984196" w:rsidRDefault="00984196" w:rsidP="00984196">
      <w:pPr>
        <w:tabs>
          <w:tab w:val="left" w:pos="567"/>
        </w:tabs>
        <w:spacing w:line="14" w:lineRule="exact"/>
        <w:ind w:left="567" w:hanging="283"/>
        <w:rPr>
          <w:rFonts w:ascii="Wingdings" w:eastAsia="Wingdings" w:hAnsi="Wingdings"/>
          <w:sz w:val="16"/>
        </w:rPr>
      </w:pPr>
    </w:p>
    <w:p w14:paraId="531F4FE4" w14:textId="77777777" w:rsidR="00984196" w:rsidRDefault="00984196" w:rsidP="00984196">
      <w:pPr>
        <w:numPr>
          <w:ilvl w:val="0"/>
          <w:numId w:val="4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kompletní administrace veřejných zakázek na profilu zadavatele,</w:t>
      </w:r>
    </w:p>
    <w:p w14:paraId="7348BF62" w14:textId="77777777" w:rsidR="00984196" w:rsidRDefault="00984196" w:rsidP="00984196">
      <w:pPr>
        <w:tabs>
          <w:tab w:val="left" w:pos="567"/>
        </w:tabs>
        <w:spacing w:line="34" w:lineRule="exact"/>
        <w:ind w:left="567" w:hanging="283"/>
        <w:rPr>
          <w:rFonts w:ascii="Wingdings" w:eastAsia="Wingdings" w:hAnsi="Wingdings"/>
          <w:sz w:val="16"/>
        </w:rPr>
      </w:pPr>
    </w:p>
    <w:p w14:paraId="48E2FF79" w14:textId="77777777" w:rsidR="00984196" w:rsidRDefault="00984196" w:rsidP="00984196">
      <w:pPr>
        <w:numPr>
          <w:ilvl w:val="0"/>
          <w:numId w:val="4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lastRenderedPageBreak/>
        <w:t>komunikace a spolupráce s dotačními a kontrolními orgány,</w:t>
      </w:r>
    </w:p>
    <w:p w14:paraId="476F9BF3" w14:textId="77777777" w:rsidR="00984196" w:rsidRDefault="00984196" w:rsidP="00984196">
      <w:pPr>
        <w:tabs>
          <w:tab w:val="left" w:pos="567"/>
        </w:tabs>
        <w:spacing w:line="34" w:lineRule="exact"/>
        <w:ind w:left="567" w:hanging="283"/>
        <w:rPr>
          <w:rFonts w:ascii="Wingdings" w:eastAsia="Wingdings" w:hAnsi="Wingdings"/>
          <w:sz w:val="16"/>
        </w:rPr>
      </w:pPr>
    </w:p>
    <w:p w14:paraId="1FBE8EB3" w14:textId="77777777" w:rsidR="00984196" w:rsidRDefault="00984196" w:rsidP="00984196">
      <w:pPr>
        <w:numPr>
          <w:ilvl w:val="0"/>
          <w:numId w:val="4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zastupování zadavatele při jednání před Úřadem pro ochranu hospodářské soutěže,</w:t>
      </w:r>
    </w:p>
    <w:p w14:paraId="6C751F33" w14:textId="77777777" w:rsidR="00984196" w:rsidRDefault="00984196" w:rsidP="00984196">
      <w:pPr>
        <w:tabs>
          <w:tab w:val="left" w:pos="567"/>
        </w:tabs>
        <w:spacing w:line="34" w:lineRule="exact"/>
        <w:ind w:left="567" w:hanging="283"/>
        <w:rPr>
          <w:rFonts w:ascii="Wingdings" w:eastAsia="Wingdings" w:hAnsi="Wingdings"/>
          <w:sz w:val="16"/>
        </w:rPr>
      </w:pPr>
    </w:p>
    <w:p w14:paraId="643ACDE1" w14:textId="77777777" w:rsidR="00984196" w:rsidRDefault="00984196" w:rsidP="00984196">
      <w:pPr>
        <w:numPr>
          <w:ilvl w:val="0"/>
          <w:numId w:val="4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zpracování vyjádření k postupu zadavatele,</w:t>
      </w:r>
    </w:p>
    <w:p w14:paraId="3EF90F60" w14:textId="77777777" w:rsidR="00984196" w:rsidRDefault="00984196" w:rsidP="00984196">
      <w:pPr>
        <w:tabs>
          <w:tab w:val="left" w:pos="567"/>
        </w:tabs>
        <w:spacing w:line="33" w:lineRule="exact"/>
        <w:ind w:left="567" w:hanging="283"/>
        <w:rPr>
          <w:rFonts w:ascii="Wingdings" w:eastAsia="Wingdings" w:hAnsi="Wingdings"/>
          <w:sz w:val="16"/>
        </w:rPr>
      </w:pPr>
    </w:p>
    <w:p w14:paraId="73CF9928" w14:textId="77777777" w:rsidR="00984196" w:rsidRDefault="00984196" w:rsidP="00984196">
      <w:pPr>
        <w:numPr>
          <w:ilvl w:val="0"/>
          <w:numId w:val="4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příprava rozhodnutí o námitkách,</w:t>
      </w:r>
    </w:p>
    <w:p w14:paraId="7E339813" w14:textId="77777777" w:rsidR="00984196" w:rsidRDefault="00984196" w:rsidP="00984196">
      <w:pPr>
        <w:tabs>
          <w:tab w:val="left" w:pos="567"/>
        </w:tabs>
        <w:spacing w:line="36" w:lineRule="exact"/>
        <w:ind w:left="567" w:hanging="283"/>
        <w:rPr>
          <w:rFonts w:ascii="Wingdings" w:eastAsia="Wingdings" w:hAnsi="Wingdings"/>
          <w:sz w:val="16"/>
        </w:rPr>
      </w:pPr>
    </w:p>
    <w:p w14:paraId="1C5E1D8C" w14:textId="77777777" w:rsidR="00984196" w:rsidRDefault="00984196" w:rsidP="00984196">
      <w:pPr>
        <w:numPr>
          <w:ilvl w:val="0"/>
          <w:numId w:val="4"/>
        </w:numPr>
        <w:tabs>
          <w:tab w:val="left" w:pos="567"/>
        </w:tabs>
        <w:spacing w:line="0" w:lineRule="atLeast"/>
        <w:ind w:left="567" w:hanging="283"/>
        <w:rPr>
          <w:rFonts w:ascii="Wingdings" w:eastAsia="Wingdings" w:hAnsi="Wingdings"/>
          <w:sz w:val="16"/>
        </w:rPr>
      </w:pPr>
      <w:r>
        <w:rPr>
          <w:rFonts w:ascii="Arial" w:eastAsia="Arial" w:hAnsi="Arial"/>
        </w:rPr>
        <w:t>administrace změny závazků z uzavřených smluv, příprava dodatků,</w:t>
      </w:r>
    </w:p>
    <w:p w14:paraId="61A03516" w14:textId="77777777" w:rsidR="00984196" w:rsidRPr="000C3DB3" w:rsidRDefault="00984196" w:rsidP="00984196">
      <w:pPr>
        <w:numPr>
          <w:ilvl w:val="0"/>
          <w:numId w:val="4"/>
        </w:numPr>
        <w:tabs>
          <w:tab w:val="left" w:pos="567"/>
          <w:tab w:val="left" w:pos="1100"/>
        </w:tabs>
        <w:spacing w:line="271" w:lineRule="auto"/>
        <w:ind w:left="567" w:hanging="283"/>
        <w:jc w:val="both"/>
        <w:rPr>
          <w:rFonts w:ascii="Wingdings" w:eastAsia="Wingdings" w:hAnsi="Wingdings"/>
          <w:spacing w:val="-4"/>
          <w:sz w:val="16"/>
        </w:rPr>
      </w:pPr>
      <w:r w:rsidRPr="000C3DB3">
        <w:rPr>
          <w:rFonts w:ascii="Arial" w:eastAsia="Arial" w:hAnsi="Arial"/>
          <w:spacing w:val="-4"/>
        </w:rPr>
        <w:t>příprava podkladů pro uveřejnění podle zákona č. 340/2015 Sb., o zvláštních podmínkách účinnosti některých smluv, uveřejňování těchto smluv a o registru smluv (zákon o registru smluv).</w:t>
      </w:r>
    </w:p>
    <w:p w14:paraId="75BABD50" w14:textId="41023744" w:rsidR="00955070" w:rsidRDefault="00955070" w:rsidP="00984196">
      <w:bookmarkStart w:id="0" w:name="page12"/>
      <w:bookmarkStart w:id="1" w:name="page13"/>
      <w:bookmarkEnd w:id="0"/>
      <w:bookmarkEnd w:id="1"/>
    </w:p>
    <w:sectPr w:rsidR="009550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214AE8"/>
    <w:multiLevelType w:val="hybridMultilevel"/>
    <w:tmpl w:val="DC7079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D7A"/>
    <w:multiLevelType w:val="hybridMultilevel"/>
    <w:tmpl w:val="3AC62C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80BEA"/>
    <w:multiLevelType w:val="hybridMultilevel"/>
    <w:tmpl w:val="721033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E4436"/>
    <w:multiLevelType w:val="hybridMultilevel"/>
    <w:tmpl w:val="06EE48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01BC"/>
    <w:multiLevelType w:val="hybridMultilevel"/>
    <w:tmpl w:val="573CF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842659">
    <w:abstractNumId w:val="0"/>
  </w:num>
  <w:num w:numId="2" w16cid:durableId="412897687">
    <w:abstractNumId w:val="1"/>
  </w:num>
  <w:num w:numId="3" w16cid:durableId="699016082">
    <w:abstractNumId w:val="4"/>
  </w:num>
  <w:num w:numId="4" w16cid:durableId="1799911419">
    <w:abstractNumId w:val="2"/>
  </w:num>
  <w:num w:numId="5" w16cid:durableId="493839607">
    <w:abstractNumId w:val="3"/>
  </w:num>
  <w:num w:numId="6" w16cid:durableId="392848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96"/>
    <w:rsid w:val="000773B3"/>
    <w:rsid w:val="000947C2"/>
    <w:rsid w:val="00274197"/>
    <w:rsid w:val="00622942"/>
    <w:rsid w:val="0090319A"/>
    <w:rsid w:val="00955070"/>
    <w:rsid w:val="009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56A8"/>
  <w15:chartTrackingRefBased/>
  <w15:docId w15:val="{508AB750-4124-414B-AB38-E1FF4EE2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196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22942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dc:description/>
  <cp:lastModifiedBy>Pavlína Holubová</cp:lastModifiedBy>
  <cp:revision>3</cp:revision>
  <dcterms:created xsi:type="dcterms:W3CDTF">2023-05-05T09:33:00Z</dcterms:created>
  <dcterms:modified xsi:type="dcterms:W3CDTF">2023-05-10T08:32:00Z</dcterms:modified>
</cp:coreProperties>
</file>