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A51E6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  <w:r w:rsidRPr="001C30A0">
        <w:rPr>
          <w:rFonts w:ascii="Georgia,Bold" w:hAnsi="Georgia,Bold" w:cs="Georgia,Bold"/>
          <w:b/>
          <w:bCs/>
          <w:sz w:val="28"/>
          <w:szCs w:val="28"/>
        </w:rPr>
        <w:t>DODATEK Č. 1</w:t>
      </w:r>
    </w:p>
    <w:p w14:paraId="6AA4AD62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  <w:r w:rsidRPr="001C30A0">
        <w:rPr>
          <w:rFonts w:ascii="Georgia,Bold" w:hAnsi="Georgia,Bold" w:cs="Georgia,Bold"/>
          <w:b/>
          <w:bCs/>
          <w:sz w:val="28"/>
          <w:szCs w:val="28"/>
        </w:rPr>
        <w:t>ke Smlouvě o dílo</w:t>
      </w:r>
    </w:p>
    <w:p w14:paraId="4A9C77B8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  <w:r w:rsidRPr="001C30A0">
        <w:rPr>
          <w:rFonts w:ascii="Georgia,Bold" w:hAnsi="Georgia,Bold" w:cs="Georgia,Bold"/>
          <w:b/>
          <w:bCs/>
          <w:sz w:val="28"/>
          <w:szCs w:val="28"/>
        </w:rPr>
        <w:t>„Analýza, studie proveditelnosti a návrh řešení k realizaci nového</w:t>
      </w:r>
    </w:p>
    <w:p w14:paraId="6FA9B5FE" w14:textId="37C61CCD" w:rsidR="00275060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Cs/>
          <w:sz w:val="28"/>
          <w:szCs w:val="28"/>
        </w:rPr>
      </w:pPr>
      <w:r w:rsidRPr="001C30A0">
        <w:rPr>
          <w:rFonts w:ascii="Georgia,Bold" w:hAnsi="Georgia,Bold" w:cs="Georgia,Bold"/>
          <w:b/>
          <w:bCs/>
          <w:sz w:val="28"/>
          <w:szCs w:val="28"/>
        </w:rPr>
        <w:t xml:space="preserve">IS pro výkon vízové agendy MZV“ ze dne </w:t>
      </w:r>
      <w:r w:rsidR="002C3943">
        <w:rPr>
          <w:rFonts w:ascii="Georgia,Bold" w:hAnsi="Georgia,Bold" w:cs="Georgia,Bold"/>
          <w:b/>
          <w:bCs/>
          <w:sz w:val="28"/>
          <w:szCs w:val="28"/>
        </w:rPr>
        <w:t>11. 10. 2022</w:t>
      </w:r>
    </w:p>
    <w:p w14:paraId="5CB7BD8B" w14:textId="77777777" w:rsidR="00BF3C02" w:rsidRPr="001C30A0" w:rsidRDefault="00275060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,Bold"/>
          <w:b/>
          <w:bCs/>
        </w:rPr>
      </w:pPr>
      <w:r w:rsidRPr="001C30A0">
        <w:rPr>
          <w:rFonts w:ascii="Georgia" w:hAnsi="Georgia" w:cs="Georgia,Bold"/>
          <w:bCs/>
        </w:rPr>
        <w:t>(dále jen „Smlouva“)</w:t>
      </w:r>
    </w:p>
    <w:p w14:paraId="0FEF6979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</w:p>
    <w:p w14:paraId="6EADF09D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 w:rsidRPr="001C30A0">
        <w:rPr>
          <w:rFonts w:ascii="Georgia" w:hAnsi="Georgia" w:cs="Georgia"/>
        </w:rPr>
        <w:t>Evidenční číslo smlouvy Objednatele: 103640/2022-OICT, SM7122-005</w:t>
      </w:r>
    </w:p>
    <w:p w14:paraId="441AF16D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</w:rPr>
      </w:pPr>
    </w:p>
    <w:p w14:paraId="58ACAD13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</w:rPr>
      </w:pPr>
    </w:p>
    <w:p w14:paraId="7378A0DE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,Bold"/>
          <w:b/>
          <w:bCs/>
        </w:rPr>
      </w:pPr>
    </w:p>
    <w:p w14:paraId="75C06539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</w:rPr>
      </w:pPr>
      <w:r w:rsidRPr="001C30A0">
        <w:rPr>
          <w:rFonts w:ascii="Georgia" w:hAnsi="Georgia" w:cs="Georgia,Bold"/>
          <w:b/>
          <w:bCs/>
        </w:rPr>
        <w:t>Česká republika – Ministerstvo zahraničních věcí</w:t>
      </w:r>
    </w:p>
    <w:p w14:paraId="70F83038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se sídlem: </w:t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  <w:t>Loretánské náměstí 101/5, 118 00, Praha, Hradčany</w:t>
      </w:r>
    </w:p>
    <w:p w14:paraId="7C5EBF90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IČO: </w:t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  <w:t>45769851</w:t>
      </w:r>
    </w:p>
    <w:p w14:paraId="59E7F4D1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DIČ: </w:t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  <w:t>CZ45769851</w:t>
      </w:r>
    </w:p>
    <w:p w14:paraId="6C4A5352" w14:textId="2BDCF590" w:rsidR="00BF3C02" w:rsidRPr="001C30A0" w:rsidRDefault="00BF3C02" w:rsidP="00657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 w:val="0"/>
        <w:autoSpaceDN w:val="0"/>
        <w:adjustRightInd w:val="0"/>
        <w:spacing w:after="0" w:line="240" w:lineRule="auto"/>
        <w:ind w:left="2124" w:hanging="2124"/>
        <w:rPr>
          <w:rFonts w:ascii="Georgia" w:hAnsi="Georgia" w:cs="Georgia"/>
        </w:rPr>
      </w:pPr>
      <w:r w:rsidRPr="001C30A0">
        <w:rPr>
          <w:rFonts w:ascii="Georgia" w:hAnsi="Georgia" w:cs="Georgia"/>
        </w:rPr>
        <w:t>zastoupená:</w:t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</w:r>
      <w:r w:rsidR="00D8107E">
        <w:rPr>
          <w:rFonts w:ascii="Georgia" w:hAnsi="Georgia" w:cs="Georgia"/>
        </w:rPr>
        <w:t>xxxxxxxxxxxxxxxxxxxxxxxxxxxxxxxxxxxxxxxxxxxxxxxxxxxxxxxxxx</w:t>
      </w:r>
    </w:p>
    <w:p w14:paraId="7A6B53C4" w14:textId="77777777" w:rsidR="006612F0" w:rsidRPr="001C30A0" w:rsidRDefault="006612F0" w:rsidP="00661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2798476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>(dále jen „Objednatel“ nebo „MZV“) na straně jedné</w:t>
      </w:r>
    </w:p>
    <w:p w14:paraId="0ADB58E5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BEDFB40" w14:textId="17621DE8" w:rsidR="00BF3C02" w:rsidRPr="001C30A0" w:rsidRDefault="00AD0E9A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>a</w:t>
      </w:r>
    </w:p>
    <w:p w14:paraId="13CC773F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26076E8A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,Bold"/>
          <w:b/>
          <w:bCs/>
        </w:rPr>
      </w:pPr>
      <w:r w:rsidRPr="001C30A0">
        <w:rPr>
          <w:rFonts w:ascii="Georgia" w:hAnsi="Georgia" w:cs="Georgia,Bold"/>
          <w:b/>
          <w:bCs/>
        </w:rPr>
        <w:t>KPMG Česká republika, s.r.o.</w:t>
      </w:r>
    </w:p>
    <w:p w14:paraId="06285A46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>se sídlem:</w:t>
      </w:r>
      <w:r w:rsidRPr="001C30A0">
        <w:rPr>
          <w:rFonts w:ascii="Georgia" w:hAnsi="Georgia" w:cs="Georgia"/>
        </w:rPr>
        <w:tab/>
      </w:r>
      <w:r w:rsidR="006612F0"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>Pobřežní 648/1a, 186 00 Praha 8</w:t>
      </w:r>
    </w:p>
    <w:p w14:paraId="551BD8C0" w14:textId="77777777" w:rsidR="00BF3C02" w:rsidRPr="001C30A0" w:rsidRDefault="00BF3C02" w:rsidP="006612F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zapsána: </w:t>
      </w:r>
      <w:r w:rsidRPr="001C30A0">
        <w:rPr>
          <w:rFonts w:ascii="Georgia" w:hAnsi="Georgia" w:cs="Georgia"/>
        </w:rPr>
        <w:tab/>
        <w:t>v obchodním rejstříku vedeném Městským soudem Praze, oddíl C, vložka 326</w:t>
      </w:r>
    </w:p>
    <w:p w14:paraId="2857317B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IČO: </w:t>
      </w:r>
      <w:r w:rsidR="006612F0" w:rsidRPr="001C30A0">
        <w:rPr>
          <w:rFonts w:ascii="Georgia" w:hAnsi="Georgia" w:cs="Georgia"/>
        </w:rPr>
        <w:tab/>
      </w:r>
      <w:r w:rsidR="006612F0" w:rsidRPr="001C30A0">
        <w:rPr>
          <w:rFonts w:ascii="Georgia" w:hAnsi="Georgia" w:cs="Georgia"/>
        </w:rPr>
        <w:tab/>
      </w:r>
      <w:r w:rsidR="006612F0"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>00553115</w:t>
      </w:r>
    </w:p>
    <w:p w14:paraId="3411F0E2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>DIČ</w:t>
      </w:r>
      <w:r w:rsidR="006612F0" w:rsidRPr="001C30A0">
        <w:rPr>
          <w:rFonts w:ascii="Georgia" w:hAnsi="Georgia" w:cs="Georgia"/>
        </w:rPr>
        <w:t>:</w:t>
      </w:r>
      <w:r w:rsidRPr="001C30A0">
        <w:rPr>
          <w:rFonts w:ascii="Georgia" w:hAnsi="Georgia" w:cs="Georgia"/>
        </w:rPr>
        <w:t xml:space="preserve"> </w:t>
      </w:r>
      <w:r w:rsidR="006612F0" w:rsidRPr="001C30A0">
        <w:rPr>
          <w:rFonts w:ascii="Georgia" w:hAnsi="Georgia" w:cs="Georgia"/>
        </w:rPr>
        <w:tab/>
      </w:r>
      <w:r w:rsidR="006612F0" w:rsidRPr="001C30A0">
        <w:rPr>
          <w:rFonts w:ascii="Georgia" w:hAnsi="Georgia" w:cs="Georgia"/>
        </w:rPr>
        <w:tab/>
      </w:r>
      <w:r w:rsidR="006612F0"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>CZ699001996</w:t>
      </w:r>
    </w:p>
    <w:p w14:paraId="1A651C8E" w14:textId="26271AE0" w:rsidR="00BF3C02" w:rsidRPr="001C30A0" w:rsidRDefault="006612F0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zastoupená: </w:t>
      </w:r>
      <w:r w:rsidR="00BF3C02" w:rsidRPr="001C30A0">
        <w:rPr>
          <w:rFonts w:ascii="Georgia" w:hAnsi="Georgia" w:cs="Georgia"/>
        </w:rPr>
        <w:t xml:space="preserve"> </w:t>
      </w:r>
      <w:r w:rsidRPr="001C30A0">
        <w:rPr>
          <w:rFonts w:ascii="Georgia" w:hAnsi="Georgia" w:cs="Georgia"/>
        </w:rPr>
        <w:tab/>
      </w:r>
      <w:r w:rsidRPr="001C30A0">
        <w:rPr>
          <w:rFonts w:ascii="Georgia" w:hAnsi="Georgia" w:cs="Georgia"/>
        </w:rPr>
        <w:tab/>
      </w:r>
      <w:r w:rsidR="00D8107E">
        <w:rPr>
          <w:rFonts w:ascii="Georgia" w:hAnsi="Georgia" w:cs="Georgia"/>
        </w:rPr>
        <w:t>xxxxxxxxxxxxxxxxxxxxxxxxxx</w:t>
      </w:r>
      <w:bookmarkStart w:id="0" w:name="_GoBack"/>
      <w:bookmarkEnd w:id="0"/>
    </w:p>
    <w:p w14:paraId="34052411" w14:textId="77777777" w:rsidR="006612F0" w:rsidRPr="001C30A0" w:rsidRDefault="006612F0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44567A8" w14:textId="77777777" w:rsidR="00BF3C02" w:rsidRPr="001C30A0" w:rsidRDefault="00BF3C02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>(dále jen „Zhotovitel“) na straně druhé</w:t>
      </w:r>
    </w:p>
    <w:p w14:paraId="35A67CD0" w14:textId="77777777" w:rsidR="006612F0" w:rsidRPr="001C30A0" w:rsidRDefault="00976242" w:rsidP="00976242">
      <w:pPr>
        <w:tabs>
          <w:tab w:val="left" w:pos="5337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ab/>
      </w:r>
    </w:p>
    <w:p w14:paraId="4F0EF6CD" w14:textId="77777777" w:rsidR="006612F0" w:rsidRPr="001C30A0" w:rsidRDefault="006612F0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1C30A0">
        <w:rPr>
          <w:rFonts w:ascii="Georgia" w:hAnsi="Georgia" w:cs="Georgia"/>
        </w:rPr>
        <w:t>(dále společně jen „smluvní strany“)</w:t>
      </w:r>
    </w:p>
    <w:p w14:paraId="0C1EFC01" w14:textId="77777777" w:rsidR="006612F0" w:rsidRPr="001C30A0" w:rsidRDefault="006612F0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BB66A90" w14:textId="77777777" w:rsidR="006612F0" w:rsidRPr="001C30A0" w:rsidRDefault="006612F0" w:rsidP="00BF3C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022D2A1" w14:textId="24767C40" w:rsidR="006612F0" w:rsidRPr="001C30A0" w:rsidRDefault="006612F0" w:rsidP="006612F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</w:rPr>
      </w:pPr>
      <w:r w:rsidRPr="001C30A0">
        <w:rPr>
          <w:rFonts w:ascii="Georgia" w:hAnsi="Georgia" w:cs="Georgia"/>
        </w:rPr>
        <w:t xml:space="preserve">uzavírají na základě vzájemného konsensu </w:t>
      </w:r>
      <w:r w:rsidR="00E87822" w:rsidRPr="001C30A0">
        <w:rPr>
          <w:rFonts w:ascii="Georgia" w:hAnsi="Georgia" w:cs="Georgia"/>
        </w:rPr>
        <w:t>podle čl</w:t>
      </w:r>
      <w:r w:rsidR="006B7CE9" w:rsidRPr="001C30A0">
        <w:rPr>
          <w:rFonts w:ascii="Georgia" w:hAnsi="Georgia" w:cs="Georgia"/>
        </w:rPr>
        <w:t>ánku</w:t>
      </w:r>
      <w:r w:rsidR="00E87822" w:rsidRPr="001C30A0">
        <w:rPr>
          <w:rFonts w:ascii="Georgia" w:hAnsi="Georgia" w:cs="Georgia"/>
        </w:rPr>
        <w:t xml:space="preserve"> XIV. odst. 4 </w:t>
      </w:r>
      <w:r w:rsidR="00275060" w:rsidRPr="001C30A0">
        <w:rPr>
          <w:rFonts w:ascii="Georgia" w:hAnsi="Georgia" w:cs="Georgia"/>
        </w:rPr>
        <w:t>S</w:t>
      </w:r>
      <w:r w:rsidR="00E87822" w:rsidRPr="001C30A0">
        <w:rPr>
          <w:rFonts w:ascii="Georgia" w:hAnsi="Georgia" w:cs="Georgia"/>
        </w:rPr>
        <w:t xml:space="preserve">mlouvy </w:t>
      </w:r>
      <w:r w:rsidRPr="001C30A0">
        <w:rPr>
          <w:rFonts w:ascii="Georgia" w:hAnsi="Georgia" w:cs="Georgia"/>
        </w:rPr>
        <w:t>a § 2586 a násl. zákona č. 89/2012 Sb., občanský zákoník, ve znění pozdějších předpisů (dále jen „občanský</w:t>
      </w:r>
      <w:r w:rsidR="00275060" w:rsidRPr="001C30A0">
        <w:rPr>
          <w:rFonts w:ascii="Georgia" w:hAnsi="Georgia" w:cs="Georgia"/>
        </w:rPr>
        <w:t> </w:t>
      </w:r>
      <w:r w:rsidRPr="001C30A0">
        <w:rPr>
          <w:rFonts w:ascii="Georgia" w:hAnsi="Georgia" w:cs="Georgia"/>
        </w:rPr>
        <w:t>zákoník“) následující dodatek č. 1 (dále jen „Dodatek</w:t>
      </w:r>
      <w:r w:rsidR="00AD0E9A" w:rsidRPr="001C30A0">
        <w:rPr>
          <w:rFonts w:ascii="Georgia" w:hAnsi="Georgia" w:cs="Georgia"/>
        </w:rPr>
        <w:t>“</w:t>
      </w:r>
      <w:r w:rsidRPr="001C30A0">
        <w:rPr>
          <w:rFonts w:ascii="Georgia" w:hAnsi="Georgia" w:cs="Georgia"/>
        </w:rPr>
        <w:t>):</w:t>
      </w:r>
    </w:p>
    <w:p w14:paraId="12F74CCC" w14:textId="77777777" w:rsidR="006612F0" w:rsidRPr="001C30A0" w:rsidRDefault="006612F0" w:rsidP="006612F0">
      <w:pPr>
        <w:jc w:val="center"/>
        <w:rPr>
          <w:rFonts w:ascii="Georgia" w:hAnsi="Georgia"/>
        </w:rPr>
      </w:pPr>
    </w:p>
    <w:p w14:paraId="3449ED93" w14:textId="77777777" w:rsidR="006612F0" w:rsidRPr="001C30A0" w:rsidRDefault="006612F0" w:rsidP="006612F0">
      <w:pPr>
        <w:jc w:val="center"/>
        <w:rPr>
          <w:rFonts w:ascii="Georgia" w:hAnsi="Georgia"/>
          <w:b/>
        </w:rPr>
      </w:pPr>
      <w:r w:rsidRPr="001C30A0">
        <w:rPr>
          <w:rFonts w:ascii="Georgia" w:hAnsi="Georgia"/>
          <w:b/>
        </w:rPr>
        <w:t>I.</w:t>
      </w:r>
    </w:p>
    <w:p w14:paraId="132BF47A" w14:textId="732BA340" w:rsidR="00C8247F" w:rsidRPr="001C30A0" w:rsidRDefault="006612F0" w:rsidP="006612F0">
      <w:pPr>
        <w:pStyle w:val="Odstavecseseznamem"/>
        <w:numPr>
          <w:ilvl w:val="0"/>
          <w:numId w:val="2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t xml:space="preserve">Smluvní strany shodně konstatují, že </w:t>
      </w:r>
      <w:r w:rsidR="00275060" w:rsidRPr="001C30A0">
        <w:rPr>
          <w:rFonts w:ascii="Georgia" w:hAnsi="Georgia"/>
        </w:rPr>
        <w:t>obsahem Dodatku je změna harmonogramu uvedeného v čl</w:t>
      </w:r>
      <w:r w:rsidR="006B7CE9" w:rsidRPr="001C30A0">
        <w:rPr>
          <w:rFonts w:ascii="Georgia" w:hAnsi="Georgia"/>
        </w:rPr>
        <w:t>ánku</w:t>
      </w:r>
      <w:r w:rsidR="00275060" w:rsidRPr="001C30A0">
        <w:rPr>
          <w:rFonts w:ascii="Georgia" w:hAnsi="Georgia"/>
        </w:rPr>
        <w:t xml:space="preserve"> IV. odst. 1 Smlouvy</w:t>
      </w:r>
      <w:r w:rsidR="009F1A2C" w:rsidRPr="001C30A0">
        <w:rPr>
          <w:rFonts w:ascii="Georgia" w:hAnsi="Georgia"/>
        </w:rPr>
        <w:t xml:space="preserve"> s tím, že s</w:t>
      </w:r>
      <w:r w:rsidR="00C8247F" w:rsidRPr="001C30A0">
        <w:rPr>
          <w:rFonts w:ascii="Georgia" w:hAnsi="Georgia"/>
        </w:rPr>
        <w:t xml:space="preserve">mluvní strany se dohodly na </w:t>
      </w:r>
      <w:r w:rsidR="00AD0E9A" w:rsidRPr="001C30A0">
        <w:rPr>
          <w:rFonts w:ascii="Georgia" w:hAnsi="Georgia"/>
        </w:rPr>
        <w:t>změně</w:t>
      </w:r>
      <w:r w:rsidR="00C8247F" w:rsidRPr="001C30A0">
        <w:rPr>
          <w:rFonts w:ascii="Georgia" w:hAnsi="Georgia"/>
        </w:rPr>
        <w:t xml:space="preserve"> </w:t>
      </w:r>
      <w:r w:rsidR="009F1A2C" w:rsidRPr="001C30A0">
        <w:rPr>
          <w:rFonts w:ascii="Georgia" w:hAnsi="Georgia"/>
        </w:rPr>
        <w:t>harmonogramu plnění n</w:t>
      </w:r>
      <w:r w:rsidR="00AD0E9A" w:rsidRPr="001C30A0">
        <w:rPr>
          <w:rFonts w:ascii="Georgia" w:hAnsi="Georgia"/>
        </w:rPr>
        <w:t>íže uvedeným</w:t>
      </w:r>
      <w:r w:rsidR="009F1A2C" w:rsidRPr="001C30A0">
        <w:rPr>
          <w:rFonts w:ascii="Georgia" w:hAnsi="Georgia"/>
        </w:rPr>
        <w:t xml:space="preserve"> způsobem. </w:t>
      </w:r>
    </w:p>
    <w:p w14:paraId="184E9828" w14:textId="77777777" w:rsidR="00C8247F" w:rsidRPr="001C30A0" w:rsidRDefault="00C8247F" w:rsidP="00C8247F">
      <w:pPr>
        <w:pStyle w:val="Odstavecseseznamem"/>
        <w:jc w:val="both"/>
        <w:rPr>
          <w:rFonts w:ascii="Georgia" w:hAnsi="Georgia"/>
        </w:rPr>
      </w:pPr>
    </w:p>
    <w:p w14:paraId="1A2FF3FA" w14:textId="58F7242E" w:rsidR="00C8247F" w:rsidRPr="001C30A0" w:rsidRDefault="00C8247F" w:rsidP="006612F0">
      <w:pPr>
        <w:pStyle w:val="Odstavecseseznamem"/>
        <w:numPr>
          <w:ilvl w:val="0"/>
          <w:numId w:val="2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t>Ustanovení čl</w:t>
      </w:r>
      <w:r w:rsidR="006B7CE9" w:rsidRPr="001C30A0">
        <w:rPr>
          <w:rFonts w:ascii="Georgia" w:hAnsi="Georgia"/>
        </w:rPr>
        <w:t>ánku</w:t>
      </w:r>
      <w:r w:rsidRPr="001C30A0">
        <w:rPr>
          <w:rFonts w:ascii="Georgia" w:hAnsi="Georgia"/>
        </w:rPr>
        <w:t xml:space="preserve"> IV odst. 1 Smlouvy se mění tak, že</w:t>
      </w:r>
      <w:r w:rsidR="00AD0E9A" w:rsidRPr="001C30A0">
        <w:rPr>
          <w:rFonts w:ascii="Georgia" w:hAnsi="Georgia"/>
        </w:rPr>
        <w:t xml:space="preserve"> </w:t>
      </w:r>
      <w:r w:rsidRPr="001C30A0">
        <w:rPr>
          <w:rFonts w:ascii="Georgia" w:hAnsi="Georgia"/>
        </w:rPr>
        <w:t>konečný</w:t>
      </w:r>
      <w:r w:rsidR="00275060" w:rsidRPr="001C30A0">
        <w:rPr>
          <w:rFonts w:ascii="Georgia" w:hAnsi="Georgia"/>
        </w:rPr>
        <w:t xml:space="preserve"> termín pro odevzdání </w:t>
      </w:r>
      <w:r w:rsidR="00C2149F" w:rsidRPr="001C30A0">
        <w:rPr>
          <w:rFonts w:ascii="Georgia" w:hAnsi="Georgia"/>
        </w:rPr>
        <w:t xml:space="preserve">všech </w:t>
      </w:r>
      <w:r w:rsidR="00275060" w:rsidRPr="001C30A0">
        <w:rPr>
          <w:rFonts w:ascii="Georgia" w:hAnsi="Georgia"/>
        </w:rPr>
        <w:t>akceptovaných výstupů předmětu plnění</w:t>
      </w:r>
      <w:r w:rsidR="003F69A1">
        <w:rPr>
          <w:rFonts w:ascii="Georgia" w:hAnsi="Georgia"/>
        </w:rPr>
        <w:t xml:space="preserve"> je</w:t>
      </w:r>
      <w:r w:rsidR="00275060" w:rsidRPr="001C30A0">
        <w:rPr>
          <w:rFonts w:ascii="Georgia" w:hAnsi="Georgia"/>
        </w:rPr>
        <w:t xml:space="preserve"> do</w:t>
      </w:r>
      <w:r w:rsidRPr="001C30A0">
        <w:rPr>
          <w:rFonts w:ascii="Georgia" w:hAnsi="Georgia"/>
        </w:rPr>
        <w:t xml:space="preserve"> </w:t>
      </w:r>
      <w:r w:rsidR="00AD0E9A" w:rsidRPr="001C30A0">
        <w:rPr>
          <w:rFonts w:ascii="Georgia" w:hAnsi="Georgia"/>
        </w:rPr>
        <w:t>20. 11. 2023</w:t>
      </w:r>
      <w:r w:rsidR="000D4D18" w:rsidRPr="001C30A0">
        <w:rPr>
          <w:rFonts w:ascii="Georgia" w:hAnsi="Georgia"/>
        </w:rPr>
        <w:t>,</w:t>
      </w:r>
      <w:r w:rsidRPr="001C30A0">
        <w:rPr>
          <w:rFonts w:ascii="Georgia" w:hAnsi="Georgia"/>
        </w:rPr>
        <w:t xml:space="preserve"> přičemž termíny pro odevzdání jednotlivých částí předmětu plnění dle čl</w:t>
      </w:r>
      <w:r w:rsidR="00C92F23" w:rsidRPr="001C30A0">
        <w:rPr>
          <w:rFonts w:ascii="Georgia" w:hAnsi="Georgia"/>
        </w:rPr>
        <w:t>ánku</w:t>
      </w:r>
      <w:r w:rsidRPr="001C30A0">
        <w:rPr>
          <w:rFonts w:ascii="Georgia" w:hAnsi="Georgia"/>
        </w:rPr>
        <w:t xml:space="preserve"> III. odst</w:t>
      </w:r>
      <w:r w:rsidR="00C92F23" w:rsidRPr="001C30A0">
        <w:rPr>
          <w:rFonts w:ascii="Georgia" w:hAnsi="Georgia"/>
        </w:rPr>
        <w:t>.</w:t>
      </w:r>
      <w:r w:rsidRPr="001C30A0">
        <w:rPr>
          <w:rFonts w:ascii="Georgia" w:hAnsi="Georgia"/>
        </w:rPr>
        <w:t xml:space="preserve"> 1 </w:t>
      </w:r>
      <w:r w:rsidR="009F1A2C" w:rsidRPr="001C30A0">
        <w:rPr>
          <w:rFonts w:ascii="Georgia" w:hAnsi="Georgia"/>
        </w:rPr>
        <w:t>písm. a) až</w:t>
      </w:r>
      <w:r w:rsidR="00263D3C" w:rsidRPr="001C30A0">
        <w:rPr>
          <w:rFonts w:ascii="Georgia" w:hAnsi="Georgia"/>
        </w:rPr>
        <w:t> </w:t>
      </w:r>
      <w:r w:rsidR="00AD0E9A" w:rsidRPr="001C30A0">
        <w:rPr>
          <w:rFonts w:ascii="Georgia" w:hAnsi="Georgia"/>
        </w:rPr>
        <w:t>e</w:t>
      </w:r>
      <w:r w:rsidR="009F1A2C" w:rsidRPr="001C30A0">
        <w:rPr>
          <w:rFonts w:ascii="Georgia" w:hAnsi="Georgia"/>
        </w:rPr>
        <w:t xml:space="preserve">) </w:t>
      </w:r>
      <w:r w:rsidRPr="001C30A0">
        <w:rPr>
          <w:rFonts w:ascii="Georgia" w:hAnsi="Georgia"/>
        </w:rPr>
        <w:t xml:space="preserve">Smlouvy jsou následující: </w:t>
      </w:r>
    </w:p>
    <w:p w14:paraId="3CAF6F33" w14:textId="77777777" w:rsidR="00C8247F" w:rsidRPr="001C30A0" w:rsidRDefault="00C8247F" w:rsidP="00C8247F">
      <w:pPr>
        <w:pStyle w:val="Odstavecseseznamem"/>
        <w:rPr>
          <w:rFonts w:ascii="Georgia" w:hAnsi="Georgia"/>
        </w:rPr>
      </w:pPr>
    </w:p>
    <w:p w14:paraId="3149C5E7" w14:textId="5A20E146" w:rsidR="009F1A2C" w:rsidRPr="001C30A0" w:rsidRDefault="00C2149F" w:rsidP="00A129AF">
      <w:pPr>
        <w:pStyle w:val="Odstavecseseznamem"/>
        <w:numPr>
          <w:ilvl w:val="0"/>
          <w:numId w:val="4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t>zpracování byznys analýzy a byznys zadání – termín odevzdání nejpozději do 5. 5. 2023</w:t>
      </w:r>
      <w:r w:rsidR="00C8247F" w:rsidRPr="001C30A0">
        <w:rPr>
          <w:rFonts w:ascii="Georgia" w:hAnsi="Georgia"/>
        </w:rPr>
        <w:t>;</w:t>
      </w:r>
    </w:p>
    <w:p w14:paraId="763A089B" w14:textId="7B846364" w:rsidR="009F1A2C" w:rsidRPr="001C30A0" w:rsidRDefault="00C2149F" w:rsidP="00A129AF">
      <w:pPr>
        <w:pStyle w:val="Odstavecseseznamem"/>
        <w:numPr>
          <w:ilvl w:val="0"/>
          <w:numId w:val="4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t>vytvoření architektonického návrhu řešení – termín odevzdání nejpozději do 17. 7. 2023</w:t>
      </w:r>
      <w:r w:rsidR="00C8247F" w:rsidRPr="001C30A0">
        <w:rPr>
          <w:rFonts w:ascii="Georgia" w:hAnsi="Georgia"/>
        </w:rPr>
        <w:t>;</w:t>
      </w:r>
    </w:p>
    <w:p w14:paraId="2B690C69" w14:textId="5EF1CF18" w:rsidR="00C8247F" w:rsidRPr="001C30A0" w:rsidRDefault="00C2149F" w:rsidP="00B32676">
      <w:pPr>
        <w:pStyle w:val="Odstavecseseznamem"/>
        <w:numPr>
          <w:ilvl w:val="0"/>
          <w:numId w:val="4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lastRenderedPageBreak/>
        <w:t>detailní technická specifikace vytvořeného řešení – termín odevzdání nejpozději do 18. 9. 2023;</w:t>
      </w:r>
    </w:p>
    <w:p w14:paraId="780DD369" w14:textId="08491909" w:rsidR="00C8247F" w:rsidRDefault="00C2149F" w:rsidP="00C8247F">
      <w:pPr>
        <w:pStyle w:val="Odstavecseseznamem"/>
        <w:numPr>
          <w:ilvl w:val="0"/>
          <w:numId w:val="4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t>zpracování studie provedit</w:t>
      </w:r>
      <w:r w:rsidR="007941A7">
        <w:rPr>
          <w:rFonts w:ascii="Georgia" w:hAnsi="Georgia"/>
        </w:rPr>
        <w:t>elnosti</w:t>
      </w:r>
      <w:r w:rsidR="001B77A5">
        <w:rPr>
          <w:rFonts w:ascii="Georgia" w:hAnsi="Georgia"/>
        </w:rPr>
        <w:t xml:space="preserve"> </w:t>
      </w:r>
      <w:r w:rsidRPr="001C30A0">
        <w:rPr>
          <w:rFonts w:ascii="Georgia" w:hAnsi="Georgia"/>
        </w:rPr>
        <w:t>– termín odevzdání nejpozději do</w:t>
      </w:r>
      <w:r w:rsidR="006572F0">
        <w:rPr>
          <w:rFonts w:ascii="Georgia" w:hAnsi="Georgia"/>
        </w:rPr>
        <w:t> </w:t>
      </w:r>
      <w:r w:rsidRPr="001C30A0">
        <w:rPr>
          <w:rFonts w:ascii="Georgia" w:hAnsi="Georgia"/>
        </w:rPr>
        <w:t>2.</w:t>
      </w:r>
      <w:r w:rsidR="006572F0">
        <w:rPr>
          <w:rFonts w:ascii="Georgia" w:hAnsi="Georgia"/>
        </w:rPr>
        <w:t> </w:t>
      </w:r>
      <w:r w:rsidRPr="001C30A0">
        <w:rPr>
          <w:rFonts w:ascii="Georgia" w:hAnsi="Georgia"/>
        </w:rPr>
        <w:t>10.</w:t>
      </w:r>
      <w:r w:rsidR="006572F0">
        <w:rPr>
          <w:rFonts w:ascii="Georgia" w:hAnsi="Georgia"/>
        </w:rPr>
        <w:t> </w:t>
      </w:r>
      <w:r w:rsidRPr="001C30A0">
        <w:rPr>
          <w:rFonts w:ascii="Georgia" w:hAnsi="Georgia"/>
        </w:rPr>
        <w:t>2023;</w:t>
      </w:r>
    </w:p>
    <w:p w14:paraId="2EA2FA23" w14:textId="013EB3B1" w:rsidR="00ED525B" w:rsidRPr="003F69A1" w:rsidRDefault="00C2149F" w:rsidP="003432E5">
      <w:pPr>
        <w:pStyle w:val="Odstavecseseznamem"/>
        <w:numPr>
          <w:ilvl w:val="0"/>
          <w:numId w:val="4"/>
        </w:numPr>
        <w:jc w:val="both"/>
        <w:rPr>
          <w:rFonts w:ascii="Georgia" w:hAnsi="Georgia"/>
        </w:rPr>
      </w:pPr>
      <w:r w:rsidRPr="003F69A1">
        <w:rPr>
          <w:rFonts w:ascii="Georgia" w:hAnsi="Georgia"/>
        </w:rPr>
        <w:t xml:space="preserve">příprava </w:t>
      </w:r>
      <w:r w:rsidR="003F69A1" w:rsidRPr="003F69A1">
        <w:rPr>
          <w:rFonts w:ascii="Georgia" w:hAnsi="Georgia"/>
        </w:rPr>
        <w:t xml:space="preserve">formulářů OHA – termín odevzdání nejpozději do 2. 10. 2023, žádosti o financování z fondů EU - termín odevzdání nejpozději do 20. 10. 2023, a </w:t>
      </w:r>
      <w:r w:rsidRPr="003F69A1">
        <w:rPr>
          <w:rFonts w:ascii="Georgia" w:hAnsi="Georgia"/>
        </w:rPr>
        <w:t>zadávací dokumentace</w:t>
      </w:r>
      <w:r w:rsidR="00BF1669" w:rsidRPr="003F69A1">
        <w:rPr>
          <w:rFonts w:ascii="Georgia" w:hAnsi="Georgia"/>
        </w:rPr>
        <w:t xml:space="preserve"> - </w:t>
      </w:r>
      <w:r w:rsidRPr="003F69A1">
        <w:rPr>
          <w:rFonts w:ascii="Georgia" w:hAnsi="Georgia"/>
        </w:rPr>
        <w:t>termín odevzdání nejpozději do 20. 11. 2023</w:t>
      </w:r>
      <w:r w:rsidR="00ED525B" w:rsidRPr="003F69A1">
        <w:rPr>
          <w:rFonts w:ascii="Georgia" w:hAnsi="Georgia"/>
        </w:rPr>
        <w:t>.</w:t>
      </w:r>
    </w:p>
    <w:p w14:paraId="645512F4" w14:textId="6714601D" w:rsidR="00C2149F" w:rsidRPr="001C30A0" w:rsidRDefault="00C2149F" w:rsidP="003F69A1">
      <w:pPr>
        <w:pStyle w:val="Odstavecseseznamem"/>
        <w:ind w:left="1776"/>
        <w:jc w:val="both"/>
        <w:rPr>
          <w:rFonts w:ascii="Georgia" w:hAnsi="Georgia"/>
        </w:rPr>
      </w:pPr>
    </w:p>
    <w:p w14:paraId="6EC45A79" w14:textId="77777777" w:rsidR="000D4D18" w:rsidRPr="001C30A0" w:rsidRDefault="000D4D18" w:rsidP="000D4D18">
      <w:pPr>
        <w:pStyle w:val="Odstavecseseznamem"/>
        <w:jc w:val="both"/>
        <w:rPr>
          <w:rFonts w:ascii="Georgia" w:hAnsi="Georgia"/>
        </w:rPr>
      </w:pPr>
    </w:p>
    <w:p w14:paraId="69C8D6A9" w14:textId="77777777" w:rsidR="00E1117D" w:rsidRPr="001C30A0" w:rsidRDefault="00E1117D" w:rsidP="00E1117D">
      <w:pPr>
        <w:pStyle w:val="Odstavecseseznamem"/>
        <w:jc w:val="center"/>
        <w:rPr>
          <w:rFonts w:ascii="Georgia" w:hAnsi="Georgia"/>
          <w:b/>
        </w:rPr>
      </w:pPr>
      <w:r w:rsidRPr="001C30A0">
        <w:rPr>
          <w:rFonts w:ascii="Georgia" w:hAnsi="Georgia"/>
          <w:b/>
        </w:rPr>
        <w:t>II.</w:t>
      </w:r>
    </w:p>
    <w:p w14:paraId="58E009E1" w14:textId="77777777" w:rsidR="00E1117D" w:rsidRPr="001C30A0" w:rsidRDefault="00E1117D" w:rsidP="00E1117D">
      <w:pPr>
        <w:pStyle w:val="Odstavecseseznamem"/>
        <w:jc w:val="both"/>
        <w:rPr>
          <w:rFonts w:ascii="Georgia" w:hAnsi="Georgia"/>
        </w:rPr>
      </w:pPr>
    </w:p>
    <w:p w14:paraId="25E7D994" w14:textId="2250D774" w:rsidR="009F1A2C" w:rsidRDefault="00E1117D" w:rsidP="009F1A2C">
      <w:pPr>
        <w:pStyle w:val="Odstavecseseznamem"/>
        <w:numPr>
          <w:ilvl w:val="0"/>
          <w:numId w:val="6"/>
        </w:numPr>
        <w:jc w:val="both"/>
        <w:rPr>
          <w:rFonts w:ascii="Georgia" w:hAnsi="Georgia"/>
        </w:rPr>
      </w:pPr>
      <w:r w:rsidRPr="001C30A0">
        <w:rPr>
          <w:rFonts w:ascii="Georgia" w:hAnsi="Georgia"/>
        </w:rPr>
        <w:t xml:space="preserve">Ostatní ustanovení </w:t>
      </w:r>
      <w:r w:rsidR="001718A0" w:rsidRPr="001C30A0">
        <w:rPr>
          <w:rFonts w:ascii="Georgia" w:hAnsi="Georgia"/>
        </w:rPr>
        <w:t>S</w:t>
      </w:r>
      <w:r w:rsidRPr="001C30A0">
        <w:rPr>
          <w:rFonts w:ascii="Georgia" w:hAnsi="Georgia"/>
        </w:rPr>
        <w:t xml:space="preserve">mlouvy zůstávají </w:t>
      </w:r>
      <w:r w:rsidR="0037173F" w:rsidRPr="001C30A0">
        <w:rPr>
          <w:rFonts w:ascii="Georgia" w:hAnsi="Georgia"/>
        </w:rPr>
        <w:t xml:space="preserve">beze změny </w:t>
      </w:r>
      <w:r w:rsidRPr="001C30A0">
        <w:rPr>
          <w:rFonts w:ascii="Georgia" w:hAnsi="Georgia"/>
        </w:rPr>
        <w:t xml:space="preserve">platná a účinná. </w:t>
      </w:r>
      <w:r w:rsidR="009F1A2C" w:rsidRPr="001C30A0">
        <w:rPr>
          <w:rFonts w:ascii="Georgia" w:hAnsi="Georgia"/>
        </w:rPr>
        <w:t xml:space="preserve">Zejména nejsou dotčena ustanovení </w:t>
      </w:r>
      <w:r w:rsidR="001718A0" w:rsidRPr="001C30A0">
        <w:rPr>
          <w:rFonts w:ascii="Georgia" w:hAnsi="Georgia"/>
        </w:rPr>
        <w:t>S</w:t>
      </w:r>
      <w:r w:rsidR="009F1A2C" w:rsidRPr="001C30A0">
        <w:rPr>
          <w:rFonts w:ascii="Georgia" w:hAnsi="Georgia"/>
        </w:rPr>
        <w:t>mlouvy týkající se smluvních pokut, úroků z prodlení a náhrady škody.</w:t>
      </w:r>
    </w:p>
    <w:p w14:paraId="12665004" w14:textId="77777777" w:rsidR="008B1688" w:rsidRDefault="008B1688" w:rsidP="008B1688">
      <w:pPr>
        <w:pStyle w:val="Odstavecseseznamem"/>
        <w:jc w:val="both"/>
        <w:rPr>
          <w:rFonts w:ascii="Georgia" w:hAnsi="Georgia"/>
        </w:rPr>
      </w:pPr>
    </w:p>
    <w:p w14:paraId="11AAC445" w14:textId="41331139" w:rsidR="008B1688" w:rsidRPr="002C3943" w:rsidRDefault="008B1688" w:rsidP="009F1A2C">
      <w:pPr>
        <w:pStyle w:val="Odstavecseseznamem"/>
        <w:numPr>
          <w:ilvl w:val="0"/>
          <w:numId w:val="6"/>
        </w:numPr>
        <w:jc w:val="both"/>
        <w:rPr>
          <w:rFonts w:ascii="Georgia" w:hAnsi="Georgia"/>
        </w:rPr>
      </w:pPr>
      <w:r w:rsidRPr="002C3943">
        <w:rPr>
          <w:rFonts w:ascii="Georgia" w:hAnsi="Georgia"/>
        </w:rPr>
        <w:t>Pro vyloučen</w:t>
      </w:r>
      <w:r w:rsidR="00322398" w:rsidRPr="002C3943">
        <w:rPr>
          <w:rFonts w:ascii="Georgia" w:hAnsi="Georgia"/>
        </w:rPr>
        <w:t>í</w:t>
      </w:r>
      <w:r w:rsidRPr="002C3943">
        <w:rPr>
          <w:rFonts w:ascii="Georgia" w:hAnsi="Georgia"/>
        </w:rPr>
        <w:t xml:space="preserve"> jakýchkoliv pochybností tímto smluvní strany potvrzují, že změna harmonogramu dle čl. I tohoto Dodatku vznikla v důsledku okolností, které nebylo možno předvídat. </w:t>
      </w:r>
    </w:p>
    <w:p w14:paraId="4A92B844" w14:textId="77777777" w:rsidR="009F1A2C" w:rsidRPr="001C30A0" w:rsidRDefault="009F1A2C" w:rsidP="009F1A2C">
      <w:pPr>
        <w:pStyle w:val="Odstavecseseznamem"/>
        <w:jc w:val="both"/>
        <w:rPr>
          <w:rFonts w:ascii="Georgia" w:hAnsi="Georgia"/>
        </w:rPr>
      </w:pPr>
    </w:p>
    <w:p w14:paraId="79B3D6B3" w14:textId="23B93C19" w:rsidR="009F1A2C" w:rsidRPr="001C30A0" w:rsidRDefault="00E1117D" w:rsidP="00C8365D">
      <w:pPr>
        <w:pStyle w:val="Odstavecseseznamem"/>
        <w:numPr>
          <w:ilvl w:val="0"/>
          <w:numId w:val="6"/>
        </w:numPr>
        <w:jc w:val="both"/>
        <w:rPr>
          <w:rFonts w:ascii="Georgia" w:hAnsi="Georgia" w:cs="Times New Roman"/>
        </w:rPr>
      </w:pPr>
      <w:r w:rsidRPr="001C30A0">
        <w:rPr>
          <w:rFonts w:ascii="Georgia" w:hAnsi="Georgia"/>
        </w:rPr>
        <w:t xml:space="preserve">Dodatek </w:t>
      </w:r>
      <w:r w:rsidR="0037173F" w:rsidRPr="001C30A0">
        <w:rPr>
          <w:rFonts w:ascii="Georgia" w:hAnsi="Georgia"/>
        </w:rPr>
        <w:t xml:space="preserve">je nedílnou součástí </w:t>
      </w:r>
      <w:r w:rsidR="001718A0" w:rsidRPr="001C30A0">
        <w:rPr>
          <w:rFonts w:ascii="Georgia" w:hAnsi="Georgia"/>
        </w:rPr>
        <w:t>S</w:t>
      </w:r>
      <w:r w:rsidR="0037173F" w:rsidRPr="001C30A0">
        <w:rPr>
          <w:rFonts w:ascii="Georgia" w:hAnsi="Georgia"/>
        </w:rPr>
        <w:t xml:space="preserve">mlouvy a </w:t>
      </w:r>
      <w:r w:rsidRPr="001C30A0">
        <w:rPr>
          <w:rFonts w:ascii="Georgia" w:hAnsi="Georgia"/>
        </w:rPr>
        <w:t>nabývá platnosti dnem podpisu smluvními stranami a účinnosti dnem zveřejnění v registru smluv dle zákona č. 340/2015 Sb., o</w:t>
      </w:r>
      <w:r w:rsidR="00976242" w:rsidRPr="001C30A0">
        <w:rPr>
          <w:rFonts w:ascii="Georgia" w:hAnsi="Georgia"/>
        </w:rPr>
        <w:t> </w:t>
      </w:r>
      <w:r w:rsidRPr="001C30A0">
        <w:rPr>
          <w:rFonts w:ascii="Georgia" w:hAnsi="Georgia"/>
        </w:rPr>
        <w:t>zvláštních podmínkách účinnosti některých smluv, uveřejňování těchto smluv a</w:t>
      </w:r>
      <w:r w:rsidR="00976242" w:rsidRPr="001C30A0">
        <w:rPr>
          <w:rFonts w:ascii="Georgia" w:hAnsi="Georgia"/>
        </w:rPr>
        <w:t> </w:t>
      </w:r>
      <w:r w:rsidRPr="001C30A0">
        <w:rPr>
          <w:rFonts w:ascii="Georgia" w:hAnsi="Georgia"/>
        </w:rPr>
        <w:t>o</w:t>
      </w:r>
      <w:r w:rsidR="00976242" w:rsidRPr="001C30A0">
        <w:rPr>
          <w:rFonts w:ascii="Georgia" w:hAnsi="Georgia"/>
        </w:rPr>
        <w:t> </w:t>
      </w:r>
      <w:r w:rsidRPr="001C30A0">
        <w:rPr>
          <w:rFonts w:ascii="Georgia" w:hAnsi="Georgia"/>
        </w:rPr>
        <w:t xml:space="preserve">registru smluv (zákon o registru smluv), ve znění pozdějších předpisů. Uveřejnění v registru smluv zajistí Objednatel. </w:t>
      </w:r>
    </w:p>
    <w:p w14:paraId="0340949B" w14:textId="77777777" w:rsidR="009F1A2C" w:rsidRPr="001C30A0" w:rsidRDefault="009F1A2C" w:rsidP="009F1A2C">
      <w:pPr>
        <w:pStyle w:val="Odstavecseseznamem"/>
        <w:jc w:val="both"/>
        <w:rPr>
          <w:rFonts w:ascii="Georgia" w:hAnsi="Georgia" w:cs="Times New Roman"/>
        </w:rPr>
      </w:pPr>
    </w:p>
    <w:p w14:paraId="63F159E1" w14:textId="77777777" w:rsidR="009F1A2C" w:rsidRPr="001C30A0" w:rsidRDefault="009F1A2C" w:rsidP="009F1A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1C30A0">
        <w:rPr>
          <w:rFonts w:ascii="Georgia" w:hAnsi="Georgia" w:cs="Times New Roman"/>
        </w:rPr>
        <w:t>Smluvní strany prohlašují, že Dodatek je sjednán na základě jejich pravé, vážné a</w:t>
      </w:r>
      <w:r w:rsidR="00976242" w:rsidRPr="001C30A0">
        <w:rPr>
          <w:rFonts w:ascii="Georgia" w:hAnsi="Georgia" w:cs="Times New Roman"/>
        </w:rPr>
        <w:t> </w:t>
      </w:r>
      <w:r w:rsidRPr="001C30A0">
        <w:rPr>
          <w:rFonts w:ascii="Georgia" w:hAnsi="Georgia" w:cs="Times New Roman"/>
        </w:rPr>
        <w:t>svobodné vůle, že si jeho obsah přečetly, bezvýhradně s ním souhlasí, považují jej za</w:t>
      </w:r>
      <w:r w:rsidR="00976242" w:rsidRPr="001C30A0">
        <w:rPr>
          <w:rFonts w:ascii="Georgia" w:hAnsi="Georgia" w:cs="Times New Roman"/>
        </w:rPr>
        <w:t> </w:t>
      </w:r>
      <w:r w:rsidRPr="001C30A0">
        <w:rPr>
          <w:rFonts w:ascii="Georgia" w:hAnsi="Georgia" w:cs="Times New Roman"/>
        </w:rPr>
        <w:t xml:space="preserve">zcela určitý a srozumitelný, což níže stvrzují svými vlastnoručními podpisy. </w:t>
      </w:r>
      <w:r w:rsidR="00E1117D" w:rsidRPr="001C30A0">
        <w:rPr>
          <w:rFonts w:ascii="Georgia" w:hAnsi="Georgia" w:cs="Times New Roman"/>
        </w:rPr>
        <w:t xml:space="preserve"> </w:t>
      </w:r>
    </w:p>
    <w:p w14:paraId="3D11F0C5" w14:textId="77777777" w:rsidR="009F1A2C" w:rsidRPr="001C30A0" w:rsidRDefault="009F1A2C" w:rsidP="009F1A2C">
      <w:pPr>
        <w:pStyle w:val="Odstavecseseznamem"/>
        <w:rPr>
          <w:rFonts w:ascii="Georgia" w:hAnsi="Georgia" w:cs="Georgia"/>
        </w:rPr>
      </w:pPr>
    </w:p>
    <w:p w14:paraId="31AC6395" w14:textId="05310152" w:rsidR="009F1A2C" w:rsidRDefault="009F1A2C" w:rsidP="009F1A2C">
      <w:pPr>
        <w:ind w:left="426" w:hanging="11"/>
        <w:rPr>
          <w:rFonts w:ascii="Georgia" w:hAnsi="Georgia"/>
        </w:rPr>
      </w:pPr>
    </w:p>
    <w:p w14:paraId="440C4B34" w14:textId="77777777" w:rsidR="007830FF" w:rsidRPr="001C30A0" w:rsidRDefault="007830FF" w:rsidP="009F1A2C">
      <w:pPr>
        <w:ind w:left="426" w:hanging="11"/>
        <w:rPr>
          <w:rFonts w:ascii="Georgia" w:hAnsi="Georgia"/>
        </w:rPr>
      </w:pPr>
    </w:p>
    <w:p w14:paraId="3D752831" w14:textId="77777777" w:rsidR="009F1A2C" w:rsidRDefault="009F1A2C" w:rsidP="009F1A2C">
      <w:pPr>
        <w:ind w:left="426" w:hanging="11"/>
        <w:rPr>
          <w:rFonts w:ascii="Georgia" w:hAnsi="Georgia"/>
        </w:rPr>
      </w:pPr>
      <w:r w:rsidRPr="002C3943">
        <w:rPr>
          <w:rFonts w:ascii="Georgia" w:hAnsi="Georgia"/>
        </w:rPr>
        <w:t>…………………………………………</w:t>
      </w:r>
      <w:r w:rsidRPr="002C3943">
        <w:rPr>
          <w:rFonts w:ascii="Georgia" w:hAnsi="Georgia"/>
        </w:rPr>
        <w:tab/>
      </w:r>
      <w:r w:rsidRPr="002C3943">
        <w:rPr>
          <w:rFonts w:ascii="Georgia" w:hAnsi="Georgia"/>
        </w:rPr>
        <w:tab/>
      </w:r>
      <w:r w:rsidRPr="002C3943">
        <w:rPr>
          <w:rFonts w:ascii="Georgia" w:hAnsi="Georgia"/>
        </w:rPr>
        <w:tab/>
      </w:r>
      <w:r w:rsidRPr="002C3943">
        <w:rPr>
          <w:rFonts w:ascii="Georgia" w:hAnsi="Georgia"/>
        </w:rPr>
        <w:tab/>
      </w:r>
      <w:r w:rsidRPr="002C3943">
        <w:rPr>
          <w:rFonts w:ascii="Georgia" w:hAnsi="Georgia"/>
        </w:rPr>
        <w:tab/>
        <w:t>………………………………………</w:t>
      </w:r>
    </w:p>
    <w:p w14:paraId="5293AA34" w14:textId="537DA2E4" w:rsidR="006612F0" w:rsidRDefault="0066237D" w:rsidP="0066237D">
      <w:pPr>
        <w:tabs>
          <w:tab w:val="left" w:pos="870"/>
          <w:tab w:val="left" w:pos="930"/>
        </w:tabs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za Objednatele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za Zhotovitele</w:t>
      </w:r>
    </w:p>
    <w:p w14:paraId="34922D2A" w14:textId="77777777" w:rsidR="006612F0" w:rsidRDefault="006612F0" w:rsidP="006612F0">
      <w:pPr>
        <w:jc w:val="center"/>
        <w:rPr>
          <w:rFonts w:ascii="Georgia" w:hAnsi="Georgia"/>
        </w:rPr>
      </w:pPr>
    </w:p>
    <w:p w14:paraId="66DB7208" w14:textId="77777777" w:rsidR="006612F0" w:rsidRPr="006612F0" w:rsidRDefault="006612F0" w:rsidP="006612F0">
      <w:pPr>
        <w:jc w:val="center"/>
        <w:rPr>
          <w:rFonts w:ascii="Georgia" w:hAnsi="Georgia"/>
        </w:rPr>
      </w:pPr>
    </w:p>
    <w:sectPr w:rsidR="006612F0" w:rsidRPr="006612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CA6" w14:textId="77777777" w:rsidR="000A0505" w:rsidRDefault="000A0505" w:rsidP="00275060">
      <w:pPr>
        <w:spacing w:after="0" w:line="240" w:lineRule="auto"/>
      </w:pPr>
      <w:r>
        <w:separator/>
      </w:r>
    </w:p>
  </w:endnote>
  <w:endnote w:type="continuationSeparator" w:id="0">
    <w:p w14:paraId="65FE07FD" w14:textId="77777777" w:rsidR="000A0505" w:rsidRDefault="000A0505" w:rsidP="002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911"/>
      <w:docPartObj>
        <w:docPartGallery w:val="Page Numbers (Bottom of Page)"/>
        <w:docPartUnique/>
      </w:docPartObj>
    </w:sdtPr>
    <w:sdtEndPr/>
    <w:sdtContent>
      <w:p w14:paraId="7BB90A58" w14:textId="699CFE4D" w:rsidR="00275060" w:rsidRDefault="002750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7E">
          <w:rPr>
            <w:noProof/>
          </w:rPr>
          <w:t>1</w:t>
        </w:r>
        <w:r>
          <w:fldChar w:fldCharType="end"/>
        </w:r>
      </w:p>
    </w:sdtContent>
  </w:sdt>
  <w:p w14:paraId="04CEBB52" w14:textId="77777777" w:rsidR="00275060" w:rsidRDefault="00275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30F0" w14:textId="77777777" w:rsidR="000A0505" w:rsidRDefault="000A0505" w:rsidP="00275060">
      <w:pPr>
        <w:spacing w:after="0" w:line="240" w:lineRule="auto"/>
      </w:pPr>
      <w:r>
        <w:separator/>
      </w:r>
    </w:p>
  </w:footnote>
  <w:footnote w:type="continuationSeparator" w:id="0">
    <w:p w14:paraId="7C7302F9" w14:textId="77777777" w:rsidR="000A0505" w:rsidRDefault="000A0505" w:rsidP="0027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CC646F"/>
    <w:multiLevelType w:val="hybridMultilevel"/>
    <w:tmpl w:val="6AB51F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A0CE5"/>
    <w:multiLevelType w:val="hybridMultilevel"/>
    <w:tmpl w:val="F344133E"/>
    <w:lvl w:ilvl="0" w:tplc="4BD6A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97B"/>
    <w:multiLevelType w:val="hybridMultilevel"/>
    <w:tmpl w:val="04463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4224"/>
    <w:multiLevelType w:val="hybridMultilevel"/>
    <w:tmpl w:val="B3B0D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77C"/>
    <w:multiLevelType w:val="hybridMultilevel"/>
    <w:tmpl w:val="07442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00F"/>
    <w:multiLevelType w:val="hybridMultilevel"/>
    <w:tmpl w:val="9E129D20"/>
    <w:lvl w:ilvl="0" w:tplc="9BA8F5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B7B489F"/>
    <w:multiLevelType w:val="hybridMultilevel"/>
    <w:tmpl w:val="5BA66360"/>
    <w:lvl w:ilvl="0" w:tplc="058E5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58"/>
    <w:rsid w:val="000253D2"/>
    <w:rsid w:val="000A0505"/>
    <w:rsid w:val="000D4D18"/>
    <w:rsid w:val="00106794"/>
    <w:rsid w:val="0016130D"/>
    <w:rsid w:val="001718A0"/>
    <w:rsid w:val="0018041A"/>
    <w:rsid w:val="001B77A5"/>
    <w:rsid w:val="001C30A0"/>
    <w:rsid w:val="00263D3C"/>
    <w:rsid w:val="00275060"/>
    <w:rsid w:val="002C3943"/>
    <w:rsid w:val="0030441F"/>
    <w:rsid w:val="00322398"/>
    <w:rsid w:val="00331F62"/>
    <w:rsid w:val="0037173F"/>
    <w:rsid w:val="00376151"/>
    <w:rsid w:val="003F69A1"/>
    <w:rsid w:val="00425003"/>
    <w:rsid w:val="004B135D"/>
    <w:rsid w:val="004C21BB"/>
    <w:rsid w:val="005338FF"/>
    <w:rsid w:val="005472DC"/>
    <w:rsid w:val="005D7116"/>
    <w:rsid w:val="006030FF"/>
    <w:rsid w:val="006437D9"/>
    <w:rsid w:val="006572F0"/>
    <w:rsid w:val="006612F0"/>
    <w:rsid w:val="0066237D"/>
    <w:rsid w:val="006B7CE9"/>
    <w:rsid w:val="006E4605"/>
    <w:rsid w:val="007830FF"/>
    <w:rsid w:val="007941A7"/>
    <w:rsid w:val="00807A55"/>
    <w:rsid w:val="00826EBB"/>
    <w:rsid w:val="008B1688"/>
    <w:rsid w:val="00921431"/>
    <w:rsid w:val="00976242"/>
    <w:rsid w:val="009F0658"/>
    <w:rsid w:val="009F1A2C"/>
    <w:rsid w:val="00AD0E9A"/>
    <w:rsid w:val="00B02FEA"/>
    <w:rsid w:val="00B10BBE"/>
    <w:rsid w:val="00BF1669"/>
    <w:rsid w:val="00BF3C02"/>
    <w:rsid w:val="00C03850"/>
    <w:rsid w:val="00C2149F"/>
    <w:rsid w:val="00C8247F"/>
    <w:rsid w:val="00C92F23"/>
    <w:rsid w:val="00D8107E"/>
    <w:rsid w:val="00DA31ED"/>
    <w:rsid w:val="00DA58E2"/>
    <w:rsid w:val="00E1117D"/>
    <w:rsid w:val="00E87822"/>
    <w:rsid w:val="00EA7285"/>
    <w:rsid w:val="00ED525B"/>
    <w:rsid w:val="00ED61B3"/>
    <w:rsid w:val="00F66CE9"/>
    <w:rsid w:val="00F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40B"/>
  <w15:docId w15:val="{1FA5785A-EEDA-48E2-838C-3B91295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C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3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C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060"/>
  </w:style>
  <w:style w:type="paragraph" w:styleId="Zpat">
    <w:name w:val="footer"/>
    <w:basedOn w:val="Normln"/>
    <w:link w:val="ZpatChar"/>
    <w:uiPriority w:val="99"/>
    <w:unhideWhenUsed/>
    <w:rsid w:val="002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060"/>
  </w:style>
  <w:style w:type="paragraph" w:styleId="Zkladntext">
    <w:name w:val="Body Text"/>
    <w:link w:val="ZkladntextChar"/>
    <w:rsid w:val="00E111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1117D"/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cs-CZ"/>
    </w:rPr>
  </w:style>
  <w:style w:type="paragraph" w:customStyle="1" w:styleId="Default">
    <w:name w:val="Default"/>
    <w:rsid w:val="001067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06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7010-B777-4095-9BE4-288C46EF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Arendarčiková Radka</dc:creator>
  <cp:keywords/>
  <dc:description/>
  <cp:lastModifiedBy>Cahová Daniela</cp:lastModifiedBy>
  <cp:revision>2</cp:revision>
  <cp:lastPrinted>2023-04-19T13:29:00Z</cp:lastPrinted>
  <dcterms:created xsi:type="dcterms:W3CDTF">2023-05-05T07:14:00Z</dcterms:created>
  <dcterms:modified xsi:type="dcterms:W3CDTF">2023-05-05T07:14:00Z</dcterms:modified>
</cp:coreProperties>
</file>