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„Plnění předmětu tohoto Dodatku č. 10 před jeho účinností se považuje za plnění dle tohoto Dodatku č. 10 a práva a povinnosti z toho vzniklá se řídí tímto Dodatkem č. 10.“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nedotčené Dodatkem č. 10 ve znění platných Dodatků č. 1 až 9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10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10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10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10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10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0" w:val="left"/>
        </w:tabs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č. 10 a prohlašují, že si jej přečetly, s jeho obsahem souhlasí, že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2179" w:left="1372" w:right="1386" w:bottom="1838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0" w:right="0" w:bottom="18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1373" w:right="3303" w:bottom="1839" w:header="0" w:footer="3" w:gutter="0"/>
          <w:cols w:num="2" w:space="269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0" w:right="0" w:bottom="183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432560" cy="2622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Zdeněk Babka místopředseda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900000000000006pt;margin-top:1.pt;width:112.8pt;height:20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Zdeněk Babka místopředseda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180" w:left="3634" w:right="1383" w:bottom="183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10003155</wp:posOffset>
              </wp:positionV>
              <wp:extent cx="600710" cy="9144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74.30000000000001pt;margin-top:787.64999999999998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9964420</wp:posOffset>
              </wp:positionV>
              <wp:extent cx="5800090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000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49999999999997pt;margin-top:784.60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773430</wp:posOffset>
              </wp:positionV>
              <wp:extent cx="2231390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3139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157/KSÚSV/HB/10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prodávajícího: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15-1/PRO/2010/003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5pt;margin-top:60.899999999999999pt;width:175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157/KSÚSV/HB/10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prodávajícího: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15-1/PRO/2010/003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1067435</wp:posOffset>
              </wp:positionV>
              <wp:extent cx="58610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610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75pt;margin-top:84.049999999999997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ind w:left="27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D O D A T E K   č</dc:title>
  <dc:subject/>
  <dc:creator>baranovic</dc:creator>
  <cp:keywords/>
</cp:coreProperties>
</file>