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E109835" w14:textId="77777777" w:rsidR="00395FE7" w:rsidRDefault="00395FE7" w:rsidP="00726B26">
      <w:pPr>
        <w:rPr>
          <w:b/>
        </w:rPr>
      </w:pPr>
      <w:proofErr w:type="spellStart"/>
      <w:r w:rsidRPr="00395FE7">
        <w:rPr>
          <w:b/>
        </w:rPr>
        <w:t>Alliance</w:t>
      </w:r>
      <w:proofErr w:type="spellEnd"/>
      <w:r w:rsidRPr="00395FE7">
        <w:rPr>
          <w:b/>
        </w:rPr>
        <w:t xml:space="preserve"> </w:t>
      </w:r>
      <w:proofErr w:type="spellStart"/>
      <w:r w:rsidRPr="00395FE7">
        <w:rPr>
          <w:b/>
        </w:rPr>
        <w:t>Healthcare</w:t>
      </w:r>
      <w:proofErr w:type="spellEnd"/>
      <w:r w:rsidRPr="00395FE7">
        <w:rPr>
          <w:b/>
        </w:rPr>
        <w:t xml:space="preserve"> s.r.o.</w:t>
      </w:r>
    </w:p>
    <w:p w14:paraId="62F78EE6" w14:textId="06225D60" w:rsidR="00726B26" w:rsidRDefault="00726B26" w:rsidP="00726B26">
      <w:r>
        <w:t>IČ</w:t>
      </w:r>
      <w:r w:rsidR="003C3580">
        <w:t>O</w:t>
      </w:r>
      <w:r>
        <w:t xml:space="preserve">: </w:t>
      </w:r>
      <w:r w:rsidR="00395FE7" w:rsidRPr="00395FE7">
        <w:t>14707420</w:t>
      </w:r>
    </w:p>
    <w:p w14:paraId="62F78EE7" w14:textId="3376A57D" w:rsidR="00726B26" w:rsidRPr="00512AB9" w:rsidRDefault="00726B26" w:rsidP="00726B26">
      <w:r>
        <w:t xml:space="preserve">DIČ: </w:t>
      </w:r>
      <w:r w:rsidR="00395FE7" w:rsidRPr="00395FE7">
        <w:t>CZ14707420</w:t>
      </w:r>
    </w:p>
    <w:p w14:paraId="62F78EE8" w14:textId="76B549E9" w:rsidR="00726B26" w:rsidRPr="00512AB9" w:rsidRDefault="00726B26" w:rsidP="00726B26">
      <w:r>
        <w:t>se sídlem</w:t>
      </w:r>
      <w:r w:rsidRPr="00512AB9">
        <w:t xml:space="preserve">: </w:t>
      </w:r>
      <w:r w:rsidR="00395FE7" w:rsidRPr="00395FE7">
        <w:t>Podle Trati 624/7, 108 00, Praha 10 - Malešice</w:t>
      </w:r>
    </w:p>
    <w:p w14:paraId="62F78EE9" w14:textId="5A2A307F" w:rsidR="00726B26" w:rsidRPr="00512AB9" w:rsidRDefault="00726B26" w:rsidP="00726B26">
      <w:r>
        <w:t>zastoupena</w:t>
      </w:r>
      <w:r w:rsidRPr="00512AB9">
        <w:t xml:space="preserve">: </w:t>
      </w:r>
      <w:r w:rsidR="00395FE7">
        <w:t xml:space="preserve">Ing. Janem </w:t>
      </w:r>
      <w:proofErr w:type="spellStart"/>
      <w:r w:rsidR="00395FE7">
        <w:t>Rohrbacherem</w:t>
      </w:r>
      <w:proofErr w:type="spellEnd"/>
      <w:r w:rsidR="00395FE7">
        <w:t>, Ing. Michalem Kadlečkem</w:t>
      </w:r>
    </w:p>
    <w:p w14:paraId="62F78EEA" w14:textId="19222483" w:rsidR="00726B26" w:rsidRPr="00512AB9" w:rsidRDefault="00726B26" w:rsidP="00726B26">
      <w:r w:rsidRPr="00512AB9">
        <w:t xml:space="preserve">bankovní spojení: </w:t>
      </w:r>
      <w:r w:rsidR="00395FE7" w:rsidRPr="00395FE7">
        <w:t>ČSOB, a.s.</w:t>
      </w:r>
    </w:p>
    <w:p w14:paraId="552F496A" w14:textId="77777777" w:rsidR="00395FE7" w:rsidRDefault="00726B26" w:rsidP="00726B26">
      <w:r w:rsidRPr="00512AB9">
        <w:t xml:space="preserve">číslo účtu: </w:t>
      </w:r>
      <w:r w:rsidR="00395FE7" w:rsidRPr="00395FE7">
        <w:t>8010-0404243703/0300</w:t>
      </w:r>
    </w:p>
    <w:p w14:paraId="62F78EEC" w14:textId="37B45DB8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95FE7" w:rsidRPr="00395FE7">
        <w:t>Městským</w:t>
      </w:r>
      <w:r>
        <w:t xml:space="preserve"> </w:t>
      </w:r>
      <w:r w:rsidRPr="00652864">
        <w:t>soudem v </w:t>
      </w:r>
      <w:r w:rsidR="00395FE7" w:rsidRPr="00395FE7">
        <w:t>Praze</w:t>
      </w:r>
      <w:r w:rsidRPr="00652864">
        <w:t xml:space="preserve">, oddíl </w:t>
      </w:r>
      <w:r w:rsidR="00395FE7" w:rsidRPr="00395FE7">
        <w:t>C</w:t>
      </w:r>
      <w:r w:rsidRPr="00652864">
        <w:t xml:space="preserve">, vložka </w:t>
      </w:r>
      <w:r w:rsidR="00395FE7" w:rsidRPr="00395FE7">
        <w:t>87837</w:t>
      </w:r>
    </w:p>
    <w:p w14:paraId="62F78EED" w14:textId="77777777" w:rsidR="00726B26" w:rsidRPr="00395FE7" w:rsidRDefault="00726B26" w:rsidP="00726B26"/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77777777" w:rsidR="00726B26" w:rsidRPr="002B77A6" w:rsidRDefault="00726B26" w:rsidP="00726B26">
      <w:r w:rsidRPr="002B77A6">
        <w:t xml:space="preserve">se sídlem: Brno, Jihlavská 20, PSČ 625 00 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62F78F00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2F78F02" w14:textId="19F29207" w:rsidR="00014CFB" w:rsidRDefault="00014CFB" w:rsidP="00290F5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717C3C" w:rsidRPr="003153B5">
        <w:rPr>
          <w:b/>
        </w:rPr>
        <w:t>„</w:t>
      </w:r>
      <w:proofErr w:type="spellStart"/>
      <w:r w:rsidR="007E1FCA" w:rsidRPr="007E1FCA">
        <w:rPr>
          <w:b/>
          <w:color w:val="000000"/>
        </w:rPr>
        <w:t>Ranibizumabum</w:t>
      </w:r>
      <w:proofErr w:type="spellEnd"/>
      <w:r w:rsidR="00290F5B" w:rsidRPr="00C276AC">
        <w:rPr>
          <w:b/>
        </w:rPr>
        <w:t>“</w:t>
      </w:r>
      <w:r w:rsidR="00290F5B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673B12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Kupujícímu dodáváno postupně, a to dle potřeb Kupujícího, na základě jednostranných právních jednání Kupujícího (dále jen „Objednávky“ či jednotlivě „Objednávka“), </w:t>
      </w:r>
      <w:r>
        <w:lastRenderedPageBreak/>
        <w:t>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673B12">
      <w:pPr>
        <w:pStyle w:val="Odstavecsmlouvy"/>
        <w:numPr>
          <w:ilvl w:val="0"/>
          <w:numId w:val="0"/>
        </w:numPr>
      </w:pPr>
    </w:p>
    <w:p w14:paraId="62F78F0A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2936C594" w:rsidR="00014CFB" w:rsidRDefault="00014CFB" w:rsidP="00014CFB">
      <w:pPr>
        <w:pStyle w:val="Psmenoodstavce"/>
      </w:pPr>
      <w:r>
        <w:t xml:space="preserve">e-mailem na adresu </w:t>
      </w:r>
      <w:r w:rsidR="008014AE">
        <w:t>…………………….</w:t>
      </w:r>
      <w:r>
        <w:t>;</w:t>
      </w:r>
    </w:p>
    <w:p w14:paraId="62F78F14" w14:textId="1822DDA3" w:rsidR="00014CFB" w:rsidRDefault="00014CFB" w:rsidP="00014CFB">
      <w:pPr>
        <w:pStyle w:val="Psmenoodstavce"/>
      </w:pPr>
      <w:r>
        <w:t xml:space="preserve">faxem na telefonní číslo </w:t>
      </w:r>
      <w:r w:rsidR="008014AE">
        <w:t>…………………………</w:t>
      </w:r>
      <w:r>
        <w:t>;</w:t>
      </w:r>
    </w:p>
    <w:p w14:paraId="62F78F15" w14:textId="37265988" w:rsidR="00014CFB" w:rsidRDefault="00014CFB" w:rsidP="00014CFB">
      <w:pPr>
        <w:pStyle w:val="Psmenoodstavce"/>
      </w:pPr>
      <w:r>
        <w:t xml:space="preserve">v internetovém systému Prodávajícího na adrese </w:t>
      </w:r>
      <w:r w:rsidR="008014AE">
        <w:t>……………………</w:t>
      </w:r>
    </w:p>
    <w:p w14:paraId="62F78F1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7" w14:textId="7D6B8379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8014AE">
        <w:t>………………….</w:t>
      </w:r>
    </w:p>
    <w:p w14:paraId="62F78F1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9" w14:textId="395E789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8014AE">
        <w:t>……………………</w:t>
      </w:r>
      <w:proofErr w:type="gramStart"/>
      <w:r w:rsidR="008014AE">
        <w:t>…..</w:t>
      </w:r>
      <w:proofErr w:type="gramEnd"/>
    </w:p>
    <w:p w14:paraId="62F78F1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014CFB">
      <w:pPr>
        <w:pStyle w:val="Psmenoodstavce"/>
      </w:pPr>
      <w:r>
        <w:t>množství a druhy Zboží;</w:t>
      </w:r>
    </w:p>
    <w:p w14:paraId="62F78F1E" w14:textId="77777777" w:rsidR="00014CFB" w:rsidRDefault="00014CFB" w:rsidP="00014CFB">
      <w:pPr>
        <w:pStyle w:val="Psmenoodstavce"/>
      </w:pPr>
      <w:r>
        <w:t>místo dodání.</w:t>
      </w:r>
    </w:p>
    <w:p w14:paraId="62F78F1F" w14:textId="77777777" w:rsidR="00BE451F" w:rsidRDefault="00BE451F" w:rsidP="000C1FD1">
      <w:pPr>
        <w:jc w:val="center"/>
        <w:rPr>
          <w:b/>
          <w:bCs/>
        </w:rPr>
      </w:pP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4" w14:textId="1FC88CB2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547D89">
        <w:rPr>
          <w:b/>
        </w:rPr>
        <w:t xml:space="preserve">2 pracovních dnů </w:t>
      </w:r>
      <w:r>
        <w:t>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</w:t>
      </w:r>
      <w:r w:rsidR="00547D89">
        <w:br/>
      </w:r>
      <w:r w:rsidR="00806564">
        <w:t xml:space="preserve">v pracovních dnech v době od 6:00 hodin do 15:00 hodin nebo v sobotu v době od 8:00 hodin </w:t>
      </w:r>
      <w:r w:rsidR="00547D89">
        <w:br/>
      </w:r>
      <w:r w:rsidR="00806564">
        <w:t>do 12:00 hodin, ledaže se smluvní strany dohodnou jinak.</w:t>
      </w:r>
      <w:bookmarkEnd w:id="6"/>
    </w:p>
    <w:p w14:paraId="594B7AC1" w14:textId="77777777" w:rsidR="00BE64FF" w:rsidRDefault="00BE64FF" w:rsidP="00BE64FF">
      <w:pPr>
        <w:pStyle w:val="Odstavecseseznamem"/>
      </w:pPr>
    </w:p>
    <w:p w14:paraId="6EF2F7CD" w14:textId="16385318" w:rsidR="00BE64FF" w:rsidRDefault="00BE64FF" w:rsidP="00BE64FF">
      <w:pPr>
        <w:pStyle w:val="Odstavecsmlouvy"/>
      </w:pPr>
      <w:r>
        <w:t>V případě, že Prodávající není schopen (při splnění podmínek Smlouvy) dílčí plnění dodat či jej není schopen dodat v celém rozsahu, je povinen o této skutečnosti Kupujícího informovat formou  tzv. „</w:t>
      </w:r>
      <w:r>
        <w:rPr>
          <w:b/>
          <w:i/>
        </w:rPr>
        <w:t>defektního listu</w:t>
      </w:r>
      <w:r>
        <w:t>“ zaslaného</w:t>
      </w:r>
      <w:r w:rsidR="007E1FCA">
        <w:t xml:space="preserve"> do dvou hodin od doručení Objednávky</w:t>
      </w:r>
      <w:r>
        <w:t xml:space="preserve">. Z defektního listu musí </w:t>
      </w:r>
      <w:r>
        <w:lastRenderedPageBreak/>
        <w:t xml:space="preserve">vyplývat, v jakém rozsahu není Prodávající dílčí plnění schopen dodat. V rozsahu vymezeném defektním listem je pak oprávněn dílčí plnění nedodat. V takovém případě je Kupující oprávněn postupovat dle čl. </w:t>
      </w:r>
      <w:r w:rsidR="00D23BA8">
        <w:t>VIII. odst. 1</w:t>
      </w:r>
      <w:r>
        <w:t xml:space="preserve"> Smlouvy.</w:t>
      </w:r>
    </w:p>
    <w:p w14:paraId="62F78F2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6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62F78F2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8" w14:textId="4DBB5CFD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</w:t>
      </w:r>
      <w:r w:rsidR="006A590E">
        <w:t>4</w:t>
      </w:r>
      <w:r w:rsidR="00754D50">
        <w:t xml:space="preserve"> nebo vyšší</w:t>
      </w:r>
      <w:r w:rsidR="00806564">
        <w:t xml:space="preserve">, případně ve formátech XML nebo CSV sestavený tak, aby umožnil automatizovanou konverzi do formátu PDK verze </w:t>
      </w:r>
      <w:r w:rsidR="00B44C11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2F78F29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62F78F2A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62F78F2B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62F78F2D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62F78F2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62F78F2F" w14:textId="6FC39E54" w:rsidR="00EA4C8B" w:rsidRDefault="00EA4C8B" w:rsidP="003E07FA">
      <w:pPr>
        <w:pStyle w:val="Psmenoodstavce"/>
        <w:ind w:left="1418" w:firstLine="0"/>
      </w:pPr>
      <w:r w:rsidRPr="00512AB9">
        <w:t>údaje o šarži</w:t>
      </w:r>
      <w:r w:rsidR="0094188C">
        <w:rPr>
          <w:rStyle w:val="Znakapoznpodarou"/>
        </w:rPr>
        <w:footnoteReference w:id="1"/>
      </w:r>
      <w:r w:rsidRPr="00512AB9">
        <w:t xml:space="preserve"> a exspiraci </w:t>
      </w:r>
      <w:r>
        <w:t>Z</w:t>
      </w:r>
      <w:r w:rsidRPr="00512AB9">
        <w:t>boží</w:t>
      </w:r>
      <w:r>
        <w:t>;</w:t>
      </w:r>
    </w:p>
    <w:p w14:paraId="62F78F30" w14:textId="77777777" w:rsidR="00EA4C8B" w:rsidRDefault="00EA4C8B" w:rsidP="003E07FA">
      <w:pPr>
        <w:pStyle w:val="Psmenoodstavce"/>
        <w:ind w:left="1418" w:firstLine="0"/>
      </w:pPr>
      <w:r w:rsidRPr="00512AB9">
        <w:t>údaje o kódech SÚKL</w:t>
      </w:r>
      <w:r w:rsidR="00941D28">
        <w:t>;</w:t>
      </w:r>
    </w:p>
    <w:p w14:paraId="62F78F31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2F78F32" w14:textId="77777777" w:rsidR="006D5E44" w:rsidRDefault="00754D50" w:rsidP="003E07FA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2F78F33" w14:textId="366EBA58" w:rsidR="00EA4C8B" w:rsidRDefault="006D5E44" w:rsidP="003E07FA">
      <w:pPr>
        <w:pStyle w:val="Psmenoodstavce"/>
        <w:ind w:left="1418" w:firstLine="0"/>
      </w:pPr>
      <w:r>
        <w:t>u tzv. ZM</w:t>
      </w:r>
      <w:r w:rsidR="003E07FA">
        <w:t xml:space="preserve"> (</w:t>
      </w:r>
      <w:r w:rsidR="00653730">
        <w:t xml:space="preserve">zdravotnický </w:t>
      </w:r>
      <w:r w:rsidR="003E07FA">
        <w:t>materiál)</w:t>
      </w:r>
      <w:r>
        <w:t xml:space="preserve"> a LP</w:t>
      </w:r>
      <w:r w:rsidR="003E07FA">
        <w:t xml:space="preserve"> (léčivé přípravky)</w:t>
      </w:r>
      <w:r>
        <w:t xml:space="preserve">, kód </w:t>
      </w:r>
      <w:r w:rsidR="003E07FA">
        <w:t>Všeobecné zdravotní pojišťovny</w:t>
      </w:r>
      <w:r w:rsidR="00923251">
        <w:t xml:space="preserve"> (dále jen „</w:t>
      </w:r>
      <w:r w:rsidR="00923251" w:rsidRPr="00717C3C">
        <w:rPr>
          <w:b/>
        </w:rPr>
        <w:t>VZP</w:t>
      </w:r>
      <w:r w:rsidR="00923251">
        <w:t>“)</w:t>
      </w:r>
      <w:r w:rsidR="003E07FA">
        <w:t>, pokud je přidělen</w:t>
      </w:r>
      <w:r w:rsidR="00B57703">
        <w:t>.</w:t>
      </w:r>
    </w:p>
    <w:p w14:paraId="62F78F34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76F82EC7" w14:textId="4BBADE7D" w:rsidR="00921B6A" w:rsidRDefault="00014CFB" w:rsidP="009B37EC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2F78F3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3D" w14:textId="77777777" w:rsidR="00014CFB" w:rsidRPr="004E4993" w:rsidRDefault="00241316" w:rsidP="00014CFB">
      <w:pPr>
        <w:pStyle w:val="Odstavecsmlouvy"/>
      </w:pPr>
      <w:r w:rsidRPr="00EE6269">
        <w:rPr>
          <w:iCs/>
        </w:rPr>
        <w:lastRenderedPageBreak/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 xml:space="preserve">. Škoda na Zboží, která vznikla po přechodu jejího nebezpečí na Kupujícího, nemá vliv na jeho povinnost </w:t>
      </w:r>
      <w:r w:rsidRPr="004E4993">
        <w:rPr>
          <w:iCs/>
        </w:rPr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 w:rsidP="004E4993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62F78F42" w14:textId="77777777" w:rsidR="00014CFB" w:rsidRPr="004E4993" w:rsidRDefault="00014CFB" w:rsidP="00BC5EF7">
      <w:pPr>
        <w:pStyle w:val="Odstavecsmlouvy"/>
        <w:numPr>
          <w:ilvl w:val="0"/>
          <w:numId w:val="0"/>
        </w:numPr>
      </w:pPr>
    </w:p>
    <w:p w14:paraId="62F78F43" w14:textId="1A9E1ADB" w:rsidR="00014CFB" w:rsidRDefault="00014CFB" w:rsidP="00014CFB">
      <w:pPr>
        <w:pStyle w:val="Odstavecsmlouvy"/>
      </w:pPr>
      <w:r w:rsidRPr="004E4993">
        <w:t xml:space="preserve">V případě, že orgán státního dohledu nařídí stažení některého Zboží z oběhu, které </w:t>
      </w:r>
      <w:r w:rsidR="00CF1BA2" w:rsidRPr="004E4993">
        <w:t xml:space="preserve">již </w:t>
      </w:r>
      <w:r w:rsidRPr="004E4993">
        <w:t>Prodávající dodal Kupujícímu, je Prodávající povinen toto Zboží</w:t>
      </w:r>
      <w:r>
        <w:t xml:space="preserve">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3E791130" w14:textId="77777777" w:rsidR="007E1FCA" w:rsidRDefault="007E1FCA" w:rsidP="007E1FCA">
      <w:pPr>
        <w:pStyle w:val="Odstavecsmlouvy"/>
        <w:numPr>
          <w:ilvl w:val="0"/>
          <w:numId w:val="0"/>
        </w:numPr>
        <w:ind w:left="567"/>
      </w:pPr>
    </w:p>
    <w:p w14:paraId="5FFDB147" w14:textId="51A086EA" w:rsidR="007E1FCA" w:rsidRPr="003F56E9" w:rsidRDefault="007E1FCA" w:rsidP="007E1FCA">
      <w:pPr>
        <w:pStyle w:val="Odstavecsmlouvy"/>
      </w:pPr>
      <w:r w:rsidRPr="003F56E9">
        <w:t xml:space="preserve">V případě, že dojde v průběhu platnosti této smlouvy ke změně SÚKL kódu zboží, je prodávající povinen tuto skutečnost neprodleně oznámit kupujícímu na e-mail: </w:t>
      </w:r>
      <w:r w:rsidR="00CE6FD8">
        <w:rPr>
          <w:bdr w:val="none" w:sz="0" w:space="0" w:color="auto" w:frame="1"/>
          <w:shd w:val="clear" w:color="auto" w:fill="FFFFFF"/>
        </w:rPr>
        <w:t>……………</w:t>
      </w:r>
      <w:proofErr w:type="gramStart"/>
      <w:r w:rsidR="00CE6FD8">
        <w:rPr>
          <w:bdr w:val="none" w:sz="0" w:space="0" w:color="auto" w:frame="1"/>
          <w:shd w:val="clear" w:color="auto" w:fill="FFFFFF"/>
        </w:rPr>
        <w:t>…..</w:t>
      </w:r>
      <w:bookmarkStart w:id="8" w:name="_GoBack"/>
      <w:bookmarkEnd w:id="8"/>
      <w:proofErr w:type="gramEnd"/>
    </w:p>
    <w:p w14:paraId="4014E349" w14:textId="77777777" w:rsidR="007E1FCA" w:rsidRDefault="007E1FCA" w:rsidP="007E1FCA">
      <w:pPr>
        <w:pStyle w:val="Odstavecsmlouvy"/>
        <w:numPr>
          <w:ilvl w:val="0"/>
          <w:numId w:val="0"/>
        </w:numPr>
        <w:ind w:left="567"/>
      </w:pPr>
    </w:p>
    <w:p w14:paraId="62F78F4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2F78F4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49" w14:textId="5F8EEC80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4D17A9">
        <w:t xml:space="preserve">541/2020 </w:t>
      </w:r>
      <w:r>
        <w:t xml:space="preserve">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62F78F4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4B" w14:textId="2B77604B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13B9CC67" w14:textId="77777777" w:rsidR="00B468B6" w:rsidRDefault="00B468B6" w:rsidP="00B468B6"/>
    <w:p w14:paraId="70579518" w14:textId="578D0B9D" w:rsidR="00B468B6" w:rsidRDefault="00B468B6" w:rsidP="00B468B6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průměrnou roční míru inflace za předchozí kalendářní rok </w:t>
      </w:r>
      <w:r w:rsidRPr="006E1A4C">
        <w:t>zveřejněnou Českým statistickým úřadem, nejvýše však o 5 % (i v případě, že míra inflace za předchozí kalendářní rok bude vyšší) a to vždy k 1. 4. příslušného roku, počínaje 1. 4. 2021. Zvýšení jednotkových cen dle Přílohy č. 1 této smlouvy o inflaci je Prodávající povinen Kupujícímu oznámit nejpozději do 15. 3. příslušného roku, jinak toto právo navýšit jednotkové ceny dle Přílohy č. 1 této smlouvy v příslušném roce zaniká.</w:t>
      </w:r>
    </w:p>
    <w:p w14:paraId="59037288" w14:textId="7050593A" w:rsidR="00B468B6" w:rsidRPr="006E1A4C" w:rsidRDefault="00B468B6" w:rsidP="00B468B6">
      <w:pPr>
        <w:pStyle w:val="Odstavecsmlouvy"/>
        <w:numPr>
          <w:ilvl w:val="0"/>
          <w:numId w:val="0"/>
        </w:numPr>
      </w:pPr>
    </w:p>
    <w:p w14:paraId="1DB5E062" w14:textId="019D82C4" w:rsidR="00B468B6" w:rsidRDefault="00B468B6" w:rsidP="00B468B6">
      <w:pPr>
        <w:pStyle w:val="Odstavecsmlouvy"/>
      </w:pPr>
      <w:r w:rsidRPr="006E1A4C">
        <w:t>Ustanovení čl. V.</w:t>
      </w:r>
      <w:r w:rsidR="00222710">
        <w:t xml:space="preserve"> </w:t>
      </w:r>
      <w:r w:rsidRPr="006E1A4C">
        <w:t>4  této smlouvy se použije pouze v případě, že průměrná roční míra inflace za předchozí kalendářní rok bude vyšší nebo rovna 2 %. V případě záporné míry inflace se kupní cena nesnižuje.</w:t>
      </w:r>
    </w:p>
    <w:p w14:paraId="62F78F4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B936D70" w14:textId="2A549ABA" w:rsidR="00BC5EF7" w:rsidRDefault="005B45F7" w:rsidP="009B37EC">
      <w:pPr>
        <w:pStyle w:val="Odstavecsmlouvy"/>
      </w:pPr>
      <w:r w:rsidRPr="00ED558C">
        <w:rPr>
          <w:iCs/>
          <w:color w:val="000000"/>
          <w:shd w:val="clear" w:color="auto" w:fill="FFFFFF"/>
        </w:rPr>
        <w:t>Prodávající se zavazuje písemně informovat kupujícího o změně regulačních předpisů mající vliv na cenu léčivých přípravků, které jsou předmětem plnění této smlouvy. V případě, že dojde ke snížení/ zvýšení úhradových cen předmětu plnění, je prodávající povinen provést snížení/ zvýšení kupní ceny dodatkem k této smlouvě.</w:t>
      </w:r>
    </w:p>
    <w:p w14:paraId="1F8B1BD6" w14:textId="77777777" w:rsidR="006A0AF1" w:rsidRDefault="006A0AF1" w:rsidP="000C1FD1">
      <w:pPr>
        <w:pStyle w:val="Odstavecsmlouvy"/>
        <w:numPr>
          <w:ilvl w:val="0"/>
          <w:numId w:val="0"/>
        </w:numPr>
        <w:ind w:left="567"/>
      </w:pPr>
    </w:p>
    <w:p w14:paraId="41DA4617" w14:textId="77777777" w:rsidR="00BC5EF7" w:rsidRDefault="00BC5EF7" w:rsidP="00921B6A">
      <w:pPr>
        <w:pStyle w:val="Odstavecsmlouvy"/>
        <w:numPr>
          <w:ilvl w:val="0"/>
          <w:numId w:val="0"/>
        </w:numPr>
      </w:pPr>
    </w:p>
    <w:p w14:paraId="0AC094B6" w14:textId="77777777" w:rsidR="009B37EC" w:rsidRDefault="009B37EC" w:rsidP="00921B6A">
      <w:pPr>
        <w:pStyle w:val="Odstavecsmlouvy"/>
        <w:numPr>
          <w:ilvl w:val="0"/>
          <w:numId w:val="0"/>
        </w:numPr>
      </w:pPr>
    </w:p>
    <w:p w14:paraId="1915B401" w14:textId="77777777" w:rsidR="009B37EC" w:rsidRDefault="009B37EC" w:rsidP="00921B6A">
      <w:pPr>
        <w:pStyle w:val="Odstavecsmlouvy"/>
        <w:numPr>
          <w:ilvl w:val="0"/>
          <w:numId w:val="0"/>
        </w:numPr>
      </w:pPr>
    </w:p>
    <w:p w14:paraId="70A75271" w14:textId="77777777" w:rsidR="009B37EC" w:rsidRDefault="009B37EC" w:rsidP="00921B6A">
      <w:pPr>
        <w:pStyle w:val="Odstavecsmlouvy"/>
        <w:numPr>
          <w:ilvl w:val="0"/>
          <w:numId w:val="0"/>
        </w:numPr>
      </w:pPr>
    </w:p>
    <w:p w14:paraId="5E12AF36" w14:textId="77777777" w:rsidR="009B37EC" w:rsidRDefault="009B37EC" w:rsidP="00921B6A">
      <w:pPr>
        <w:pStyle w:val="Odstavecsmlouvy"/>
        <w:numPr>
          <w:ilvl w:val="0"/>
          <w:numId w:val="0"/>
        </w:numPr>
      </w:pPr>
    </w:p>
    <w:p w14:paraId="0DD895B1" w14:textId="77777777" w:rsidR="009B37EC" w:rsidRDefault="009B37EC" w:rsidP="00921B6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3" w14:textId="111BDCAE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395FE7">
        <w:t>ve formě tzv. sběrných faktur v denním intervalu</w:t>
      </w:r>
      <w:r w:rsidRPr="00512AB9">
        <w:t xml:space="preserve">. </w:t>
      </w:r>
    </w:p>
    <w:p w14:paraId="62F78F5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5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62F78F5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7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2F78F58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2F78F59" w14:textId="77777777" w:rsidR="000C1FD1" w:rsidRDefault="000C1FD1" w:rsidP="000C1FD1">
      <w:pPr>
        <w:pStyle w:val="Psmenoodstavce"/>
      </w:pPr>
      <w:r>
        <w:t>evidenční číslo daňového dokladu;</w:t>
      </w:r>
    </w:p>
    <w:p w14:paraId="62F78F5A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2F78F5B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2F78F5C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2F78F5D" w14:textId="77777777" w:rsidR="000C1FD1" w:rsidRDefault="000C1FD1" w:rsidP="000C1FD1">
      <w:pPr>
        <w:pStyle w:val="Psmenoodstavce"/>
      </w:pPr>
      <w:r>
        <w:t>datum splatnosti;</w:t>
      </w:r>
    </w:p>
    <w:p w14:paraId="62F78F5E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2F78F5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62F78F60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62F78F61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62F78F62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2F78F63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2F78F64" w14:textId="4E0CAB91" w:rsidR="00754D50" w:rsidRDefault="006D5E44" w:rsidP="00754D50">
      <w:pPr>
        <w:pStyle w:val="Psmenoodstavce"/>
      </w:pPr>
      <w:r>
        <w:t>u ZM</w:t>
      </w:r>
      <w:r w:rsidR="00923251">
        <w:t xml:space="preserve"> (</w:t>
      </w:r>
      <w:r w:rsidR="00653730">
        <w:t xml:space="preserve">zdravotnický </w:t>
      </w:r>
      <w:r w:rsidR="00923251">
        <w:t>materiál)</w:t>
      </w:r>
      <w:r>
        <w:t xml:space="preserve"> a LP</w:t>
      </w:r>
      <w:r w:rsidR="00923251">
        <w:t xml:space="preserve"> (léčivé přípravky)</w:t>
      </w:r>
      <w:r>
        <w:t>, kód VZP</w:t>
      </w:r>
      <w:r w:rsidR="00923251">
        <w:t>, pokud je přidělen.</w:t>
      </w:r>
    </w:p>
    <w:p w14:paraId="62F78F6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2F78F6F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 w:rsidP="009B37EC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</w:p>
    <w:p w14:paraId="7D9B6A77" w14:textId="72855D3C" w:rsidR="001A1056" w:rsidRDefault="001A1056" w:rsidP="001A1056">
      <w:pPr>
        <w:pStyle w:val="Odstavecsmlouvy"/>
        <w:numPr>
          <w:ilvl w:val="0"/>
          <w:numId w:val="0"/>
        </w:numPr>
        <w:ind w:left="567"/>
      </w:pPr>
    </w:p>
    <w:p w14:paraId="0156BFE3" w14:textId="77777777" w:rsidR="001A1056" w:rsidRPr="00BC5EF7" w:rsidRDefault="001A1056" w:rsidP="001A1056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9B37EC">
      <w:pPr>
        <w:pStyle w:val="Odstavecsmlouvy"/>
        <w:numPr>
          <w:ilvl w:val="0"/>
          <w:numId w:val="0"/>
        </w:numPr>
        <w:ind w:left="567" w:hanging="567"/>
      </w:pPr>
    </w:p>
    <w:p w14:paraId="62F78F75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2F473F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79294C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67A5387D" w:rsidR="00735D7D" w:rsidRPr="00735D7D" w:rsidRDefault="00735D7D" w:rsidP="0070760F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2B75B0AC" w:rsidR="00735D7D" w:rsidRPr="00735D7D" w:rsidRDefault="00735D7D" w:rsidP="0070760F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>či kartónech atd., je kupující oprávněn reklamovat u prodávajícího do jednoho měsíce od převzetí zboží.</w:t>
      </w:r>
    </w:p>
    <w:p w14:paraId="47991383" w14:textId="77777777" w:rsidR="00735D7D" w:rsidRPr="00B82F63" w:rsidRDefault="00735D7D" w:rsidP="00B82F63"/>
    <w:p w14:paraId="29ED296D" w14:textId="17355D03" w:rsidR="00735D7D" w:rsidRPr="00735D7D" w:rsidRDefault="00735D7D" w:rsidP="0070760F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19E2C74" w14:textId="77777777" w:rsidR="00735D7D" w:rsidRPr="00735D7D" w:rsidRDefault="0070760F" w:rsidP="00735D7D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zboží za zboží vadné nebo vrátit </w:t>
      </w:r>
      <w:r w:rsidR="00CD098E" w:rsidRPr="00735D7D">
        <w:t>K</w:t>
      </w:r>
      <w:r w:rsidRPr="00735D7D">
        <w:t xml:space="preserve">upujícímu cenu vadného zboží.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735D7D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735D7D">
      <w:pPr>
        <w:pStyle w:val="Odstavecsmlouvy"/>
        <w:numPr>
          <w:ilvl w:val="0"/>
          <w:numId w:val="0"/>
        </w:numPr>
        <w:ind w:left="567"/>
      </w:pPr>
    </w:p>
    <w:p w14:paraId="62F78F82" w14:textId="52576613" w:rsidR="00726B26" w:rsidRDefault="0070760F" w:rsidP="009B37EC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7AB20DA7" w14:textId="77777777" w:rsidR="009B37EC" w:rsidRDefault="009B37EC" w:rsidP="009B37EC">
      <w:pPr>
        <w:pStyle w:val="Odstavecsmlouvy"/>
        <w:numPr>
          <w:ilvl w:val="0"/>
          <w:numId w:val="0"/>
        </w:numPr>
      </w:pPr>
    </w:p>
    <w:p w14:paraId="395C206E" w14:textId="77777777" w:rsidR="009B37EC" w:rsidRPr="009B37EC" w:rsidRDefault="009B37EC" w:rsidP="009B37EC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01358049" w14:textId="7D05B040" w:rsidR="0010739D" w:rsidRDefault="0010739D" w:rsidP="00F34B44">
      <w:pPr>
        <w:pStyle w:val="Odstavecsmlouvy"/>
      </w:pPr>
      <w:r w:rsidRPr="00824804">
        <w:t>V případě nedodání zboží v návaznosti na </w:t>
      </w:r>
      <w:r>
        <w:t>defektní</w:t>
      </w:r>
      <w:r w:rsidRPr="00824804">
        <w:t xml:space="preserve"> list, prodlení prodávajícího s dodáním zboží </w:t>
      </w:r>
      <w:r w:rsidR="00BC06A8">
        <w:br/>
      </w:r>
      <w:r w:rsidRPr="00824804">
        <w:t>nebo s dodáním náhradního zboží při reklamaci vad zboží kupujícím, případně odmítne-li prodávající objednáv</w:t>
      </w:r>
      <w:r>
        <w:t>ku kupujícího či její část, je</w:t>
      </w:r>
      <w:r w:rsidRPr="00824804">
        <w:t xml:space="preserve"> kupující oprávněn nakoupit zboží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</w:t>
      </w:r>
      <w:r w:rsidRPr="00D24606">
        <w:rPr>
          <w:color w:val="000000"/>
          <w:shd w:val="clear" w:color="auto" w:fill="FFFFFF"/>
        </w:rPr>
        <w:t xml:space="preserve">kupujícímu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>vystavené kupujícím</w:t>
      </w:r>
      <w:r w:rsidRPr="00824804">
        <w:rPr>
          <w:color w:val="000000"/>
        </w:rPr>
        <w:t xml:space="preserve"> uhradit kupujícímu rozdíl mezi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kupujícím za zboží z volného trhu. </w:t>
      </w:r>
      <w:r w:rsidRPr="00824804">
        <w:t xml:space="preserve">Nárok kupujícího na náhradu škody není tímto ustanovením dotčen. </w:t>
      </w:r>
    </w:p>
    <w:p w14:paraId="5E477FF5" w14:textId="77777777" w:rsidR="00F34B44" w:rsidRPr="00824804" w:rsidRDefault="00F34B44" w:rsidP="00F34B44">
      <w:pPr>
        <w:pStyle w:val="Odstavecsmlouvy"/>
        <w:numPr>
          <w:ilvl w:val="0"/>
          <w:numId w:val="0"/>
        </w:numPr>
        <w:ind w:left="567"/>
      </w:pPr>
    </w:p>
    <w:p w14:paraId="7C872D6F" w14:textId="0B4047BE" w:rsidR="0010739D" w:rsidRPr="00F34B44" w:rsidRDefault="0010739D" w:rsidP="00F34B44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prodávající objednávku kupujícího či její část z důvodu stahování zboží z trhu na základě rozhodnutí SÚKL (doložené příslušným rozhodnutím SÚKL), nebo z důvodu výpadku dodávek/omezení výroby zboží delšího než šest měsíců (doložené prohlášením výrobce zboží), nevznikne kupujícímu v těchto případech nárok na úhradu rozdílu v ceně dle odst. 1 tohoto článku. Prodávající je povinen doložit kupujícímu podklady prokazující výše uvedené důvody prodlení nejpozději do 48 hodin od uplynutí termínu pro dodání zboží dle této smlouvy, nedohodnou-li </w:t>
      </w:r>
      <w:r w:rsidR="00BC06A8">
        <w:rPr>
          <w:color w:val="000000"/>
        </w:rPr>
        <w:br/>
      </w:r>
      <w:r w:rsidRPr="00D24606">
        <w:rPr>
          <w:color w:val="000000"/>
        </w:rPr>
        <w:t>se smluvní strany jinak.</w:t>
      </w:r>
    </w:p>
    <w:p w14:paraId="7804CBD1" w14:textId="77777777" w:rsidR="00F34B44" w:rsidRPr="00D24606" w:rsidRDefault="00F34B44" w:rsidP="00F34B44">
      <w:pPr>
        <w:pStyle w:val="Odstavecsmlouvy"/>
        <w:numPr>
          <w:ilvl w:val="0"/>
          <w:numId w:val="0"/>
        </w:numPr>
      </w:pPr>
    </w:p>
    <w:p w14:paraId="68E6EF03" w14:textId="77777777" w:rsidR="0010739D" w:rsidRDefault="0010739D" w:rsidP="00F34B44">
      <w:pPr>
        <w:pStyle w:val="Odstavecsmlouvy"/>
      </w:pPr>
      <w:r w:rsidRPr="00D24606">
        <w:t>Prodávající se zavazuje uhradit penalizační fakturu kupujícímu ve lhůtě do 10 dnů ode dne doručení výzvy k jejímu zaplacení.</w:t>
      </w:r>
    </w:p>
    <w:p w14:paraId="487896A1" w14:textId="77777777" w:rsidR="00F34B44" w:rsidRDefault="00F34B44" w:rsidP="00F34B44">
      <w:pPr>
        <w:pStyle w:val="Odstavecsmlouvy"/>
        <w:numPr>
          <w:ilvl w:val="0"/>
          <w:numId w:val="0"/>
        </w:numPr>
      </w:pPr>
    </w:p>
    <w:p w14:paraId="19674D37" w14:textId="1F507B10" w:rsidR="0010739D" w:rsidRPr="00BC5EF7" w:rsidRDefault="0010739D" w:rsidP="00F34B44">
      <w:pPr>
        <w:pStyle w:val="Odstavecsmlouvy"/>
      </w:pPr>
      <w:r w:rsidRPr="00D24606">
        <w:t>Zaplacením penalizační faktury není dotčeno právo kupujícího na náhradu škody v plné výši.</w:t>
      </w:r>
    </w:p>
    <w:p w14:paraId="2B09FE8A" w14:textId="77777777" w:rsidR="0010739D" w:rsidRPr="002B77A6" w:rsidRDefault="0010739D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CD44BEE" w14:textId="77777777" w:rsidR="005B45F7" w:rsidRDefault="005B45F7" w:rsidP="005B45F7">
      <w:pPr>
        <w:pStyle w:val="Odstavecsmlouvy"/>
      </w:pPr>
      <w:r>
        <w:t xml:space="preserve">Tato smlouva nabývá platnosti dnem podpisu obou smluvních stran a </w:t>
      </w:r>
      <w:r w:rsidRPr="00620E77">
        <w:rPr>
          <w:b/>
        </w:rPr>
        <w:t xml:space="preserve">účinnosti </w:t>
      </w:r>
      <w:r>
        <w:rPr>
          <w:b/>
        </w:rPr>
        <w:t xml:space="preserve">dnem </w:t>
      </w:r>
      <w:r w:rsidRPr="001B1B66">
        <w:rPr>
          <w:b/>
        </w:rPr>
        <w:t>uveřejnění</w:t>
      </w:r>
      <w:r>
        <w:t xml:space="preserve"> v registru smluv podle zákona o registru smluv a </w:t>
      </w:r>
      <w:r w:rsidRPr="009F5A27">
        <w:t xml:space="preserve">je uzavřena na dobu </w:t>
      </w:r>
      <w:r>
        <w:rPr>
          <w:b/>
        </w:rPr>
        <w:t>čtyř let.</w:t>
      </w:r>
    </w:p>
    <w:p w14:paraId="62F78F94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2F78F95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2F78F96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F34B44">
      <w:pPr>
        <w:pStyle w:val="Odstavecsmlouvy"/>
      </w:pPr>
      <w:r w:rsidRPr="00677000">
        <w:t xml:space="preserve"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</w:t>
      </w:r>
      <w:r w:rsidRPr="00677000">
        <w:lastRenderedPageBreak/>
        <w:t>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2F78F9C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2F78F9D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2F78F9E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2F78FA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BB2086" w14:textId="77777777" w:rsidR="00214703" w:rsidRPr="00766CF0" w:rsidRDefault="00214703" w:rsidP="00214703">
      <w:pPr>
        <w:pStyle w:val="Odstavecsmlouvy"/>
        <w:rPr>
          <w:snapToGrid w:val="0"/>
        </w:rPr>
      </w:pPr>
      <w:r w:rsidRPr="00766CF0">
        <w:rPr>
          <w:snapToGrid w:val="0"/>
        </w:rPr>
        <w:t>Tato smlouva je sepsána ve třech vyhotoveních stejné platnosti a závaznosti, přičemž Kupující obdrží dvě vyhotovení a Prodávající obdrží jedno vyhotovení. Případně je tato smlouva vyhotovena elektronicky a podepsána uznávaným elektronickým podpisem.</w:t>
      </w:r>
    </w:p>
    <w:p w14:paraId="62F78FA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A8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  <w:shd w:val="clear" w:color="auto" w:fill="auto"/>
          </w:tcPr>
          <w:p w14:paraId="62F78FAA" w14:textId="784530F6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95FE7" w:rsidRPr="00395FE7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8014AE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1134" w:type="dxa"/>
            <w:shd w:val="clear" w:color="auto" w:fill="auto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2F78FAC" w14:textId="1174541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8014AE">
              <w:rPr>
                <w:sz w:val="22"/>
                <w:szCs w:val="22"/>
              </w:rPr>
              <w:t xml:space="preserve"> 4. 5. 2023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2F78FB7" w14:textId="6EB7A2FE" w:rsidR="004A45B0" w:rsidRPr="00D722DC" w:rsidRDefault="00395FE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95FE7">
              <w:rPr>
                <w:b/>
                <w:sz w:val="22"/>
                <w:szCs w:val="22"/>
              </w:rPr>
              <w:t>Alliance</w:t>
            </w:r>
            <w:proofErr w:type="spellEnd"/>
            <w:r w:rsidRPr="00395FE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5FE7">
              <w:rPr>
                <w:b/>
                <w:sz w:val="22"/>
                <w:szCs w:val="22"/>
              </w:rPr>
              <w:t>Healthcare</w:t>
            </w:r>
            <w:proofErr w:type="spellEnd"/>
            <w:r w:rsidRPr="00395FE7">
              <w:rPr>
                <w:b/>
                <w:sz w:val="22"/>
                <w:szCs w:val="22"/>
              </w:rPr>
              <w:t xml:space="preserve"> s.r.o.</w:t>
            </w:r>
          </w:p>
          <w:p w14:paraId="62F78FB8" w14:textId="37C1F7AD" w:rsidR="004A45B0" w:rsidRPr="00D722DC" w:rsidRDefault="00395FE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95FE7">
              <w:rPr>
                <w:sz w:val="22"/>
                <w:szCs w:val="22"/>
              </w:rPr>
              <w:t>Ing. Jan Rohrbacher</w:t>
            </w:r>
          </w:p>
        </w:tc>
        <w:tc>
          <w:tcPr>
            <w:tcW w:w="1134" w:type="dxa"/>
            <w:shd w:val="clear" w:color="auto" w:fill="auto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1F2CBD45" w14:textId="70CBCFA6" w:rsidR="00395FE7" w:rsidRDefault="00395FE7" w:rsidP="00395FE7">
      <w:pPr>
        <w:tabs>
          <w:tab w:val="left" w:pos="2220"/>
        </w:tabs>
      </w:pPr>
      <w:r>
        <w:t xml:space="preserve">                          </w:t>
      </w:r>
      <w:r w:rsidRPr="00395FE7">
        <w:t>Ing. Michal Kadleček</w:t>
      </w:r>
    </w:p>
    <w:p w14:paraId="4EF06499" w14:textId="77777777" w:rsidR="000B47B1" w:rsidRDefault="000B47B1" w:rsidP="000B47B1">
      <w:pPr>
        <w:tabs>
          <w:tab w:val="left" w:pos="2565"/>
        </w:tabs>
        <w:sectPr w:rsidR="000B47B1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  <w:r>
        <w:t xml:space="preserve">                                   </w:t>
      </w:r>
      <w:r w:rsidRPr="000B47B1">
        <w:t>jednatelé</w:t>
      </w:r>
    </w:p>
    <w:p w14:paraId="62F78FBF" w14:textId="7750289B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tbl>
      <w:tblPr>
        <w:tblW w:w="13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992"/>
        <w:gridCol w:w="1276"/>
        <w:gridCol w:w="1417"/>
        <w:gridCol w:w="1134"/>
        <w:gridCol w:w="992"/>
        <w:gridCol w:w="993"/>
        <w:gridCol w:w="850"/>
        <w:gridCol w:w="992"/>
        <w:gridCol w:w="709"/>
        <w:gridCol w:w="1948"/>
      </w:tblGrid>
      <w:tr w:rsidR="000B47B1" w:rsidRPr="000B47B1" w14:paraId="51E93E6A" w14:textId="77777777" w:rsidTr="000B47B1">
        <w:trPr>
          <w:trHeight w:val="182"/>
        </w:trPr>
        <w:tc>
          <w:tcPr>
            <w:tcW w:w="13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14:paraId="15329E22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Ranibizumabum</w:t>
            </w:r>
            <w:proofErr w:type="spellEnd"/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 - 4 roky</w:t>
            </w:r>
          </w:p>
        </w:tc>
      </w:tr>
      <w:tr w:rsidR="000B47B1" w:rsidRPr="000B47B1" w14:paraId="79CD998F" w14:textId="77777777" w:rsidTr="000B47B1">
        <w:trPr>
          <w:trHeight w:val="182"/>
        </w:trPr>
        <w:tc>
          <w:tcPr>
            <w:tcW w:w="7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0C4DF5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17ADF4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7976E1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D27EB7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53F851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69F9FE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A85273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6FE30F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66BC20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4BCCE5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007304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4923D1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EFC7B8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0B47B1" w:rsidRPr="000B47B1" w14:paraId="677B8A58" w14:textId="77777777" w:rsidTr="000B47B1">
        <w:trPr>
          <w:trHeight w:val="5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88FA3C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ATC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F4B03B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Účinná látka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199881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Kód SÚKL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FC7B3C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1075A0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Síla a léková forma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7D6A3E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Velikost balení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361B4AC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Způsob dodání (přímo/distributor)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65D16C1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Úhrada z veřejného zdravotního pojištění*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C3ED603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Cena 1 balení (Kč bez DPH)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1A4FA25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10%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1D3B1B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Cena 1 balení (Kč vč. DPH)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971303B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Počet balení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5434D5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Nabídková cena za daný počet balení (Kč bez DPH)</w:t>
            </w:r>
          </w:p>
        </w:tc>
      </w:tr>
      <w:tr w:rsidR="000B47B1" w:rsidRPr="000B47B1" w14:paraId="5D958AF3" w14:textId="77777777" w:rsidTr="000B47B1">
        <w:trPr>
          <w:trHeight w:val="3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77504D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S01LA04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5056E4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proofErr w:type="spellStart"/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Ranibizumabum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1"/>
            <w:noWrap/>
            <w:vAlign w:val="bottom"/>
            <w:hideMark/>
          </w:tcPr>
          <w:p w14:paraId="42223628" w14:textId="77777777" w:rsidR="000B47B1" w:rsidRPr="000B47B1" w:rsidRDefault="000B47B1" w:rsidP="000B47B1">
            <w:pPr>
              <w:spacing w:line="240" w:lineRule="auto"/>
              <w:jc w:val="right"/>
              <w:rPr>
                <w:rFonts w:ascii="Cambria" w:hAnsi="Cambria" w:cs="Calibri"/>
                <w:sz w:val="18"/>
                <w:szCs w:val="18"/>
              </w:rPr>
            </w:pPr>
            <w:r w:rsidRPr="000B47B1">
              <w:rPr>
                <w:rFonts w:ascii="Cambria" w:hAnsi="Cambria" w:cs="Calibri"/>
                <w:sz w:val="18"/>
                <w:szCs w:val="18"/>
              </w:rPr>
              <w:t>194569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1"/>
            <w:noWrap/>
            <w:vAlign w:val="bottom"/>
            <w:hideMark/>
          </w:tcPr>
          <w:p w14:paraId="35846164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0B47B1">
              <w:rPr>
                <w:rFonts w:ascii="Cambria" w:hAnsi="Cambria" w:cs="Calibri"/>
                <w:sz w:val="18"/>
                <w:szCs w:val="18"/>
              </w:rPr>
              <w:t>LUCENTIS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1"/>
            <w:vAlign w:val="bottom"/>
            <w:hideMark/>
          </w:tcPr>
          <w:p w14:paraId="32991065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0B47B1">
              <w:rPr>
                <w:rFonts w:ascii="Cambria" w:hAnsi="Cambria" w:cs="Calibri"/>
                <w:sz w:val="18"/>
                <w:szCs w:val="18"/>
              </w:rPr>
              <w:t>10MG/ML INJ SOL 1X0,165ML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16CF14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IVI INJ SOL 1.65MG/0.165ML, stříkačka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E1"/>
            <w:noWrap/>
            <w:vAlign w:val="bottom"/>
            <w:hideMark/>
          </w:tcPr>
          <w:p w14:paraId="47130AAE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0B47B1">
              <w:rPr>
                <w:rFonts w:ascii="Cambria" w:hAnsi="Cambria" w:cs="Calibri"/>
                <w:sz w:val="18"/>
                <w:szCs w:val="18"/>
              </w:rPr>
              <w:t>distributor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E1"/>
            <w:noWrap/>
            <w:vAlign w:val="bottom"/>
            <w:hideMark/>
          </w:tcPr>
          <w:p w14:paraId="408D9BF0" w14:textId="1B4BFABD" w:rsidR="000B47B1" w:rsidRPr="000B47B1" w:rsidRDefault="008014AE" w:rsidP="000B47B1">
            <w:pPr>
              <w:spacing w:line="240" w:lineRule="auto"/>
              <w:jc w:val="right"/>
              <w:rPr>
                <w:rFonts w:ascii="Cambria" w:hAnsi="Cambria" w:cs="Calibri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E1"/>
            <w:noWrap/>
            <w:vAlign w:val="bottom"/>
            <w:hideMark/>
          </w:tcPr>
          <w:p w14:paraId="13A42127" w14:textId="5B69D411" w:rsidR="000B47B1" w:rsidRPr="000B47B1" w:rsidRDefault="008014AE" w:rsidP="000B47B1">
            <w:pPr>
              <w:spacing w:line="240" w:lineRule="auto"/>
              <w:jc w:val="right"/>
              <w:rPr>
                <w:rFonts w:ascii="Cambria" w:hAnsi="Cambria" w:cs="Calibri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E1"/>
            <w:noWrap/>
            <w:vAlign w:val="bottom"/>
            <w:hideMark/>
          </w:tcPr>
          <w:p w14:paraId="1A989C47" w14:textId="4D17251B" w:rsidR="000B47B1" w:rsidRPr="000B47B1" w:rsidRDefault="008014AE" w:rsidP="000B47B1">
            <w:pPr>
              <w:spacing w:line="240" w:lineRule="auto"/>
              <w:jc w:val="right"/>
              <w:rPr>
                <w:rFonts w:ascii="Cambria" w:hAnsi="Cambria" w:cs="Calibri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E1"/>
            <w:noWrap/>
            <w:vAlign w:val="bottom"/>
            <w:hideMark/>
          </w:tcPr>
          <w:p w14:paraId="6BB011BA" w14:textId="2CA6DA40" w:rsidR="000B47B1" w:rsidRPr="000B47B1" w:rsidRDefault="008014AE" w:rsidP="000B47B1">
            <w:pPr>
              <w:spacing w:line="240" w:lineRule="auto"/>
              <w:jc w:val="right"/>
              <w:rPr>
                <w:rFonts w:ascii="Cambria" w:hAnsi="Cambria" w:cs="Calibri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506C7" w14:textId="7A6C2C36" w:rsidR="000B47B1" w:rsidRPr="000B47B1" w:rsidRDefault="008014AE" w:rsidP="000B47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01E406" w14:textId="5F3D788E" w:rsidR="000B47B1" w:rsidRPr="000B47B1" w:rsidRDefault="008014AE" w:rsidP="000B47B1">
            <w:pPr>
              <w:spacing w:line="240" w:lineRule="auto"/>
              <w:jc w:val="right"/>
              <w:rPr>
                <w:rFonts w:ascii="Cambria" w:hAnsi="Cambria" w:cs="Calibri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sz w:val="18"/>
                <w:szCs w:val="18"/>
              </w:rPr>
              <w:t>xxxxxxx</w:t>
            </w:r>
            <w:proofErr w:type="spellEnd"/>
          </w:p>
        </w:tc>
      </w:tr>
      <w:tr w:rsidR="000B47B1" w:rsidRPr="000B47B1" w14:paraId="7ABD89E1" w14:textId="77777777" w:rsidTr="000B47B1">
        <w:trPr>
          <w:trHeight w:val="182"/>
        </w:trPr>
        <w:tc>
          <w:tcPr>
            <w:tcW w:w="7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08523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006908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CA1F2A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1A5E22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9A09F5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7CBA0C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FA2120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8189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D729BE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692C5C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D7AEC6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58A43E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A1AED8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0B47B1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B47B1" w:rsidRPr="000B47B1" w14:paraId="16E42581" w14:textId="77777777" w:rsidTr="000B47B1">
        <w:trPr>
          <w:trHeight w:val="182"/>
        </w:trPr>
        <w:tc>
          <w:tcPr>
            <w:tcW w:w="12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45F6EC7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Celková nabídková cena (Kč bez DPH)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29B3D0" w14:textId="77777777" w:rsidR="000B47B1" w:rsidRPr="000B47B1" w:rsidRDefault="000B47B1" w:rsidP="000B47B1">
            <w:pPr>
              <w:spacing w:line="240" w:lineRule="auto"/>
              <w:jc w:val="righ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B47B1">
              <w:rPr>
                <w:rFonts w:ascii="Cambria" w:hAnsi="Cambria" w:cs="Calibri"/>
                <w:b/>
                <w:bCs/>
                <w:sz w:val="18"/>
                <w:szCs w:val="18"/>
              </w:rPr>
              <w:t>37 494 384,00</w:t>
            </w:r>
          </w:p>
        </w:tc>
      </w:tr>
      <w:tr w:rsidR="000B47B1" w:rsidRPr="000B47B1" w14:paraId="442B73CC" w14:textId="77777777" w:rsidTr="000B47B1">
        <w:trPr>
          <w:trHeight w:val="182"/>
        </w:trPr>
        <w:tc>
          <w:tcPr>
            <w:tcW w:w="7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7F91EA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0DA5DC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A0B952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F254CF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AC50C1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A2E7DC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A5C466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6C8951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DCE9D4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03382A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8E8E67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F9FBE2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40C753" w14:textId="77777777" w:rsidR="000B47B1" w:rsidRPr="000B47B1" w:rsidRDefault="000B47B1" w:rsidP="000B47B1">
            <w:pPr>
              <w:spacing w:line="240" w:lineRule="auto"/>
              <w:jc w:val="lef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7B1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2F78FC4" w14:textId="77777777" w:rsidR="00AA34DF" w:rsidRDefault="00AA34DF" w:rsidP="00023008"/>
    <w:sectPr w:rsidR="00AA34DF" w:rsidSect="000B47B1">
      <w:pgSz w:w="16838" w:h="11906" w:orient="landscape"/>
      <w:pgMar w:top="902" w:right="1418" w:bottom="9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97A9E" w14:textId="77777777" w:rsidR="002930A7" w:rsidRDefault="002930A7" w:rsidP="006337DC">
      <w:r>
        <w:separator/>
      </w:r>
    </w:p>
  </w:endnote>
  <w:endnote w:type="continuationSeparator" w:id="0">
    <w:p w14:paraId="238779F7" w14:textId="77777777" w:rsidR="002930A7" w:rsidRDefault="002930A7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8FCA" w14:textId="481EB2E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E6FD8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8FCC" w14:textId="46382A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6FD8">
      <w:rPr>
        <w:noProof/>
      </w:rPr>
      <w:t>9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9F1FF" w14:textId="77777777" w:rsidR="002930A7" w:rsidRDefault="002930A7" w:rsidP="006337DC">
      <w:r>
        <w:separator/>
      </w:r>
    </w:p>
  </w:footnote>
  <w:footnote w:type="continuationSeparator" w:id="0">
    <w:p w14:paraId="7FDEA47C" w14:textId="77777777" w:rsidR="002930A7" w:rsidRDefault="002930A7" w:rsidP="006337DC">
      <w:r>
        <w:continuationSeparator/>
      </w:r>
    </w:p>
  </w:footnote>
  <w:footnote w:id="1">
    <w:p w14:paraId="1D4C0043" w14:textId="6E9BF2EF" w:rsidR="0094188C" w:rsidRPr="002F473F" w:rsidRDefault="0094188C" w:rsidP="0094188C">
      <w:pPr>
        <w:spacing w:before="60" w:line="240" w:lineRule="auto"/>
        <w:rPr>
          <w:rFonts w:asciiTheme="majorHAnsi" w:hAnsiTheme="majorHAnsi"/>
        </w:rPr>
      </w:pPr>
      <w:r w:rsidRPr="002F473F">
        <w:rPr>
          <w:rStyle w:val="Znakapoznpodarou"/>
          <w:sz w:val="16"/>
          <w:szCs w:val="16"/>
        </w:rPr>
        <w:footnoteRef/>
      </w:r>
      <w:r w:rsidRPr="002F473F">
        <w:t xml:space="preserve"> </w:t>
      </w:r>
      <w:r w:rsidRPr="002F473F">
        <w:rPr>
          <w:sz w:val="16"/>
          <w:szCs w:val="16"/>
        </w:rPr>
        <w:t>V případě, že je v rámci jedné dodávky dodáno zboží různých šarží, je prodávající povinen uvádět na dodacích listech počty kusů zboží s každou šarží samostatně.</w:t>
      </w:r>
    </w:p>
    <w:p w14:paraId="3127F576" w14:textId="5D799B69" w:rsidR="0094188C" w:rsidRDefault="0094188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3"/>
  </w:num>
  <w:num w:numId="13">
    <w:abstractNumId w:val="14"/>
  </w:num>
  <w:num w:numId="14">
    <w:abstractNumId w:val="2"/>
  </w:num>
  <w:num w:numId="15">
    <w:abstractNumId w:val="17"/>
  </w:num>
  <w:num w:numId="16">
    <w:abstractNumId w:val="5"/>
  </w:num>
  <w:num w:numId="17">
    <w:abstractNumId w:val="13"/>
  </w:num>
  <w:num w:numId="18">
    <w:abstractNumId w:val="7"/>
  </w:num>
  <w:num w:numId="19">
    <w:abstractNumId w:val="9"/>
  </w:num>
  <w:num w:numId="20">
    <w:abstractNumId w:val="9"/>
  </w:num>
  <w:num w:numId="21">
    <w:abstractNumId w:val="1"/>
  </w:num>
  <w:num w:numId="22">
    <w:abstractNumId w:val="10"/>
  </w:num>
  <w:num w:numId="23">
    <w:abstractNumId w:val="15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742F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B47B1"/>
    <w:rsid w:val="000C0B21"/>
    <w:rsid w:val="000C1507"/>
    <w:rsid w:val="000C1FD1"/>
    <w:rsid w:val="000C26CE"/>
    <w:rsid w:val="000C5285"/>
    <w:rsid w:val="000C7CF5"/>
    <w:rsid w:val="000D35F4"/>
    <w:rsid w:val="000D6CC1"/>
    <w:rsid w:val="000E4C60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54F"/>
    <w:rsid w:val="00145CD8"/>
    <w:rsid w:val="00150469"/>
    <w:rsid w:val="00150F89"/>
    <w:rsid w:val="0015378B"/>
    <w:rsid w:val="00154976"/>
    <w:rsid w:val="00154ACA"/>
    <w:rsid w:val="00155BC6"/>
    <w:rsid w:val="001604EA"/>
    <w:rsid w:val="001673D6"/>
    <w:rsid w:val="00183B7C"/>
    <w:rsid w:val="00195882"/>
    <w:rsid w:val="001976E5"/>
    <w:rsid w:val="001A1056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7B9D"/>
    <w:rsid w:val="00222710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7B45"/>
    <w:rsid w:val="00297F3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437C"/>
    <w:rsid w:val="00312202"/>
    <w:rsid w:val="003133A6"/>
    <w:rsid w:val="00315115"/>
    <w:rsid w:val="003153B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95FE7"/>
    <w:rsid w:val="003A1C2B"/>
    <w:rsid w:val="003A4E43"/>
    <w:rsid w:val="003A6ED7"/>
    <w:rsid w:val="003B1919"/>
    <w:rsid w:val="003B350F"/>
    <w:rsid w:val="003B7B17"/>
    <w:rsid w:val="003C1848"/>
    <w:rsid w:val="003C3580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17A9"/>
    <w:rsid w:val="004D4C0D"/>
    <w:rsid w:val="004D7A85"/>
    <w:rsid w:val="004E2A52"/>
    <w:rsid w:val="004E4993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5F7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13103"/>
    <w:rsid w:val="0062650E"/>
    <w:rsid w:val="0062677D"/>
    <w:rsid w:val="006337DC"/>
    <w:rsid w:val="006401C9"/>
    <w:rsid w:val="00641195"/>
    <w:rsid w:val="00646E8E"/>
    <w:rsid w:val="00653730"/>
    <w:rsid w:val="00657357"/>
    <w:rsid w:val="006714E5"/>
    <w:rsid w:val="00673B12"/>
    <w:rsid w:val="00674566"/>
    <w:rsid w:val="00677000"/>
    <w:rsid w:val="006778A2"/>
    <w:rsid w:val="00682B01"/>
    <w:rsid w:val="00684BFA"/>
    <w:rsid w:val="006913C4"/>
    <w:rsid w:val="006925A2"/>
    <w:rsid w:val="00692870"/>
    <w:rsid w:val="0069784C"/>
    <w:rsid w:val="006A0496"/>
    <w:rsid w:val="006A0AF1"/>
    <w:rsid w:val="006A590E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B298D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F0866"/>
    <w:rsid w:val="007F216E"/>
    <w:rsid w:val="007F2D01"/>
    <w:rsid w:val="008014AE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360F"/>
    <w:rsid w:val="00873B01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168D8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4A69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2F63"/>
    <w:rsid w:val="00B86A07"/>
    <w:rsid w:val="00B92D38"/>
    <w:rsid w:val="00B936A8"/>
    <w:rsid w:val="00B945BB"/>
    <w:rsid w:val="00B9584D"/>
    <w:rsid w:val="00B96027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E6FD8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3BA8"/>
    <w:rsid w:val="00D3341B"/>
    <w:rsid w:val="00D33510"/>
    <w:rsid w:val="00D35D83"/>
    <w:rsid w:val="00D4239D"/>
    <w:rsid w:val="00D441FB"/>
    <w:rsid w:val="00D52C27"/>
    <w:rsid w:val="00D54237"/>
    <w:rsid w:val="00D56060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56DE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2DWAXVAW3MHF-577884842-8</_dlc_DocId>
    <_dlc_DocIdUrl xmlns="a7e37686-00e6-405d-9032-d05dd3ba55a9">
      <Url>https://vis.fnbrno.cz/c012/WebVZVZ/_layouts/15/DocIdRedir.aspx?ID=2DWAXVAW3MHF-577884842-8</Url>
      <Description>2DWAXVAW3MHF-577884842-8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BB628A41C21469DC4031FD36A0BEA" ma:contentTypeVersion="3" ma:contentTypeDescription="Vytvoří nový dokument" ma:contentTypeScope="" ma:versionID="be124414a29db240cffce1c8051bd7eb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a7e37686-00e6-405d-9032-d05dd3ba55a9"/>
  </ds:schemaRefs>
</ds:datastoreItem>
</file>

<file path=customXml/itemProps3.xml><?xml version="1.0" encoding="utf-8"?>
<ds:datastoreItem xmlns:ds="http://schemas.openxmlformats.org/officeDocument/2006/customXml" ds:itemID="{8CC2EB7C-EA1F-4E17-8E1E-CA6F9086F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E12007-9EC3-49C4-BBF2-5C303803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3570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pro léky a zdravotnický materiál</vt:lpstr>
    </vt:vector>
  </TitlesOfParts>
  <Company>sV</Company>
  <LinksUpToDate>false</LinksUpToDate>
  <CharactersWithSpaces>24141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pro léky a zdravotnický materiál</dc:title>
  <dc:creator>sV</dc:creator>
  <cp:lastModifiedBy>Havelková Veronika</cp:lastModifiedBy>
  <cp:revision>42</cp:revision>
  <cp:lastPrinted>2018-11-27T10:11:00Z</cp:lastPrinted>
  <dcterms:created xsi:type="dcterms:W3CDTF">2020-08-10T07:55:00Z</dcterms:created>
  <dcterms:modified xsi:type="dcterms:W3CDTF">2023-05-04T13:10:00Z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0x010100D83BB628A41C21469DC4031FD36A0BEA</vt:lpwstr>
  </property>
</Properties>
</file>