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tbl>
      <w:tblPr>
        <w:tblOverlap w:val="never"/>
        <w:jc w:val="center"/>
        <w:tblLayout w:type="fixed"/>
      </w:tblPr>
      <w:tblGrid>
        <w:gridCol w:w="1834"/>
        <w:gridCol w:w="7147"/>
      </w:tblGrid>
      <w:tr>
        <w:trPr>
          <w:trHeight w:val="35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cs-CZ" w:eastAsia="cs-CZ" w:bidi="cs-CZ"/>
              </w:rPr>
              <w:t>DODATEK č . 15</w:t>
            </w:r>
          </w:p>
        </w:tc>
      </w:tr>
      <w:tr>
        <w:trPr>
          <w:trHeight w:val="122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ke kupní smlouv ě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420" w:line="252" w:lineRule="auto"/>
              <w:ind w:left="2000" w:right="0" w:hanging="20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„Asfaltová směs na výspravu za horka, Část V. - cestmistrovství Telč“, uzavřené dne 22. 4. 2010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2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Článek 1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Krajská správa a údržba silnic Vysočiny, příspěvková organizace</w:t>
      </w:r>
    </w:p>
    <w:tbl>
      <w:tblPr>
        <w:tblOverlap w:val="never"/>
        <w:jc w:val="center"/>
        <w:tblLayout w:type="fixed"/>
      </w:tblPr>
      <w:tblGrid>
        <w:gridCol w:w="1834"/>
        <w:gridCol w:w="7142"/>
      </w:tblGrid>
      <w:tr>
        <w:trPr>
          <w:trHeight w:val="28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se sídlem: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Kosovská 1122/16, 586 01 Jihlava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zastoupený: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Ing. Radovanem Necidem, ředitelem organizace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Bankovní spojení: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Komerční banka, a.s., číslo účtu: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IČO: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00090450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DIČ: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CZ00090450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Zřizovatel: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Kraj Vysočina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701" w:lineRule="exact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 xml:space="preserve">(na straně jedné, jako kupující)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STRABAG Asfalt s.r.o.</w:t>
      </w:r>
    </w:p>
    <w:tbl>
      <w:tblPr>
        <w:tblOverlap w:val="never"/>
        <w:jc w:val="center"/>
        <w:tblLayout w:type="fixed"/>
      </w:tblPr>
      <w:tblGrid>
        <w:gridCol w:w="1987"/>
        <w:gridCol w:w="6782"/>
      </w:tblGrid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se sídlem: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Na Švadlačkách 478, Soběslav II, 392 01 Soběslav</w:t>
            </w:r>
          </w:p>
        </w:tc>
      </w:tr>
      <w:tr>
        <w:trPr>
          <w:trHeight w:val="71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zastoupený: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Ing. Petrem Zachem, jednatelem společnosti</w:t>
            </w:r>
          </w:p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Ing. Karlem Helmou, jednatelem spole č nosti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Bankovní spojení: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Raiffeisenbank a.s.</w:t>
            </w:r>
          </w:p>
        </w:tc>
      </w:tr>
    </w:tbl>
    <w:p>
      <w:pPr>
        <w:widowControl w:val="0"/>
        <w:spacing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Číslo účtu:</w:t>
      </w:r>
    </w:p>
    <w:tbl>
      <w:tblPr>
        <w:tblOverlap w:val="never"/>
        <w:jc w:val="center"/>
        <w:tblLayout w:type="fixed"/>
      </w:tblPr>
      <w:tblGrid>
        <w:gridCol w:w="1987"/>
        <w:gridCol w:w="6782"/>
      </w:tblGrid>
      <w:tr>
        <w:trPr>
          <w:trHeight w:val="37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IČO: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25186183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DIČ: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cs-CZ" w:eastAsia="cs-CZ" w:bidi="cs-CZ"/>
              </w:rPr>
              <w:t>CZ25186183</w:t>
            </w:r>
          </w:p>
        </w:tc>
      </w:tr>
    </w:tbl>
    <w:p>
      <w:pPr>
        <w:widowControl w:val="0"/>
        <w:spacing w:after="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Společnost je zapsaná v obchodním rejstříku, vedeném Krajským soudem v Českých Budějovicích oddíl C, vložka 8452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(na straně druhé jako prodávající)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0" w:name="bookmark0"/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Článek 2</w:t>
      </w:r>
      <w:bookmarkEnd w:id="0"/>
      <w:bookmarkEnd w:id="1"/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06" w:val="left"/>
        </w:tabs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 xml:space="preserve">Smluvní strany se vzájemně dohodly na změně stávající smlouvy číslo kupujícího 41/KSÚSV/JI/10 ze dne 22. 4. 2010, spočívající ve změně ceny plnění v souladu s odst. 11.2.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 xml:space="preserve">Článku 11. Závěrečná ustanovení </w:t>
      </w: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 xml:space="preserve">po naplnění podmínek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 xml:space="preserve">Článku 9. Inflační doložka </w:t>
      </w: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smlouvy na základě ročního růstu indexu spotřebitelských cen vyhlášených Českým statistickým úřadem za rok 2022.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06" w:val="left"/>
        </w:tabs>
        <w:bidi w:val="0"/>
        <w:spacing w:before="0" w:after="6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 xml:space="preserve">Předmět plnění dle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 xml:space="preserve">Článku 2 </w:t>
      </w: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 xml:space="preserve">stávající smlouvy ve znění platných dodatků se navyšuje o sjednanou část inflace z roku 2022 a to ve výši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 xml:space="preserve">5 % </w:t>
      </w: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z platných cen aktualizovaných Dodatkem č. 14 smlouvy.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2" w:name="bookmark2"/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Článek 3</w:t>
      </w:r>
      <w:bookmarkEnd w:id="2"/>
      <w:bookmarkEnd w:id="3"/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6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Ceny za plnění sjednané v odstavci 3.1. Článku 3 Cena za plnění stávající smlouvy se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v souladu s výše uvedeným nahrazují novými cenami takto: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457200" distL="114300" distR="114300" simplePos="0" relativeHeight="125829378" behindDoc="0" locked="0" layoutInCell="1" allowOverlap="1">
                <wp:simplePos x="0" y="0"/>
                <wp:positionH relativeFrom="page">
                  <wp:posOffset>2199640</wp:posOffset>
                </wp:positionH>
                <wp:positionV relativeFrom="paragraph">
                  <wp:posOffset>12700</wp:posOffset>
                </wp:positionV>
                <wp:extent cx="981710" cy="170815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171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cs-CZ" w:eastAsia="cs-CZ" w:bidi="cs-CZ"/>
                              </w:rPr>
                              <w:t>Asfaltová směs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73.19999999999999pt;margin-top:1.pt;width:77.299999999999997pt;height:13.449999999999999pt;z-index:-125829375;mso-wrap-distance-left:9.pt;mso-wrap-distance-right:9.pt;mso-wrap-distance-bottom:36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cs-CZ" w:eastAsia="cs-CZ" w:bidi="cs-CZ"/>
                        </w:rPr>
                        <w:t>Asfaltová směs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57200" distB="0" distL="245110" distR="532130" simplePos="0" relativeHeight="125829380" behindDoc="0" locked="0" layoutInCell="1" allowOverlap="1">
                <wp:simplePos x="0" y="0"/>
                <wp:positionH relativeFrom="page">
                  <wp:posOffset>2330450</wp:posOffset>
                </wp:positionH>
                <wp:positionV relativeFrom="paragraph">
                  <wp:posOffset>469900</wp:posOffset>
                </wp:positionV>
                <wp:extent cx="433070" cy="17081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307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cs-CZ" w:eastAsia="cs-CZ" w:bidi="cs-CZ"/>
                              </w:rPr>
                              <w:t>ACO 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183.5pt;margin-top:37.pt;width:34.100000000000001pt;height:13.449999999999999pt;z-index:-125829373;mso-wrap-distance-left:19.300000000000001pt;mso-wrap-distance-top:36.pt;mso-wrap-distance-right:41.8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cs-CZ" w:eastAsia="cs-CZ" w:bidi="cs-CZ"/>
                        </w:rPr>
                        <w:t>ACO 8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Cena za 1 tunu v Kč bez DPH</w:t>
        <w:br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2 055,-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320" w:right="0" w:firstLine="0"/>
        <w:jc w:val="both"/>
      </w:pPr>
      <w:r>
        <mc:AlternateContent>
          <mc:Choice Requires="wps">
            <w:drawing>
              <wp:anchor distT="0" distB="298450" distL="114300" distR="114300" simplePos="0" relativeHeight="125829382" behindDoc="0" locked="0" layoutInCell="1" allowOverlap="1">
                <wp:simplePos x="0" y="0"/>
                <wp:positionH relativeFrom="page">
                  <wp:posOffset>3747770</wp:posOffset>
                </wp:positionH>
                <wp:positionV relativeFrom="paragraph">
                  <wp:posOffset>12700</wp:posOffset>
                </wp:positionV>
                <wp:extent cx="445135" cy="18288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cs-CZ" w:eastAsia="cs-CZ" w:bidi="cs-CZ"/>
                              </w:rPr>
                              <w:t>2 055,-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95.10000000000002pt;margin-top:1.pt;width:35.049999999999997pt;height:14.4pt;z-index:-125829371;mso-wrap-distance-left:9.pt;mso-wrap-distance-right:9.pt;mso-wrap-distance-bottom:23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cs-CZ" w:eastAsia="cs-CZ" w:bidi="cs-CZ"/>
                        </w:rPr>
                        <w:t>2 055,-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298450" distB="0" distL="114300" distR="114300" simplePos="0" relativeHeight="125829384" behindDoc="0" locked="0" layoutInCell="1" allowOverlap="1">
                <wp:simplePos x="0" y="0"/>
                <wp:positionH relativeFrom="page">
                  <wp:posOffset>3747770</wp:posOffset>
                </wp:positionH>
                <wp:positionV relativeFrom="paragraph">
                  <wp:posOffset>311150</wp:posOffset>
                </wp:positionV>
                <wp:extent cx="445135" cy="18288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513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cs-CZ" w:eastAsia="cs-CZ" w:bidi="cs-CZ"/>
                              </w:rPr>
                              <w:t>2 055,-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95.10000000000002pt;margin-top:24.5pt;width:35.049999999999997pt;height:14.4pt;z-index:-125829369;mso-wrap-distance-left:9.pt;mso-wrap-distance-top:23.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cs-CZ" w:eastAsia="cs-CZ" w:bidi="cs-CZ"/>
                        </w:rPr>
                        <w:t>2 055,-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ACO 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232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ACO 16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4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K sjednané ceně bez DPH bude účtována daň z přidané hodnoty v zákonné výši; prodávající odpovídá za to, že sazba daně z přidané hodnoty je stanovena k aktuálnímu datu v souladu s platnými právními p ředpisy.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04" w:val="left"/>
        </w:tabs>
        <w:bidi w:val="0"/>
        <w:spacing w:before="0" w:after="6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Plnění předmětu tohoto Dodatku č. 15 před jeho účinností se považuje za plnění dle tohoto Dodatku č. 15 a práva a povinnosti z toho vzniklé se řídí tímto Dodatkem č. 15.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bookmarkStart w:id="4" w:name="bookmark4"/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Článek 4</w:t>
      </w:r>
      <w:bookmarkEnd w:id="4"/>
      <w:bookmarkEnd w:id="5"/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04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Ostatní ustanovení shora citované smlouvy nedotčené Dodatkem č. 14 ve znění platných dodatků se nemění a zůstávají v platnosti.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04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Dodatek č. 15 je nedílnou součástí smlouvy v aktuálním znění.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04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Dodatek č. 15 je vyhotoven v elektronické podobě, přičemž obě smluvní strany obdrží jeho elektronický originál.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04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 xml:space="preserve">Dodatek č. 15 je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cs-CZ" w:eastAsia="cs-CZ" w:bidi="cs-CZ"/>
        </w:rPr>
        <w:t>platný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dnem připojení platného uznávaného elektronického podpisu dle zákona č. 297/2016 Sb., o službách vytvářejících důvěru pro elektronické transakce, ve znění pozdějších předpisů, do tohoto dodatku a jeho jednotlivých příloh, nejsou-li součástí jediného elektronického dokumentu (tj. do všech samostatných souborů tvořících v souhrnu dodatek, a to oběma smluvními stranami).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04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 xml:space="preserve">Dodatek č. 15 je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cs-CZ" w:eastAsia="cs-CZ" w:bidi="cs-CZ"/>
        </w:rPr>
        <w:t>účinný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dnem jeho uveřejnění v registru smluv.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04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Dodatek č. 15 podléhá zveřejnění dle zákona č. 340/2015 Sb. o zvláštních podmínkách účinnosti některých smluv, uveřejňování těchto smluv a o registru smluv (zákon o registru smluv), v platném a účinném znění.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04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Smluvní strany se dohodly, že zákonnou povinnost dle § 5 odst. 2 zákona č. 340/2015 Sb., o zvláštních podmínkách účinnosti některých smluv, uveřejňování těchto smluv a o registru smluv (zákon o registru smluv) zajistí objednatel.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704" w:val="left"/>
        </w:tabs>
        <w:bidi w:val="0"/>
        <w:spacing w:before="0" w:after="1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Obě smluvní strany potvrzují autentičnost tohoto dodatku a prohlašují, že si jej přečetly, s jeho obsahem souhlasí, že Dodatek č. 15 byl sepsán na základě pravdivých údajů, z jejich pravé a svobodné vůle a nebyl uzavřen v tísni za jednostranně nevýhodných podmínek.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666" w:left="1366" w:right="1366" w:bottom="156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NA DŮKAZ SVÉHO SOUHLASU S OBSAHEM TOHOTO DODATKU K NĚMU SMLUVNÍ STRANY PŘIPOJILY SVÉ UZNÁVANÉ ELEKTRONICKÉ PODPISY DLE ZÁKONA Č. 297/2016 SB., 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95300" distB="0" distL="114300" distR="3997325" simplePos="0" relativeHeight="125829386" behindDoc="0" locked="0" layoutInCell="1" allowOverlap="1">
                <wp:simplePos x="0" y="0"/>
                <wp:positionH relativeFrom="page">
                  <wp:posOffset>870585</wp:posOffset>
                </wp:positionH>
                <wp:positionV relativeFrom="paragraph">
                  <wp:posOffset>835025</wp:posOffset>
                </wp:positionV>
                <wp:extent cx="1576070" cy="20129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607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cs-CZ" w:eastAsia="cs-CZ" w:bidi="cs-CZ"/>
                              </w:rPr>
                              <w:t>V Soběslavi dne: viz podpis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68.549999999999997pt;margin-top:65.75pt;width:124.09999999999999pt;height:15.85pt;z-index:-125829367;mso-wrap-distance-left:9.pt;mso-wrap-distance-top:39.pt;mso-wrap-distance-right:314.75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cs-CZ" w:eastAsia="cs-CZ" w:bidi="cs-CZ"/>
                        </w:rPr>
                        <w:t>V Soběslavi dne: viz podpis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5300" distB="0" distL="4144010" distR="114300" simplePos="0" relativeHeight="125829388" behindDoc="0" locked="0" layoutInCell="1" allowOverlap="1">
                <wp:simplePos x="0" y="0"/>
                <wp:positionH relativeFrom="page">
                  <wp:posOffset>4900295</wp:posOffset>
                </wp:positionH>
                <wp:positionV relativeFrom="paragraph">
                  <wp:posOffset>835025</wp:posOffset>
                </wp:positionV>
                <wp:extent cx="1429385" cy="20129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938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cs-CZ" w:eastAsia="cs-CZ" w:bidi="cs-CZ"/>
                              </w:rPr>
                              <w:t>V Jihlav ě dne: viz podpis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85.85000000000002pt;margin-top:65.75pt;width:112.55pt;height:15.85pt;z-index:-125829365;mso-wrap-distance-left:326.30000000000001pt;mso-wrap-distance-top:3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cs-CZ" w:eastAsia="cs-CZ" w:bidi="cs-CZ"/>
                        </w:rPr>
                        <w:t>V Jihlav ě dne: viz podpis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84300" distB="128270" distL="114300" distR="4369435" simplePos="0" relativeHeight="125829390" behindDoc="0" locked="0" layoutInCell="1" allowOverlap="1">
                <wp:simplePos x="0" y="0"/>
                <wp:positionH relativeFrom="page">
                  <wp:posOffset>873760</wp:posOffset>
                </wp:positionH>
                <wp:positionV relativeFrom="paragraph">
                  <wp:posOffset>2368550</wp:posOffset>
                </wp:positionV>
                <wp:extent cx="1633855" cy="25590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385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cs-CZ" w:eastAsia="cs-CZ" w:bidi="cs-CZ"/>
                              </w:rPr>
                              <w:t>Ing. Petr Zach, jednatel společnosti STRABAG Asfalt s.r.o.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68.799999999999997pt;margin-top:186.5pt;width:128.65000000000001pt;height:20.149999999999999pt;z-index:-125829363;mso-wrap-distance-left:9.pt;mso-wrap-distance-top:109.pt;mso-wrap-distance-right:344.05000000000001pt;mso-wrap-distance-bottom:10.1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cs-CZ" w:eastAsia="cs-CZ" w:bidi="cs-CZ"/>
                        </w:rPr>
                        <w:t>Ing. Petr Zach, jednatel společnosti STRABAG Asfalt s.r.o.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84300" distB="128270" distL="2162810" distR="2205355" simplePos="0" relativeHeight="125829392" behindDoc="0" locked="0" layoutInCell="1" allowOverlap="1">
                <wp:simplePos x="0" y="0"/>
                <wp:positionH relativeFrom="page">
                  <wp:posOffset>2922270</wp:posOffset>
                </wp:positionH>
                <wp:positionV relativeFrom="paragraph">
                  <wp:posOffset>2368550</wp:posOffset>
                </wp:positionV>
                <wp:extent cx="1749425" cy="25590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4942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cs-CZ" w:eastAsia="cs-CZ" w:bidi="cs-CZ"/>
                              </w:rPr>
                              <w:t>Ing. Karel Helma, jednatel společnosti STRABAG Asfalt s.r.o.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30.09999999999999pt;margin-top:186.5pt;width:137.75pt;height:20.149999999999999pt;z-index:-125829361;mso-wrap-distance-left:170.30000000000001pt;mso-wrap-distance-top:109.pt;mso-wrap-distance-right:173.65000000000001pt;mso-wrap-distance-bottom:10.1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cs-CZ" w:eastAsia="cs-CZ" w:bidi="cs-CZ"/>
                        </w:rPr>
                        <w:t>Ing. Karel Helma, jednatel společnosti STRABAG Asfalt s.r.o.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84300" distB="0" distL="4144010" distR="114300" simplePos="0" relativeHeight="125829394" behindDoc="0" locked="0" layoutInCell="1" allowOverlap="1">
                <wp:simplePos x="0" y="0"/>
                <wp:positionH relativeFrom="page">
                  <wp:posOffset>4903470</wp:posOffset>
                </wp:positionH>
                <wp:positionV relativeFrom="paragraph">
                  <wp:posOffset>2368550</wp:posOffset>
                </wp:positionV>
                <wp:extent cx="1859280" cy="38417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384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cs-CZ" w:eastAsia="cs-CZ" w:bidi="cs-CZ"/>
                              </w:rPr>
                              <w:t>Ing. Radovan Necid, ředitel organizace Krajská správa a údržba silnic Vysočiny, příspěvková organizace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386.10000000000002pt;margin-top:186.5pt;width:146.40000000000001pt;height:30.25pt;z-index:-125829359;mso-wrap-distance-left:326.30000000000001pt;mso-wrap-distance-top:109.pt;mso-wrap-distance-right: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cs-CZ" w:eastAsia="cs-CZ" w:bidi="cs-CZ"/>
                        </w:rPr>
                        <w:t>Ing. Radovan Necid, ředitel organizace Krajská správa a údržba silnic Vysočiny, příspěvková organizace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pgSz w:w="11900" w:h="16840"/>
          <w:pgMar w:top="1642" w:left="1366" w:right="1366" w:bottom="887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76200" distR="76200" simplePos="0" relativeHeight="125829396" behindDoc="0" locked="0" layoutInCell="1" allowOverlap="1">
                <wp:simplePos x="0" y="0"/>
                <wp:positionH relativeFrom="page">
                  <wp:posOffset>870585</wp:posOffset>
                </wp:positionH>
                <wp:positionV relativeFrom="paragraph">
                  <wp:posOffset>12700</wp:posOffset>
                </wp:positionV>
                <wp:extent cx="1868170" cy="332105"/>
                <wp:wrapSquare wrapText="righ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8170" cy="3321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cs-CZ" w:eastAsia="cs-CZ" w:bidi="cs-CZ"/>
                              </w:rPr>
                              <w:t>SLUŽBÁCH VYTVÁŘEJÍCÍCH POZDĚJŠÍCH PŘEDPISŮ.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68.549999999999997pt;margin-top:1.pt;width:147.09999999999999pt;height:26.149999999999999pt;z-index:-125829357;mso-wrap-distance-left:6.pt;mso-wrap-distance-right:6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cs-CZ" w:eastAsia="cs-CZ" w:bidi="cs-CZ"/>
                        </w:rPr>
                        <w:t>SLUŽBÁCH VYTVÁŘEJÍCÍCH POZDĚJŠÍCH PŘEDPISŮ.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DŮVĚRU PRO ELEKTRONICKÉ TRANSAKCE, VE ZNĚNÍ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2" w:after="1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42" w:left="0" w:right="0" w:bottom="1642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cs-CZ" w:eastAsia="cs-CZ" w:bidi="cs-CZ"/>
        </w:rPr>
        <w:t>Prověřila: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42" w:left="1371" w:right="1251" w:bottom="164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3479800</wp:posOffset>
              </wp:positionH>
              <wp:positionV relativeFrom="page">
                <wp:posOffset>9925050</wp:posOffset>
              </wp:positionV>
              <wp:extent cx="594360" cy="11303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1130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cs-CZ" w:eastAsia="cs-CZ" w:bidi="cs-CZ"/>
                            </w:rPr>
                            <w:t xml:space="preserve">Stránka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cs-CZ" w:eastAsia="cs-CZ" w:bidi="cs-CZ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cs-CZ" w:eastAsia="cs-CZ" w:bidi="cs-CZ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cs-CZ" w:eastAsia="cs-CZ" w:bidi="cs-CZ"/>
                            </w:rPr>
                            <w:t xml:space="preserve">z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cs-CZ" w:eastAsia="cs-CZ" w:bidi="cs-CZ"/>
                            </w:rPr>
                            <w:t>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274.pt;margin-top:781.5pt;width:46.799999999999997pt;height:8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cs-CZ" w:eastAsia="cs-CZ" w:bidi="cs-CZ"/>
                      </w:rPr>
                      <w:t xml:space="preserve">Stránka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cs-CZ" w:eastAsia="cs-CZ" w:bidi="cs-CZ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cs-CZ" w:eastAsia="cs-CZ" w:bidi="cs-CZ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cs-CZ" w:eastAsia="cs-CZ" w:bidi="cs-CZ"/>
                      </w:rPr>
                      <w:t xml:space="preserve">z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cs-CZ" w:eastAsia="cs-CZ" w:bidi="cs-CZ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876300</wp:posOffset>
              </wp:positionH>
              <wp:positionV relativeFrom="page">
                <wp:posOffset>9906635</wp:posOffset>
              </wp:positionV>
              <wp:extent cx="5800090" cy="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000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pt;margin-top:780.04999999999995pt;width:456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4296410</wp:posOffset>
              </wp:positionH>
              <wp:positionV relativeFrom="page">
                <wp:posOffset>421005</wp:posOffset>
              </wp:positionV>
              <wp:extent cx="1923415" cy="2590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23415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cs-CZ" w:eastAsia="cs-CZ" w:bidi="cs-CZ"/>
                            </w:rPr>
                            <w:t xml:space="preserve">Číslo smlouvy kupujícího: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cs-CZ" w:eastAsia="cs-CZ" w:bidi="cs-CZ"/>
                            </w:rPr>
                            <w:t>41/KSÚSV/JI/10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cs-CZ" w:eastAsia="cs-CZ" w:bidi="cs-CZ"/>
                            </w:rPr>
                            <w:t xml:space="preserve">Číslo smlouvy prodávajícího: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cs-CZ" w:eastAsia="cs-CZ" w:bidi="cs-CZ"/>
                            </w:rPr>
                            <w:t>007/04/2010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38.30000000000001pt;margin-top:33.149999999999999pt;width:151.44999999999999pt;height:20.3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cs-CZ" w:eastAsia="cs-CZ" w:bidi="cs-CZ"/>
                      </w:rPr>
                      <w:t xml:space="preserve">Číslo smlouvy kupujícího: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cs-CZ" w:eastAsia="cs-CZ" w:bidi="cs-CZ"/>
                      </w:rPr>
                      <w:t>41/KSÚSV/JI/10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cs-CZ" w:eastAsia="cs-CZ" w:bidi="cs-CZ"/>
                      </w:rPr>
                      <w:t xml:space="preserve">Číslo smlouvy prodávajícího: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cs-CZ" w:eastAsia="cs-CZ" w:bidi="cs-CZ"/>
                      </w:rPr>
                      <w:t>007/04/2010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815340</wp:posOffset>
              </wp:positionH>
              <wp:positionV relativeFrom="page">
                <wp:posOffset>744220</wp:posOffset>
              </wp:positionV>
              <wp:extent cx="5864225" cy="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642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4.200000000000003pt;margin-top:58.600000000000001pt;width:461.7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2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cs-CZ" w:eastAsia="cs-CZ" w:bidi="cs-CZ"/>
      </w:rPr>
    </w:lvl>
  </w:abstractNum>
  <w:abstractNum w:abstractNumId="2">
    <w:multiLevelType w:val="multilevel"/>
    <w:lvl w:ilvl="0">
      <w:start w:val="1"/>
      <w:numFmt w:val="decimal"/>
      <w:lvlText w:val="3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cs-CZ" w:eastAsia="cs-CZ" w:bidi="cs-CZ"/>
      </w:rPr>
    </w:lvl>
  </w:abstractNum>
  <w:abstractNum w:abstractNumId="4">
    <w:multiLevelType w:val="multilevel"/>
    <w:lvl w:ilvl="0">
      <w:start w:val="1"/>
      <w:numFmt w:val="decimal"/>
      <w:lvlText w:val="4.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cs-CZ" w:eastAsia="cs-CZ" w:bidi="cs-CZ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cs-CZ" w:eastAsia="cs-CZ" w:bidi="cs-CZ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cs-CZ" w:eastAsia="cs-CZ" w:bidi="cs-CZ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cs-CZ" w:eastAsia="cs-CZ" w:bidi="cs-CZ"/>
    </w:rPr>
  </w:style>
  <w:style w:type="character" w:customStyle="1" w:styleId="CharStyle3">
    <w:name w:val="Základní text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Jiné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Záhlaví nebo zápatí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Titulek tabulky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Nadpis #1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Základní text (3)_"/>
    <w:basedOn w:val="DefaultParagraphFont"/>
    <w:link w:val="Style2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4">
    <w:name w:val="Základní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Základní text"/>
    <w:basedOn w:val="Normal"/>
    <w:link w:val="CharStyle3"/>
    <w:pPr>
      <w:widowControl w:val="0"/>
      <w:shd w:val="clear" w:color="auto" w:fill="FFFFFF"/>
      <w:spacing w:after="2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Jiné"/>
    <w:basedOn w:val="Normal"/>
    <w:link w:val="CharStyle7"/>
    <w:pPr>
      <w:widowControl w:val="0"/>
      <w:shd w:val="clear" w:color="auto" w:fill="FFFFFF"/>
      <w:spacing w:after="2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Záhlaví nebo zápatí (2)"/>
    <w:basedOn w:val="Normal"/>
    <w:link w:val="CharStyle11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Titulek tabulky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Nadpis #1"/>
    <w:basedOn w:val="Normal"/>
    <w:link w:val="CharStyle19"/>
    <w:pPr>
      <w:widowControl w:val="0"/>
      <w:shd w:val="clear" w:color="auto" w:fill="FFFFFF"/>
      <w:spacing w:after="19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Základní text (3)"/>
    <w:basedOn w:val="Normal"/>
    <w:link w:val="CharStyle22"/>
    <w:pPr>
      <w:widowControl w:val="0"/>
      <w:shd w:val="clear" w:color="auto" w:fill="FFFFFF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3">
    <w:name w:val="Základní text (2)"/>
    <w:basedOn w:val="Normal"/>
    <w:link w:val="CharStyle2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