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586" w:rsidRPr="00D61AE6" w:rsidRDefault="008B3EEB" w:rsidP="00F45C0F">
      <w:pPr>
        <w:jc w:val="center"/>
        <w:rPr>
          <w:b/>
          <w:sz w:val="23"/>
          <w:szCs w:val="23"/>
        </w:rPr>
      </w:pPr>
    </w:p>
    <w:p w:rsidR="00571BF3" w:rsidRDefault="00571BF3" w:rsidP="00F45C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1</w:t>
      </w:r>
    </w:p>
    <w:p w:rsidR="00571BF3" w:rsidRDefault="00571BF3" w:rsidP="00F45C0F">
      <w:pPr>
        <w:jc w:val="center"/>
        <w:rPr>
          <w:b/>
          <w:sz w:val="32"/>
          <w:szCs w:val="32"/>
        </w:rPr>
      </w:pPr>
    </w:p>
    <w:p w:rsidR="00571BF3" w:rsidRDefault="00571BF3" w:rsidP="00F45C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ke smlouvě o odvádění a češtění odpadních vod</w:t>
      </w:r>
    </w:p>
    <w:p w:rsidR="00571BF3" w:rsidRDefault="00571BF3" w:rsidP="00F45C0F">
      <w:pPr>
        <w:jc w:val="center"/>
        <w:rPr>
          <w:b/>
          <w:sz w:val="32"/>
          <w:szCs w:val="32"/>
        </w:rPr>
      </w:pPr>
    </w:p>
    <w:p w:rsidR="00571BF3" w:rsidRDefault="00571BF3" w:rsidP="00F45C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č. V-33</w:t>
      </w:r>
      <w:r w:rsidR="00D15937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-00/19</w:t>
      </w:r>
    </w:p>
    <w:p w:rsidR="00CC7774" w:rsidRDefault="008B3EEB" w:rsidP="00F45C0F"/>
    <w:p w:rsidR="00571BF3" w:rsidRPr="006B7669" w:rsidRDefault="00571BF3" w:rsidP="00571BF3">
      <w:pPr>
        <w:pStyle w:val="Nzev"/>
        <w:spacing w:line="276" w:lineRule="auto"/>
        <w:jc w:val="left"/>
        <w:rPr>
          <w:b w:val="0"/>
          <w:sz w:val="22"/>
          <w:szCs w:val="22"/>
        </w:rPr>
      </w:pPr>
      <w:r w:rsidRPr="006B7669">
        <w:rPr>
          <w:b w:val="0"/>
          <w:sz w:val="22"/>
          <w:szCs w:val="22"/>
        </w:rPr>
        <w:t>uzavřená mezi</w:t>
      </w:r>
    </w:p>
    <w:p w:rsidR="00571BF3" w:rsidRPr="00EF1193" w:rsidRDefault="00571BF3" w:rsidP="00571BF3">
      <w:pPr>
        <w:spacing w:line="276" w:lineRule="auto"/>
        <w:rPr>
          <w:sz w:val="22"/>
          <w:szCs w:val="22"/>
        </w:rPr>
      </w:pPr>
    </w:p>
    <w:p w:rsidR="00571BF3" w:rsidRPr="006B7669" w:rsidRDefault="00571BF3" w:rsidP="00571BF3">
      <w:pPr>
        <w:pStyle w:val="Nadpis7"/>
        <w:spacing w:before="120" w:line="276" w:lineRule="auto"/>
        <w:jc w:val="both"/>
        <w:rPr>
          <w:sz w:val="22"/>
          <w:szCs w:val="22"/>
        </w:rPr>
      </w:pPr>
      <w:r w:rsidRPr="006B7669">
        <w:rPr>
          <w:sz w:val="22"/>
          <w:szCs w:val="22"/>
        </w:rPr>
        <w:t>Armádní Servisní, příspěvková organizace</w:t>
      </w:r>
    </w:p>
    <w:p w:rsidR="00571BF3" w:rsidRPr="006B7669" w:rsidRDefault="00571BF3" w:rsidP="00571BF3">
      <w:pPr>
        <w:spacing w:line="276" w:lineRule="auto"/>
        <w:jc w:val="both"/>
        <w:rPr>
          <w:sz w:val="22"/>
          <w:szCs w:val="22"/>
        </w:rPr>
      </w:pPr>
      <w:r w:rsidRPr="006B7669">
        <w:rPr>
          <w:sz w:val="22"/>
          <w:szCs w:val="22"/>
        </w:rPr>
        <w:t xml:space="preserve">zapsaná v obchodním rejstříku vedeném Městským soudem v Praze, vložka </w:t>
      </w:r>
      <w:proofErr w:type="spellStart"/>
      <w:r w:rsidRPr="006B7669">
        <w:rPr>
          <w:sz w:val="22"/>
          <w:szCs w:val="22"/>
        </w:rPr>
        <w:t>Pr</w:t>
      </w:r>
      <w:proofErr w:type="spellEnd"/>
      <w:r w:rsidRPr="006B7669">
        <w:rPr>
          <w:sz w:val="22"/>
          <w:szCs w:val="22"/>
        </w:rPr>
        <w:t>, oddíl 1342</w:t>
      </w:r>
    </w:p>
    <w:p w:rsidR="00571BF3" w:rsidRPr="006B7669" w:rsidRDefault="00571BF3" w:rsidP="00571BF3">
      <w:pPr>
        <w:spacing w:line="276" w:lineRule="auto"/>
        <w:jc w:val="both"/>
        <w:rPr>
          <w:sz w:val="22"/>
          <w:szCs w:val="22"/>
        </w:rPr>
      </w:pPr>
    </w:p>
    <w:p w:rsidR="00571BF3" w:rsidRPr="006B7669" w:rsidRDefault="00571BF3" w:rsidP="00571BF3">
      <w:pPr>
        <w:spacing w:line="276" w:lineRule="auto"/>
        <w:jc w:val="both"/>
        <w:rPr>
          <w:sz w:val="22"/>
          <w:szCs w:val="22"/>
        </w:rPr>
      </w:pPr>
      <w:r w:rsidRPr="006B7669">
        <w:rPr>
          <w:sz w:val="22"/>
          <w:szCs w:val="22"/>
        </w:rPr>
        <w:t>se sídlem:</w:t>
      </w:r>
      <w:r w:rsidRPr="006B7669">
        <w:rPr>
          <w:sz w:val="22"/>
          <w:szCs w:val="22"/>
        </w:rPr>
        <w:tab/>
        <w:t>Podbabská 1589/1, 160 00 Praha 6 – Dejvice</w:t>
      </w:r>
    </w:p>
    <w:p w:rsidR="00571BF3" w:rsidRPr="006B7669" w:rsidRDefault="00571BF3" w:rsidP="00571BF3">
      <w:pPr>
        <w:spacing w:line="276" w:lineRule="auto"/>
        <w:jc w:val="both"/>
        <w:rPr>
          <w:b/>
          <w:bCs/>
          <w:sz w:val="22"/>
          <w:szCs w:val="22"/>
        </w:rPr>
      </w:pPr>
      <w:r w:rsidRPr="006B7669">
        <w:rPr>
          <w:sz w:val="22"/>
          <w:szCs w:val="22"/>
        </w:rPr>
        <w:t>zastoupená</w:t>
      </w:r>
      <w:r w:rsidRPr="006B7669">
        <w:rPr>
          <w:sz w:val="22"/>
          <w:szCs w:val="22"/>
        </w:rPr>
        <w:tab/>
      </w:r>
      <w:r w:rsidRPr="006B7669">
        <w:rPr>
          <w:bCs/>
          <w:sz w:val="22"/>
          <w:szCs w:val="22"/>
        </w:rPr>
        <w:t>Ing. Martinem Lehkým, ředitelem</w:t>
      </w:r>
    </w:p>
    <w:p w:rsidR="00571BF3" w:rsidRDefault="00571BF3" w:rsidP="00571BF3">
      <w:pPr>
        <w:spacing w:line="276" w:lineRule="auto"/>
        <w:jc w:val="both"/>
        <w:outlineLvl w:val="0"/>
        <w:rPr>
          <w:sz w:val="22"/>
          <w:szCs w:val="22"/>
        </w:rPr>
      </w:pPr>
    </w:p>
    <w:p w:rsidR="00571BF3" w:rsidRPr="00720D90" w:rsidRDefault="00571BF3" w:rsidP="00571BF3">
      <w:pPr>
        <w:adjustRightInd w:val="0"/>
        <w:rPr>
          <w:color w:val="000000"/>
          <w:sz w:val="23"/>
          <w:szCs w:val="23"/>
        </w:rPr>
      </w:pPr>
      <w:r w:rsidRPr="00720D90">
        <w:rPr>
          <w:color w:val="000000"/>
          <w:sz w:val="23"/>
          <w:szCs w:val="23"/>
        </w:rPr>
        <w:t xml:space="preserve">Organizace byla zřízena rozhodnutím ministra obrany ČR zřizovací listinou </w:t>
      </w:r>
    </w:p>
    <w:p w:rsidR="00571BF3" w:rsidRPr="00720D90" w:rsidRDefault="00571BF3" w:rsidP="00571BF3">
      <w:pPr>
        <w:adjustRightInd w:val="0"/>
        <w:rPr>
          <w:color w:val="000000"/>
          <w:sz w:val="23"/>
          <w:szCs w:val="23"/>
        </w:rPr>
      </w:pPr>
      <w:r w:rsidRPr="00720D90">
        <w:rPr>
          <w:color w:val="000000"/>
          <w:sz w:val="23"/>
          <w:szCs w:val="23"/>
        </w:rPr>
        <w:t xml:space="preserve">č.j.: 314/10-74/43 ze dne 9.srpna </w:t>
      </w:r>
      <w:proofErr w:type="gramStart"/>
      <w:r w:rsidRPr="00720D90">
        <w:rPr>
          <w:color w:val="000000"/>
          <w:sz w:val="23"/>
          <w:szCs w:val="23"/>
        </w:rPr>
        <w:t>1994 ,</w:t>
      </w:r>
      <w:proofErr w:type="gramEnd"/>
      <w:r w:rsidRPr="00720D90">
        <w:rPr>
          <w:color w:val="000000"/>
          <w:sz w:val="23"/>
          <w:szCs w:val="23"/>
        </w:rPr>
        <w:t xml:space="preserve"> v posledním platném znění </w:t>
      </w:r>
    </w:p>
    <w:p w:rsidR="00571BF3" w:rsidRDefault="00571BF3" w:rsidP="00571BF3">
      <w:pPr>
        <w:spacing w:line="276" w:lineRule="auto"/>
        <w:jc w:val="both"/>
        <w:outlineLvl w:val="0"/>
        <w:rPr>
          <w:sz w:val="22"/>
          <w:szCs w:val="22"/>
        </w:rPr>
      </w:pPr>
    </w:p>
    <w:p w:rsidR="00571BF3" w:rsidRPr="009435AE" w:rsidRDefault="00571BF3" w:rsidP="00571BF3">
      <w:pPr>
        <w:spacing w:line="276" w:lineRule="auto"/>
        <w:jc w:val="both"/>
        <w:outlineLvl w:val="0"/>
        <w:rPr>
          <w:sz w:val="22"/>
          <w:szCs w:val="22"/>
        </w:rPr>
      </w:pPr>
      <w:r w:rsidRPr="009435AE">
        <w:rPr>
          <w:sz w:val="22"/>
          <w:szCs w:val="22"/>
        </w:rPr>
        <w:t xml:space="preserve">IČ: </w:t>
      </w:r>
      <w:r w:rsidRPr="009435AE">
        <w:rPr>
          <w:sz w:val="22"/>
          <w:szCs w:val="22"/>
        </w:rPr>
        <w:tab/>
      </w:r>
      <w:r w:rsidRPr="009435AE">
        <w:rPr>
          <w:sz w:val="22"/>
          <w:szCs w:val="22"/>
        </w:rPr>
        <w:tab/>
      </w:r>
      <w:r w:rsidRPr="009435AE">
        <w:rPr>
          <w:sz w:val="22"/>
          <w:szCs w:val="22"/>
        </w:rPr>
        <w:tab/>
        <w:t>60460580</w:t>
      </w:r>
    </w:p>
    <w:p w:rsidR="00571BF3" w:rsidRPr="009435AE" w:rsidRDefault="00571BF3" w:rsidP="00571BF3">
      <w:pPr>
        <w:spacing w:line="276" w:lineRule="auto"/>
        <w:jc w:val="both"/>
        <w:outlineLvl w:val="0"/>
        <w:rPr>
          <w:sz w:val="22"/>
          <w:szCs w:val="22"/>
        </w:rPr>
      </w:pPr>
      <w:r w:rsidRPr="009435AE">
        <w:rPr>
          <w:sz w:val="22"/>
          <w:szCs w:val="22"/>
        </w:rPr>
        <w:t>DIČ:</w:t>
      </w:r>
      <w:r w:rsidRPr="009435AE">
        <w:rPr>
          <w:sz w:val="22"/>
          <w:szCs w:val="22"/>
        </w:rPr>
        <w:tab/>
        <w:t xml:space="preserve"> </w:t>
      </w:r>
      <w:r w:rsidRPr="009435AE">
        <w:rPr>
          <w:sz w:val="22"/>
          <w:szCs w:val="22"/>
        </w:rPr>
        <w:tab/>
      </w:r>
      <w:r w:rsidRPr="009435AE">
        <w:rPr>
          <w:sz w:val="22"/>
          <w:szCs w:val="22"/>
        </w:rPr>
        <w:tab/>
        <w:t>CZ60460580</w:t>
      </w:r>
    </w:p>
    <w:p w:rsidR="00571BF3" w:rsidRPr="009435AE" w:rsidRDefault="00571BF3" w:rsidP="00571BF3">
      <w:pPr>
        <w:spacing w:after="20" w:line="276" w:lineRule="auto"/>
        <w:jc w:val="both"/>
        <w:rPr>
          <w:sz w:val="22"/>
          <w:szCs w:val="22"/>
        </w:rPr>
      </w:pPr>
      <w:r w:rsidRPr="009435AE">
        <w:rPr>
          <w:sz w:val="22"/>
          <w:szCs w:val="22"/>
        </w:rPr>
        <w:t xml:space="preserve">Bankovní spojení: </w:t>
      </w:r>
      <w:r w:rsidRPr="009435AE">
        <w:rPr>
          <w:sz w:val="22"/>
          <w:szCs w:val="22"/>
        </w:rPr>
        <w:tab/>
      </w:r>
      <w:r w:rsidR="00300ACD">
        <w:rPr>
          <w:sz w:val="22"/>
          <w:szCs w:val="22"/>
        </w:rPr>
        <w:t>XXX</w:t>
      </w:r>
    </w:p>
    <w:p w:rsidR="00571BF3" w:rsidRPr="009435AE" w:rsidRDefault="00571BF3" w:rsidP="00571BF3">
      <w:pPr>
        <w:spacing w:line="276" w:lineRule="auto"/>
        <w:jc w:val="both"/>
        <w:rPr>
          <w:sz w:val="22"/>
          <w:szCs w:val="22"/>
        </w:rPr>
      </w:pPr>
      <w:r w:rsidRPr="009435AE">
        <w:rPr>
          <w:sz w:val="22"/>
          <w:szCs w:val="22"/>
        </w:rPr>
        <w:t xml:space="preserve">Číslo účtu: </w:t>
      </w:r>
      <w:r w:rsidRPr="009435AE">
        <w:rPr>
          <w:sz w:val="22"/>
          <w:szCs w:val="22"/>
        </w:rPr>
        <w:tab/>
      </w:r>
      <w:r w:rsidRPr="009435AE">
        <w:rPr>
          <w:sz w:val="22"/>
          <w:szCs w:val="22"/>
        </w:rPr>
        <w:tab/>
      </w:r>
      <w:r w:rsidR="00300ACD">
        <w:rPr>
          <w:sz w:val="22"/>
          <w:szCs w:val="22"/>
        </w:rPr>
        <w:t>XXX</w:t>
      </w:r>
    </w:p>
    <w:p w:rsidR="00571BF3" w:rsidRPr="009435AE" w:rsidRDefault="00571BF3" w:rsidP="00571BF3">
      <w:pPr>
        <w:spacing w:line="276" w:lineRule="auto"/>
        <w:jc w:val="both"/>
        <w:rPr>
          <w:sz w:val="22"/>
          <w:szCs w:val="22"/>
        </w:rPr>
      </w:pPr>
      <w:r w:rsidRPr="009435AE">
        <w:rPr>
          <w:sz w:val="22"/>
          <w:szCs w:val="22"/>
        </w:rPr>
        <w:t>Datová schránka:</w:t>
      </w:r>
      <w:r>
        <w:rPr>
          <w:sz w:val="22"/>
          <w:szCs w:val="22"/>
        </w:rPr>
        <w:tab/>
      </w:r>
      <w:r w:rsidRPr="009435AE">
        <w:rPr>
          <w:sz w:val="22"/>
          <w:szCs w:val="22"/>
        </w:rPr>
        <w:t>dugmkm6</w:t>
      </w:r>
    </w:p>
    <w:p w:rsidR="00571BF3" w:rsidRPr="009435AE" w:rsidRDefault="00571BF3" w:rsidP="00571BF3">
      <w:pPr>
        <w:spacing w:line="276" w:lineRule="auto"/>
        <w:jc w:val="both"/>
        <w:rPr>
          <w:sz w:val="22"/>
          <w:szCs w:val="22"/>
        </w:rPr>
      </w:pPr>
    </w:p>
    <w:p w:rsidR="00571BF3" w:rsidRPr="009435AE" w:rsidRDefault="00571BF3" w:rsidP="00571BF3">
      <w:pPr>
        <w:spacing w:line="276" w:lineRule="auto"/>
        <w:jc w:val="both"/>
        <w:rPr>
          <w:sz w:val="22"/>
          <w:szCs w:val="22"/>
        </w:rPr>
      </w:pPr>
      <w:bookmarkStart w:id="0" w:name="_Hlk130286761"/>
      <w:r w:rsidRPr="009435AE">
        <w:rPr>
          <w:sz w:val="22"/>
          <w:szCs w:val="22"/>
        </w:rPr>
        <w:t>Oprávnění zástupci pro jednání:</w:t>
      </w:r>
    </w:p>
    <w:p w:rsidR="00571BF3" w:rsidRPr="009435AE" w:rsidRDefault="00571BF3" w:rsidP="00571BF3">
      <w:pPr>
        <w:tabs>
          <w:tab w:val="left" w:pos="3240"/>
        </w:tabs>
        <w:spacing w:line="276" w:lineRule="auto"/>
        <w:ind w:left="3119" w:hanging="3119"/>
        <w:jc w:val="both"/>
        <w:rPr>
          <w:sz w:val="22"/>
          <w:szCs w:val="22"/>
        </w:rPr>
      </w:pPr>
      <w:r w:rsidRPr="009435AE">
        <w:rPr>
          <w:sz w:val="22"/>
          <w:szCs w:val="22"/>
        </w:rPr>
        <w:t xml:space="preserve">ve věcech obchodních: </w:t>
      </w:r>
      <w:r w:rsidR="00300ACD">
        <w:rPr>
          <w:sz w:val="22"/>
          <w:szCs w:val="22"/>
        </w:rPr>
        <w:t>XXX</w:t>
      </w:r>
    </w:p>
    <w:p w:rsidR="00571BF3" w:rsidRPr="009435AE" w:rsidRDefault="00571BF3" w:rsidP="00571BF3">
      <w:pPr>
        <w:spacing w:line="276" w:lineRule="auto"/>
        <w:ind w:left="3119" w:hanging="3119"/>
        <w:jc w:val="both"/>
        <w:rPr>
          <w:b/>
          <w:bCs/>
          <w:sz w:val="22"/>
          <w:szCs w:val="22"/>
        </w:rPr>
      </w:pPr>
      <w:r w:rsidRPr="009435AE">
        <w:rPr>
          <w:sz w:val="22"/>
          <w:szCs w:val="22"/>
        </w:rPr>
        <w:t xml:space="preserve">ve věcech technických: </w:t>
      </w:r>
      <w:r w:rsidR="00300ACD">
        <w:rPr>
          <w:sz w:val="22"/>
          <w:szCs w:val="22"/>
        </w:rPr>
        <w:t>XXX</w:t>
      </w:r>
      <w:r w:rsidRPr="009435AE">
        <w:rPr>
          <w:b/>
          <w:bCs/>
          <w:sz w:val="22"/>
          <w:szCs w:val="22"/>
        </w:rPr>
        <w:t xml:space="preserve"> </w:t>
      </w:r>
    </w:p>
    <w:bookmarkEnd w:id="0"/>
    <w:p w:rsidR="00571BF3" w:rsidRPr="009435AE" w:rsidRDefault="00571BF3" w:rsidP="00571BF3">
      <w:pPr>
        <w:spacing w:line="276" w:lineRule="auto"/>
        <w:ind w:left="3119" w:hanging="3119"/>
        <w:jc w:val="both"/>
        <w:rPr>
          <w:sz w:val="22"/>
          <w:szCs w:val="22"/>
        </w:rPr>
      </w:pPr>
      <w:r w:rsidRPr="009435AE">
        <w:rPr>
          <w:b/>
          <w:bCs/>
          <w:sz w:val="22"/>
          <w:szCs w:val="22"/>
        </w:rPr>
        <w:t>(</w:t>
      </w:r>
      <w:r w:rsidRPr="009435AE">
        <w:rPr>
          <w:sz w:val="22"/>
          <w:szCs w:val="22"/>
        </w:rPr>
        <w:t>dále jen</w:t>
      </w:r>
      <w:r w:rsidRPr="009435AE">
        <w:rPr>
          <w:b/>
          <w:bCs/>
          <w:sz w:val="22"/>
          <w:szCs w:val="22"/>
        </w:rPr>
        <w:t xml:space="preserve"> </w:t>
      </w:r>
      <w:r w:rsidRPr="009435AE">
        <w:rPr>
          <w:bCs/>
          <w:sz w:val="22"/>
          <w:szCs w:val="22"/>
        </w:rPr>
        <w:t>„provozovatel”</w:t>
      </w:r>
      <w:r w:rsidRPr="009435AE">
        <w:rPr>
          <w:sz w:val="22"/>
          <w:szCs w:val="22"/>
        </w:rPr>
        <w:t>)</w:t>
      </w:r>
      <w:r w:rsidRPr="009435AE">
        <w:rPr>
          <w:b/>
          <w:bCs/>
          <w:sz w:val="22"/>
          <w:szCs w:val="22"/>
        </w:rPr>
        <w:t xml:space="preserve"> </w:t>
      </w:r>
      <w:r w:rsidRPr="009435AE">
        <w:rPr>
          <w:sz w:val="22"/>
          <w:szCs w:val="22"/>
        </w:rPr>
        <w:t>na straně jedné</w:t>
      </w:r>
    </w:p>
    <w:p w:rsidR="00571BF3" w:rsidRPr="009435AE" w:rsidRDefault="00571BF3" w:rsidP="00571BF3">
      <w:pPr>
        <w:spacing w:line="276" w:lineRule="auto"/>
        <w:jc w:val="both"/>
        <w:rPr>
          <w:sz w:val="22"/>
          <w:szCs w:val="22"/>
        </w:rPr>
      </w:pPr>
    </w:p>
    <w:p w:rsidR="00571BF3" w:rsidRPr="009435AE" w:rsidRDefault="00571BF3" w:rsidP="00571BF3">
      <w:pPr>
        <w:spacing w:line="276" w:lineRule="auto"/>
        <w:jc w:val="both"/>
        <w:rPr>
          <w:sz w:val="22"/>
          <w:szCs w:val="22"/>
        </w:rPr>
      </w:pPr>
      <w:r w:rsidRPr="009435AE">
        <w:rPr>
          <w:sz w:val="22"/>
          <w:szCs w:val="22"/>
        </w:rPr>
        <w:t>a</w:t>
      </w:r>
    </w:p>
    <w:p w:rsidR="00571BF3" w:rsidRPr="009435AE" w:rsidRDefault="00571BF3" w:rsidP="00571BF3">
      <w:pPr>
        <w:spacing w:line="276" w:lineRule="auto"/>
        <w:jc w:val="both"/>
        <w:rPr>
          <w:sz w:val="22"/>
          <w:szCs w:val="22"/>
        </w:rPr>
      </w:pPr>
    </w:p>
    <w:p w:rsidR="00CC7774" w:rsidRDefault="002C5711" w:rsidP="00CC7774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Společenství vlastníků jednotek domu</w:t>
      </w:r>
      <w:r w:rsidR="0044183C" w:rsidRPr="00571BF3">
        <w:rPr>
          <w:b/>
          <w:bCs/>
          <w:color w:val="000000"/>
          <w:sz w:val="23"/>
          <w:szCs w:val="23"/>
        </w:rPr>
        <w:t xml:space="preserve"> čp. </w:t>
      </w:r>
      <w:r w:rsidR="00D15937">
        <w:rPr>
          <w:b/>
          <w:bCs/>
          <w:color w:val="000000"/>
          <w:sz w:val="23"/>
          <w:szCs w:val="23"/>
        </w:rPr>
        <w:t>302</w:t>
      </w:r>
    </w:p>
    <w:p w:rsidR="00571BF3" w:rsidRDefault="00571BF3" w:rsidP="00CC7774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zapsaný v</w:t>
      </w:r>
      <w:r w:rsidR="002C5711">
        <w:rPr>
          <w:color w:val="000000"/>
          <w:sz w:val="23"/>
          <w:szCs w:val="23"/>
        </w:rPr>
        <w:t> rejstříku společenství vlastníků jednotek, ved</w:t>
      </w:r>
      <w:r>
        <w:rPr>
          <w:color w:val="000000"/>
          <w:sz w:val="23"/>
          <w:szCs w:val="23"/>
        </w:rPr>
        <w:t>e</w:t>
      </w:r>
      <w:r w:rsidR="002C5711">
        <w:rPr>
          <w:color w:val="000000"/>
          <w:sz w:val="23"/>
          <w:szCs w:val="23"/>
        </w:rPr>
        <w:t xml:space="preserve">ného Městským soudem v Praze oddíl S, </w:t>
      </w:r>
      <w:proofErr w:type="spellStart"/>
      <w:r w:rsidR="002C5711">
        <w:rPr>
          <w:color w:val="000000"/>
          <w:sz w:val="23"/>
          <w:szCs w:val="23"/>
        </w:rPr>
        <w:t>vl</w:t>
      </w:r>
      <w:proofErr w:type="spellEnd"/>
      <w:r w:rsidR="002C5711">
        <w:rPr>
          <w:color w:val="000000"/>
          <w:sz w:val="23"/>
          <w:szCs w:val="23"/>
        </w:rPr>
        <w:t>. 1832</w:t>
      </w:r>
    </w:p>
    <w:p w:rsidR="00CC7774" w:rsidRPr="00720D90" w:rsidRDefault="0044183C" w:rsidP="00CC7774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720D90">
        <w:rPr>
          <w:color w:val="000000"/>
          <w:sz w:val="23"/>
          <w:szCs w:val="23"/>
        </w:rPr>
        <w:t xml:space="preserve">se sídlem: </w:t>
      </w:r>
      <w:r w:rsidR="00571BF3"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Komorní Hrádek </w:t>
      </w:r>
      <w:r w:rsidR="002C5711">
        <w:rPr>
          <w:color w:val="000000"/>
          <w:sz w:val="23"/>
          <w:szCs w:val="23"/>
        </w:rPr>
        <w:t>302</w:t>
      </w:r>
      <w:r>
        <w:rPr>
          <w:color w:val="000000"/>
          <w:sz w:val="23"/>
          <w:szCs w:val="23"/>
        </w:rPr>
        <w:t>, 257</w:t>
      </w:r>
      <w:r w:rsidR="002C571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24 Chocerady</w:t>
      </w:r>
    </w:p>
    <w:p w:rsidR="00571BF3" w:rsidRDefault="00571BF3" w:rsidP="00CC7774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CC7774" w:rsidRPr="00720D90" w:rsidRDefault="0044183C" w:rsidP="00CC7774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720D90">
        <w:rPr>
          <w:color w:val="000000"/>
          <w:sz w:val="23"/>
          <w:szCs w:val="23"/>
        </w:rPr>
        <w:t xml:space="preserve">IČ: </w:t>
      </w:r>
      <w:r w:rsidR="00A94170">
        <w:rPr>
          <w:color w:val="000000"/>
          <w:sz w:val="23"/>
          <w:szCs w:val="23"/>
        </w:rPr>
        <w:tab/>
      </w:r>
      <w:r w:rsidR="00A94170"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 w:rsidR="00D15937">
        <w:rPr>
          <w:color w:val="000000"/>
          <w:sz w:val="23"/>
          <w:szCs w:val="23"/>
        </w:rPr>
        <w:t>264</w:t>
      </w:r>
      <w:r w:rsidR="002C5711">
        <w:rPr>
          <w:color w:val="000000"/>
          <w:sz w:val="23"/>
          <w:szCs w:val="23"/>
        </w:rPr>
        <w:t xml:space="preserve"> </w:t>
      </w:r>
      <w:r w:rsidR="00D15937">
        <w:rPr>
          <w:color w:val="000000"/>
          <w:sz w:val="23"/>
          <w:szCs w:val="23"/>
        </w:rPr>
        <w:t>94</w:t>
      </w:r>
      <w:r w:rsidR="002C5711">
        <w:rPr>
          <w:color w:val="000000"/>
          <w:sz w:val="23"/>
          <w:szCs w:val="23"/>
        </w:rPr>
        <w:t xml:space="preserve"> </w:t>
      </w:r>
      <w:r w:rsidR="00D15937">
        <w:rPr>
          <w:color w:val="000000"/>
          <w:sz w:val="23"/>
          <w:szCs w:val="23"/>
        </w:rPr>
        <w:t>591</w:t>
      </w:r>
    </w:p>
    <w:p w:rsidR="00A429C1" w:rsidRDefault="00A429C1" w:rsidP="00A429C1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</w:t>
      </w:r>
      <w:r w:rsidRPr="00720D90">
        <w:rPr>
          <w:color w:val="000000"/>
          <w:sz w:val="23"/>
          <w:szCs w:val="23"/>
        </w:rPr>
        <w:t>ankovní spojení:</w:t>
      </w:r>
      <w:r>
        <w:rPr>
          <w:color w:val="000000"/>
          <w:sz w:val="23"/>
          <w:szCs w:val="23"/>
        </w:rPr>
        <w:tab/>
      </w:r>
      <w:r w:rsidR="00300ACD">
        <w:rPr>
          <w:color w:val="000000"/>
          <w:sz w:val="23"/>
          <w:szCs w:val="23"/>
        </w:rPr>
        <w:t>XXX</w:t>
      </w:r>
    </w:p>
    <w:p w:rsidR="00A429C1" w:rsidRPr="00720D90" w:rsidRDefault="00A429C1" w:rsidP="00A429C1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Účet číslo</w:t>
      </w:r>
      <w:r w:rsidR="002C5711">
        <w:rPr>
          <w:color w:val="000000"/>
          <w:sz w:val="23"/>
          <w:szCs w:val="23"/>
        </w:rPr>
        <w:t>:</w:t>
      </w:r>
      <w:r w:rsidR="00A94170">
        <w:rPr>
          <w:color w:val="000000"/>
          <w:sz w:val="23"/>
          <w:szCs w:val="23"/>
        </w:rPr>
        <w:tab/>
      </w:r>
      <w:r w:rsidR="00A94170">
        <w:rPr>
          <w:color w:val="000000"/>
          <w:sz w:val="23"/>
          <w:szCs w:val="23"/>
        </w:rPr>
        <w:tab/>
      </w:r>
      <w:r w:rsidR="00300ACD">
        <w:rPr>
          <w:color w:val="000000"/>
          <w:sz w:val="23"/>
          <w:szCs w:val="23"/>
        </w:rPr>
        <w:t>XXX</w:t>
      </w:r>
    </w:p>
    <w:p w:rsidR="00571BF3" w:rsidRDefault="00571BF3" w:rsidP="00CC7774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CC7774" w:rsidRDefault="00571BF3" w:rsidP="006F36EE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Z</w:t>
      </w:r>
      <w:r w:rsidR="0044183C" w:rsidRPr="00720D90">
        <w:rPr>
          <w:color w:val="000000"/>
          <w:sz w:val="23"/>
          <w:szCs w:val="23"/>
        </w:rPr>
        <w:t>astoupen</w:t>
      </w:r>
      <w:r>
        <w:rPr>
          <w:color w:val="000000"/>
          <w:sz w:val="23"/>
          <w:szCs w:val="23"/>
        </w:rPr>
        <w:t>ý</w:t>
      </w:r>
      <w:r w:rsidR="0044183C" w:rsidRPr="00720D90">
        <w:rPr>
          <w:color w:val="000000"/>
          <w:sz w:val="23"/>
          <w:szCs w:val="23"/>
        </w:rPr>
        <w:t>:</w:t>
      </w:r>
      <w:r w:rsidR="00A429C1">
        <w:rPr>
          <w:color w:val="000000"/>
          <w:sz w:val="23"/>
          <w:szCs w:val="23"/>
        </w:rPr>
        <w:tab/>
      </w:r>
      <w:r w:rsidR="00A429C1">
        <w:rPr>
          <w:color w:val="000000"/>
          <w:sz w:val="23"/>
          <w:szCs w:val="23"/>
        </w:rPr>
        <w:tab/>
      </w:r>
      <w:r w:rsidR="00300ACD">
        <w:rPr>
          <w:color w:val="000000"/>
          <w:sz w:val="23"/>
          <w:szCs w:val="23"/>
        </w:rPr>
        <w:t>XXX</w:t>
      </w:r>
    </w:p>
    <w:p w:rsidR="00CC7774" w:rsidRDefault="00571BF3" w:rsidP="006F36EE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</w:t>
      </w:r>
      <w:r w:rsidR="0044183C">
        <w:rPr>
          <w:color w:val="000000"/>
          <w:sz w:val="23"/>
          <w:szCs w:val="23"/>
        </w:rPr>
        <w:t>elefonní spojení:</w:t>
      </w:r>
      <w:r>
        <w:rPr>
          <w:color w:val="000000"/>
          <w:sz w:val="23"/>
          <w:szCs w:val="23"/>
        </w:rPr>
        <w:tab/>
      </w:r>
      <w:r w:rsidR="00300ACD">
        <w:rPr>
          <w:color w:val="000000"/>
          <w:sz w:val="23"/>
          <w:szCs w:val="23"/>
        </w:rPr>
        <w:t>XXX</w:t>
      </w:r>
    </w:p>
    <w:p w:rsidR="006F36EE" w:rsidRDefault="006F36EE" w:rsidP="006F36EE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E-mail: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 w:rsidR="00300ACD">
        <w:rPr>
          <w:color w:val="000000"/>
          <w:sz w:val="23"/>
          <w:szCs w:val="23"/>
        </w:rPr>
        <w:t>XXX</w:t>
      </w:r>
    </w:p>
    <w:p w:rsidR="00571BF3" w:rsidRDefault="00571BF3" w:rsidP="00571BF3">
      <w:pPr>
        <w:spacing w:line="276" w:lineRule="auto"/>
        <w:jc w:val="both"/>
        <w:rPr>
          <w:sz w:val="22"/>
          <w:szCs w:val="22"/>
        </w:rPr>
      </w:pPr>
      <w:r w:rsidRPr="009435AE">
        <w:rPr>
          <w:sz w:val="22"/>
          <w:szCs w:val="22"/>
        </w:rPr>
        <w:t>(dále jen „odběratel“ a společně též „smluvní strany“)</w:t>
      </w:r>
      <w:r w:rsidRPr="009435AE">
        <w:rPr>
          <w:b/>
          <w:sz w:val="22"/>
          <w:szCs w:val="22"/>
        </w:rPr>
        <w:t xml:space="preserve"> </w:t>
      </w:r>
      <w:r w:rsidRPr="009435AE">
        <w:rPr>
          <w:sz w:val="22"/>
          <w:szCs w:val="22"/>
        </w:rPr>
        <w:t>na straně druhé</w:t>
      </w:r>
    </w:p>
    <w:p w:rsidR="00A429C1" w:rsidRDefault="00A429C1" w:rsidP="00571BF3">
      <w:pPr>
        <w:spacing w:line="276" w:lineRule="auto"/>
        <w:jc w:val="both"/>
        <w:rPr>
          <w:sz w:val="22"/>
          <w:szCs w:val="22"/>
        </w:rPr>
      </w:pPr>
    </w:p>
    <w:p w:rsidR="00A429C1" w:rsidRDefault="00A429C1" w:rsidP="00571BF3">
      <w:pPr>
        <w:spacing w:line="276" w:lineRule="auto"/>
        <w:jc w:val="both"/>
        <w:rPr>
          <w:sz w:val="22"/>
          <w:szCs w:val="22"/>
        </w:rPr>
      </w:pPr>
    </w:p>
    <w:p w:rsidR="00A429C1" w:rsidRDefault="00A429C1" w:rsidP="00A429C1">
      <w:pPr>
        <w:pStyle w:val="Zkladntext"/>
        <w:spacing w:line="276" w:lineRule="auto"/>
        <w:rPr>
          <w:sz w:val="22"/>
          <w:szCs w:val="22"/>
        </w:rPr>
      </w:pPr>
      <w:r w:rsidRPr="009435AE">
        <w:rPr>
          <w:sz w:val="22"/>
          <w:szCs w:val="22"/>
        </w:rPr>
        <w:t xml:space="preserve">Smluvní strany </w:t>
      </w:r>
      <w:r>
        <w:rPr>
          <w:sz w:val="22"/>
          <w:szCs w:val="22"/>
        </w:rPr>
        <w:t xml:space="preserve">se </w:t>
      </w:r>
      <w:r w:rsidRPr="009435AE">
        <w:rPr>
          <w:sz w:val="22"/>
          <w:szCs w:val="22"/>
        </w:rPr>
        <w:t xml:space="preserve">v souladu se čl. </w:t>
      </w:r>
      <w:r>
        <w:rPr>
          <w:sz w:val="22"/>
          <w:szCs w:val="22"/>
        </w:rPr>
        <w:t>VI</w:t>
      </w:r>
      <w:r w:rsidRPr="009435AE">
        <w:rPr>
          <w:sz w:val="22"/>
          <w:szCs w:val="22"/>
        </w:rPr>
        <w:t xml:space="preserve"> smlouvy o </w:t>
      </w:r>
      <w:r>
        <w:rPr>
          <w:sz w:val="22"/>
          <w:szCs w:val="22"/>
        </w:rPr>
        <w:t>odvádění a čištění odpadních vod</w:t>
      </w:r>
      <w:r w:rsidRPr="009435AE">
        <w:rPr>
          <w:sz w:val="22"/>
          <w:szCs w:val="22"/>
        </w:rPr>
        <w:t xml:space="preserve"> ze</w:t>
      </w:r>
      <w:r>
        <w:rPr>
          <w:sz w:val="22"/>
          <w:szCs w:val="22"/>
        </w:rPr>
        <w:t xml:space="preserve"> dne </w:t>
      </w:r>
      <w:r w:rsidR="00025C47">
        <w:rPr>
          <w:sz w:val="22"/>
          <w:szCs w:val="22"/>
        </w:rPr>
        <w:t>25</w:t>
      </w:r>
      <w:r>
        <w:rPr>
          <w:sz w:val="22"/>
          <w:szCs w:val="22"/>
        </w:rPr>
        <w:t>. 1</w:t>
      </w:r>
      <w:r w:rsidR="00025C47">
        <w:rPr>
          <w:sz w:val="22"/>
          <w:szCs w:val="22"/>
        </w:rPr>
        <w:t>1</w:t>
      </w:r>
      <w:r>
        <w:rPr>
          <w:sz w:val="22"/>
          <w:szCs w:val="22"/>
        </w:rPr>
        <w:t>. 2019</w:t>
      </w:r>
      <w:r w:rsidRPr="009435AE">
        <w:rPr>
          <w:sz w:val="22"/>
          <w:szCs w:val="22"/>
        </w:rPr>
        <w:t xml:space="preserve"> dohodly na uzavření tohoto dodatku č. 1, kterým se smlouva mění následovně:</w:t>
      </w:r>
    </w:p>
    <w:p w:rsidR="00A429C1" w:rsidRDefault="00A429C1" w:rsidP="00A429C1">
      <w:pPr>
        <w:pStyle w:val="Zkladntext"/>
        <w:spacing w:line="276" w:lineRule="auto"/>
        <w:rPr>
          <w:sz w:val="22"/>
          <w:szCs w:val="22"/>
        </w:rPr>
      </w:pPr>
    </w:p>
    <w:p w:rsidR="00A429C1" w:rsidRPr="009435AE" w:rsidRDefault="00A429C1" w:rsidP="00A429C1">
      <w:pPr>
        <w:pStyle w:val="Zkladntext"/>
        <w:spacing w:line="276" w:lineRule="auto"/>
        <w:rPr>
          <w:sz w:val="22"/>
          <w:szCs w:val="22"/>
        </w:rPr>
      </w:pPr>
      <w:r w:rsidRPr="009435AE">
        <w:rPr>
          <w:sz w:val="22"/>
          <w:szCs w:val="22"/>
        </w:rPr>
        <w:t xml:space="preserve">Článek </w:t>
      </w:r>
      <w:r>
        <w:rPr>
          <w:sz w:val="22"/>
          <w:szCs w:val="22"/>
        </w:rPr>
        <w:t>IV</w:t>
      </w:r>
      <w:r w:rsidRPr="009435AE">
        <w:rPr>
          <w:sz w:val="22"/>
          <w:szCs w:val="22"/>
        </w:rPr>
        <w:t xml:space="preserve">. Cena a platební podmínky se ruší v plném rozsahu a nahrazuje se novým čl. </w:t>
      </w:r>
      <w:r>
        <w:rPr>
          <w:sz w:val="22"/>
          <w:szCs w:val="22"/>
        </w:rPr>
        <w:t>IV</w:t>
      </w:r>
      <w:r w:rsidRPr="009435AE">
        <w:rPr>
          <w:sz w:val="22"/>
          <w:szCs w:val="22"/>
        </w:rPr>
        <w:t xml:space="preserve"> v tomto znění: </w:t>
      </w:r>
    </w:p>
    <w:p w:rsidR="00A718F3" w:rsidRDefault="008B3EEB" w:rsidP="00C26243">
      <w:pPr>
        <w:pStyle w:val="Odstavec"/>
        <w:spacing w:line="14" w:lineRule="auto"/>
        <w:ind w:firstLine="0"/>
        <w:rPr>
          <w:rFonts w:ascii="Times New Roman" w:hAnsi="Times New Roman"/>
        </w:rPr>
      </w:pPr>
    </w:p>
    <w:p w:rsidR="00B94DBD" w:rsidRDefault="00B94DBD" w:rsidP="00C26243">
      <w:pPr>
        <w:pStyle w:val="Odstavec"/>
        <w:spacing w:line="14" w:lineRule="auto"/>
        <w:ind w:firstLine="0"/>
        <w:rPr>
          <w:rFonts w:ascii="Times New Roman" w:hAnsi="Times New Roman"/>
        </w:rPr>
      </w:pPr>
    </w:p>
    <w:p w:rsidR="008E5F38" w:rsidRDefault="008B3EEB" w:rsidP="00C26243">
      <w:pPr>
        <w:pStyle w:val="Odstavec"/>
        <w:spacing w:line="14" w:lineRule="auto"/>
        <w:ind w:firstLine="0"/>
        <w:rPr>
          <w:rFonts w:ascii="Times New Roman" w:hAnsi="Times New Roman"/>
        </w:rPr>
      </w:pPr>
    </w:p>
    <w:p w:rsidR="00A429C1" w:rsidRPr="009435AE" w:rsidRDefault="00A429C1" w:rsidP="00A429C1">
      <w:pPr>
        <w:pStyle w:val="Nadpis1"/>
        <w:ind w:left="142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I</w:t>
      </w:r>
      <w:r w:rsidRPr="009435AE">
        <w:rPr>
          <w:rFonts w:ascii="Times New Roman" w:hAnsi="Times New Roman" w:cs="Times New Roman"/>
          <w:b/>
          <w:color w:val="auto"/>
          <w:sz w:val="22"/>
          <w:szCs w:val="22"/>
        </w:rPr>
        <w:t>V.  CENA A PLATEBNÍ PODMÍNKY</w:t>
      </w:r>
    </w:p>
    <w:p w:rsidR="00A429C1" w:rsidRPr="009435AE" w:rsidRDefault="00A429C1" w:rsidP="00A429C1">
      <w:pPr>
        <w:rPr>
          <w:sz w:val="22"/>
          <w:szCs w:val="22"/>
        </w:rPr>
      </w:pPr>
    </w:p>
    <w:p w:rsidR="00A429C1" w:rsidRPr="009435AE" w:rsidRDefault="00A429C1" w:rsidP="00A429C1">
      <w:pPr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9435AE">
        <w:rPr>
          <w:sz w:val="22"/>
          <w:szCs w:val="22"/>
        </w:rPr>
        <w:t>Cena za odvedené odpadní vody („stočné“) m</w:t>
      </w:r>
      <w:r>
        <w:rPr>
          <w:sz w:val="22"/>
          <w:szCs w:val="22"/>
        </w:rPr>
        <w:t>á</w:t>
      </w:r>
      <w:r w:rsidRPr="009435AE">
        <w:rPr>
          <w:sz w:val="22"/>
          <w:szCs w:val="22"/>
        </w:rPr>
        <w:t xml:space="preserve"> jednosložkovou formu a j</w:t>
      </w:r>
      <w:r>
        <w:rPr>
          <w:sz w:val="22"/>
          <w:szCs w:val="22"/>
        </w:rPr>
        <w:t>e</w:t>
      </w:r>
      <w:r w:rsidRPr="009435AE">
        <w:rPr>
          <w:sz w:val="22"/>
          <w:szCs w:val="22"/>
        </w:rPr>
        <w:t xml:space="preserve"> stanoven</w:t>
      </w:r>
      <w:r>
        <w:rPr>
          <w:sz w:val="22"/>
          <w:szCs w:val="22"/>
        </w:rPr>
        <w:t>á</w:t>
      </w:r>
      <w:r w:rsidRPr="009435AE">
        <w:rPr>
          <w:sz w:val="22"/>
          <w:szCs w:val="22"/>
        </w:rPr>
        <w:t xml:space="preserve"> vždy pro příslušné účetní období, kterým je kalendářní rok.</w:t>
      </w:r>
    </w:p>
    <w:p w:rsidR="00A429C1" w:rsidRPr="009435AE" w:rsidRDefault="00A429C1" w:rsidP="00A429C1">
      <w:pPr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9435AE">
        <w:rPr>
          <w:sz w:val="22"/>
          <w:szCs w:val="22"/>
        </w:rPr>
        <w:t xml:space="preserve">Cena stočného je stanovována podle platných cenových předpisů.  </w:t>
      </w:r>
    </w:p>
    <w:p w:rsidR="00A429C1" w:rsidRPr="005E6ACA" w:rsidRDefault="00A429C1" w:rsidP="00A429C1">
      <w:pPr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9435AE">
        <w:rPr>
          <w:sz w:val="22"/>
          <w:szCs w:val="22"/>
        </w:rPr>
        <w:t xml:space="preserve">Cena stočného pro příslušný kalendářní rok bude </w:t>
      </w:r>
      <w:r w:rsidR="005E6ACA">
        <w:rPr>
          <w:sz w:val="22"/>
          <w:szCs w:val="22"/>
        </w:rPr>
        <w:t xml:space="preserve">provozovatelem </w:t>
      </w:r>
      <w:r>
        <w:rPr>
          <w:sz w:val="22"/>
          <w:szCs w:val="22"/>
        </w:rPr>
        <w:t xml:space="preserve">zveřejněna na webových </w:t>
      </w:r>
      <w:r w:rsidRPr="005E6ACA">
        <w:rPr>
          <w:sz w:val="22"/>
          <w:szCs w:val="22"/>
        </w:rPr>
        <w:t xml:space="preserve">stránkách </w:t>
      </w:r>
      <w:hyperlink r:id="rId8" w:history="1">
        <w:r w:rsidR="005E6ACA" w:rsidRPr="005E6ACA">
          <w:rPr>
            <w:rStyle w:val="Hypertextovodkaz"/>
            <w:color w:val="auto"/>
            <w:sz w:val="22"/>
            <w:szCs w:val="22"/>
          </w:rPr>
          <w:t>www.as-po.cz</w:t>
        </w:r>
      </w:hyperlink>
      <w:r w:rsidR="005E6ACA" w:rsidRPr="005E6ACA">
        <w:rPr>
          <w:sz w:val="22"/>
          <w:szCs w:val="22"/>
        </w:rPr>
        <w:t>.</w:t>
      </w:r>
    </w:p>
    <w:p w:rsidR="00A429C1" w:rsidRPr="009435AE" w:rsidRDefault="00A429C1" w:rsidP="00A429C1">
      <w:pPr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9435AE">
        <w:rPr>
          <w:sz w:val="22"/>
          <w:szCs w:val="22"/>
        </w:rPr>
        <w:t xml:space="preserve">Smluvní strany se dohodly, že odběratel bude </w:t>
      </w:r>
      <w:r>
        <w:rPr>
          <w:sz w:val="22"/>
          <w:szCs w:val="22"/>
        </w:rPr>
        <w:t>provozovateli</w:t>
      </w:r>
      <w:r w:rsidRPr="009435AE">
        <w:rPr>
          <w:sz w:val="22"/>
          <w:szCs w:val="22"/>
        </w:rPr>
        <w:t xml:space="preserve"> hradit čtvrtletní zálohy ve výši, která bude odpovídat předpokládané výši stočného za příslušné účetní období. Předpokládanou výši stočného stanoví </w:t>
      </w:r>
      <w:r>
        <w:rPr>
          <w:sz w:val="22"/>
          <w:szCs w:val="22"/>
        </w:rPr>
        <w:t>provozovatel</w:t>
      </w:r>
      <w:r w:rsidRPr="009435AE">
        <w:rPr>
          <w:sz w:val="22"/>
          <w:szCs w:val="22"/>
        </w:rPr>
        <w:t xml:space="preserve"> na základě množství odpadních vod odvedených pro odběratele v předcházejícím účetním období a na základě platné ceny.</w:t>
      </w:r>
    </w:p>
    <w:p w:rsidR="00A429C1" w:rsidRPr="009435AE" w:rsidRDefault="00A429C1" w:rsidP="00A429C1">
      <w:pPr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9435AE">
        <w:rPr>
          <w:sz w:val="22"/>
          <w:szCs w:val="22"/>
        </w:rPr>
        <w:t xml:space="preserve">Zálohové platby za stočné budou hrazeny odběratelem </w:t>
      </w:r>
      <w:r>
        <w:rPr>
          <w:sz w:val="22"/>
          <w:szCs w:val="22"/>
        </w:rPr>
        <w:t>provozovateli</w:t>
      </w:r>
      <w:r w:rsidRPr="009435AE">
        <w:rPr>
          <w:sz w:val="22"/>
          <w:szCs w:val="22"/>
        </w:rPr>
        <w:t xml:space="preserve"> do termínu splatnosti uvedeného na rozpisu zálohových plateb zaslaném </w:t>
      </w:r>
      <w:r>
        <w:rPr>
          <w:sz w:val="22"/>
          <w:szCs w:val="22"/>
        </w:rPr>
        <w:t>provozovatelem</w:t>
      </w:r>
      <w:r w:rsidRPr="009435AE">
        <w:rPr>
          <w:sz w:val="22"/>
          <w:szCs w:val="22"/>
        </w:rPr>
        <w:t xml:space="preserve">, a to převodem na bankovní účet </w:t>
      </w:r>
      <w:r>
        <w:rPr>
          <w:sz w:val="22"/>
          <w:szCs w:val="22"/>
        </w:rPr>
        <w:t>provozovatele</w:t>
      </w:r>
      <w:r w:rsidRPr="009435AE">
        <w:rPr>
          <w:sz w:val="22"/>
          <w:szCs w:val="22"/>
        </w:rPr>
        <w:t>, uvedený v záhlaví smlouvy.</w:t>
      </w:r>
    </w:p>
    <w:p w:rsidR="00A429C1" w:rsidRPr="009435AE" w:rsidRDefault="00A429C1" w:rsidP="00A429C1">
      <w:pPr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Provozovatel</w:t>
      </w:r>
      <w:r w:rsidRPr="009435AE">
        <w:rPr>
          <w:sz w:val="22"/>
          <w:szCs w:val="22"/>
        </w:rPr>
        <w:t xml:space="preserve"> se zavazuje zaplacené zálohy vyúčtovat jednou ročně v ročním vyúčtování. </w:t>
      </w:r>
    </w:p>
    <w:p w:rsidR="00A429C1" w:rsidRPr="009435AE" w:rsidRDefault="00A429C1" w:rsidP="00A429C1">
      <w:pPr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9435AE">
        <w:rPr>
          <w:sz w:val="22"/>
          <w:szCs w:val="22"/>
        </w:rPr>
        <w:t xml:space="preserve">Vyúčtování stočného uhradí odběratel na základě daňového dokladu (faktury) se splatností 30 dnů na bankovní účet uvedený ve faktuře. Případné přeplatky vrací </w:t>
      </w:r>
      <w:r>
        <w:rPr>
          <w:sz w:val="22"/>
          <w:szCs w:val="22"/>
        </w:rPr>
        <w:t>provozovatel</w:t>
      </w:r>
      <w:r w:rsidRPr="009435AE">
        <w:rPr>
          <w:sz w:val="22"/>
          <w:szCs w:val="22"/>
        </w:rPr>
        <w:t xml:space="preserve"> odběrateli na účet uvedený v záhlaví této smlouvy do doby splatnosti uvedené ve faktuře. Případnou změnu účtu se odběratel zavazuje </w:t>
      </w:r>
      <w:r>
        <w:rPr>
          <w:sz w:val="22"/>
          <w:szCs w:val="22"/>
        </w:rPr>
        <w:t>provozovateli</w:t>
      </w:r>
      <w:r w:rsidRPr="009435AE">
        <w:rPr>
          <w:sz w:val="22"/>
          <w:szCs w:val="22"/>
        </w:rPr>
        <w:t xml:space="preserve"> včas oznámit. </w:t>
      </w:r>
    </w:p>
    <w:p w:rsidR="00A429C1" w:rsidRPr="009435AE" w:rsidRDefault="00A429C1" w:rsidP="00A429C1">
      <w:pPr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9435AE">
        <w:rPr>
          <w:sz w:val="22"/>
          <w:szCs w:val="22"/>
        </w:rPr>
        <w:t xml:space="preserve">V případě prodlení s placením čtvrtletních záloh nebo vyúčtování bude </w:t>
      </w:r>
      <w:r>
        <w:rPr>
          <w:sz w:val="22"/>
          <w:szCs w:val="22"/>
        </w:rPr>
        <w:t>provozovatel</w:t>
      </w:r>
      <w:r w:rsidRPr="009435AE">
        <w:rPr>
          <w:sz w:val="22"/>
          <w:szCs w:val="22"/>
        </w:rPr>
        <w:t xml:space="preserve"> oprávněn vyúčtovat odběrateli zákonný úrok z prodlení a smluvní pokutu ve výši 0,05 % za každý den prodlení.</w:t>
      </w:r>
    </w:p>
    <w:p w:rsidR="00A429C1" w:rsidRPr="009435AE" w:rsidRDefault="00A429C1" w:rsidP="00A429C1">
      <w:pPr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9435AE">
        <w:rPr>
          <w:sz w:val="22"/>
          <w:szCs w:val="22"/>
        </w:rPr>
        <w:t xml:space="preserve">Nezaplatí-li odběratel </w:t>
      </w:r>
      <w:r>
        <w:rPr>
          <w:sz w:val="22"/>
          <w:szCs w:val="22"/>
        </w:rPr>
        <w:t>provozovateli</w:t>
      </w:r>
      <w:r w:rsidRPr="009435AE">
        <w:rPr>
          <w:sz w:val="22"/>
          <w:szCs w:val="22"/>
        </w:rPr>
        <w:t xml:space="preserve"> fakturu nejpozději do 30 dnů od uplynutí lhůty splatnosti, je </w:t>
      </w:r>
      <w:r>
        <w:rPr>
          <w:sz w:val="22"/>
          <w:szCs w:val="22"/>
        </w:rPr>
        <w:t>provozovatel</w:t>
      </w:r>
      <w:r w:rsidRPr="009435AE">
        <w:rPr>
          <w:sz w:val="22"/>
          <w:szCs w:val="22"/>
        </w:rPr>
        <w:t xml:space="preserve"> oprávněn přerušit odvádění odpadních vod. O přerušení bude odběratel informován 3 dny předem. Odběratel v takovém případě nemá nárok na náhradu škody, která by mu v důsledku toho vznikla.</w:t>
      </w:r>
    </w:p>
    <w:p w:rsidR="00A429C1" w:rsidRDefault="00A429C1" w:rsidP="00A429C1">
      <w:pPr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9435AE">
        <w:rPr>
          <w:sz w:val="22"/>
          <w:szCs w:val="22"/>
        </w:rPr>
        <w:t xml:space="preserve">Náklady vzniklé s přerušením nebo obnovením odvádění odpadních vod z důvodů zaviněných na straně odběratele je </w:t>
      </w:r>
      <w:r>
        <w:rPr>
          <w:sz w:val="22"/>
          <w:szCs w:val="22"/>
        </w:rPr>
        <w:t>provozovatel</w:t>
      </w:r>
      <w:r w:rsidRPr="009435AE">
        <w:rPr>
          <w:sz w:val="22"/>
          <w:szCs w:val="22"/>
        </w:rPr>
        <w:t xml:space="preserve"> oprávněn odběrateli vyúčtovat. </w:t>
      </w:r>
    </w:p>
    <w:p w:rsidR="005E6ACA" w:rsidRDefault="005E6ACA" w:rsidP="005E6ACA">
      <w:pPr>
        <w:spacing w:before="120" w:after="120"/>
        <w:jc w:val="both"/>
        <w:rPr>
          <w:sz w:val="22"/>
          <w:szCs w:val="22"/>
        </w:rPr>
      </w:pPr>
    </w:p>
    <w:p w:rsidR="005E6ACA" w:rsidRDefault="005E6ACA" w:rsidP="005E6ACA">
      <w:pPr>
        <w:spacing w:before="240"/>
        <w:ind w:left="1140"/>
        <w:jc w:val="center"/>
        <w:rPr>
          <w:b/>
          <w:sz w:val="22"/>
          <w:szCs w:val="22"/>
        </w:rPr>
      </w:pPr>
      <w:r w:rsidRPr="002A5D5E">
        <w:rPr>
          <w:b/>
          <w:sz w:val="22"/>
          <w:szCs w:val="22"/>
        </w:rPr>
        <w:t>ZÁVĚREČNÁ U</w:t>
      </w:r>
      <w:r>
        <w:rPr>
          <w:b/>
          <w:sz w:val="22"/>
          <w:szCs w:val="22"/>
        </w:rPr>
        <w:t>JEDNÁNÍ</w:t>
      </w:r>
    </w:p>
    <w:p w:rsidR="005E6ACA" w:rsidRDefault="005E6ACA" w:rsidP="005E6ACA">
      <w:pPr>
        <w:ind w:left="1140"/>
        <w:jc w:val="center"/>
        <w:rPr>
          <w:b/>
          <w:sz w:val="22"/>
          <w:szCs w:val="22"/>
        </w:rPr>
      </w:pPr>
    </w:p>
    <w:p w:rsidR="005E6ACA" w:rsidRPr="008E28BD" w:rsidRDefault="005E6ACA" w:rsidP="005E6ACA">
      <w:pPr>
        <w:pStyle w:val="Odstavecseseznamem"/>
        <w:numPr>
          <w:ilvl w:val="0"/>
          <w:numId w:val="3"/>
        </w:numPr>
        <w:autoSpaceDE/>
        <w:autoSpaceDN/>
        <w:ind w:left="426" w:hanging="284"/>
        <w:rPr>
          <w:sz w:val="22"/>
          <w:szCs w:val="22"/>
        </w:rPr>
      </w:pPr>
      <w:r w:rsidRPr="008E28BD">
        <w:rPr>
          <w:sz w:val="22"/>
          <w:szCs w:val="22"/>
        </w:rPr>
        <w:t>Ostatní ustanovení smlouvy zůstávají beze změn.</w:t>
      </w:r>
    </w:p>
    <w:p w:rsidR="005E6ACA" w:rsidRPr="008E28BD" w:rsidRDefault="005E6ACA" w:rsidP="005E6ACA">
      <w:pPr>
        <w:pStyle w:val="Odstavecseseznamem"/>
        <w:autoSpaceDE/>
        <w:autoSpaceDN/>
        <w:ind w:left="426" w:hanging="284"/>
        <w:rPr>
          <w:sz w:val="22"/>
          <w:szCs w:val="22"/>
        </w:rPr>
      </w:pPr>
    </w:p>
    <w:p w:rsidR="005E6ACA" w:rsidRPr="008E28BD" w:rsidRDefault="005E6ACA" w:rsidP="005E6ACA">
      <w:pPr>
        <w:pStyle w:val="Odstavecseseznamem"/>
        <w:numPr>
          <w:ilvl w:val="0"/>
          <w:numId w:val="3"/>
        </w:numPr>
        <w:autoSpaceDE/>
        <w:autoSpaceDN/>
        <w:ind w:left="426" w:hanging="284"/>
        <w:rPr>
          <w:sz w:val="22"/>
          <w:szCs w:val="22"/>
        </w:rPr>
      </w:pPr>
      <w:r w:rsidRPr="008E28BD">
        <w:rPr>
          <w:sz w:val="22"/>
          <w:szCs w:val="22"/>
        </w:rPr>
        <w:t>Tento výtisk je vyhotoven ve dvou exemplářích, z nichž každá ze smluvních stran obdrží po jednom výtisku.</w:t>
      </w:r>
    </w:p>
    <w:p w:rsidR="005E6ACA" w:rsidRPr="008E28BD" w:rsidRDefault="005E6ACA" w:rsidP="005E6ACA">
      <w:pPr>
        <w:pStyle w:val="Odstavecseseznamem"/>
        <w:autoSpaceDE/>
        <w:autoSpaceDN/>
        <w:ind w:left="426" w:hanging="284"/>
        <w:rPr>
          <w:sz w:val="22"/>
          <w:szCs w:val="22"/>
        </w:rPr>
      </w:pPr>
    </w:p>
    <w:p w:rsidR="005E6ACA" w:rsidRPr="008E28BD" w:rsidRDefault="005E6ACA" w:rsidP="005E6ACA">
      <w:pPr>
        <w:pStyle w:val="Odstavecseseznamem"/>
        <w:numPr>
          <w:ilvl w:val="0"/>
          <w:numId w:val="3"/>
        </w:numPr>
        <w:autoSpaceDE/>
        <w:autoSpaceDN/>
        <w:ind w:left="426" w:hanging="284"/>
        <w:rPr>
          <w:sz w:val="22"/>
          <w:szCs w:val="22"/>
        </w:rPr>
      </w:pPr>
      <w:r w:rsidRPr="008E28BD">
        <w:rPr>
          <w:sz w:val="22"/>
          <w:szCs w:val="22"/>
        </w:rPr>
        <w:t>Smluvní strany prohlašují, že si tento dodatek před jeho podpisem přečetly a stvrzují, že byl uzavřen po vzájemném projednání, podle jejich pravé a svobodné vůle.</w:t>
      </w:r>
    </w:p>
    <w:p w:rsidR="005E6ACA" w:rsidRPr="008E28BD" w:rsidRDefault="005E6ACA" w:rsidP="005E6ACA">
      <w:pPr>
        <w:pStyle w:val="Odstavecseseznamem"/>
        <w:autoSpaceDE/>
        <w:autoSpaceDN/>
        <w:ind w:left="426" w:hanging="284"/>
        <w:rPr>
          <w:sz w:val="22"/>
          <w:szCs w:val="22"/>
        </w:rPr>
      </w:pPr>
    </w:p>
    <w:p w:rsidR="005E6ACA" w:rsidRPr="008E28BD" w:rsidRDefault="005E6ACA" w:rsidP="005E6ACA">
      <w:pPr>
        <w:pStyle w:val="Odstavecseseznamem"/>
        <w:numPr>
          <w:ilvl w:val="0"/>
          <w:numId w:val="3"/>
        </w:numPr>
        <w:autoSpaceDE/>
        <w:autoSpaceDN/>
        <w:ind w:left="426" w:hanging="284"/>
        <w:rPr>
          <w:sz w:val="22"/>
          <w:szCs w:val="22"/>
        </w:rPr>
      </w:pPr>
      <w:r w:rsidRPr="008E28BD">
        <w:rPr>
          <w:sz w:val="22"/>
          <w:szCs w:val="22"/>
        </w:rPr>
        <w:t>Dodatek nabývá platnosti a účinnosti podpisem poslední ze smluvních stran.</w:t>
      </w:r>
    </w:p>
    <w:p w:rsidR="005E6ACA" w:rsidRPr="008E28BD" w:rsidRDefault="005E6ACA" w:rsidP="005E6ACA">
      <w:pPr>
        <w:spacing w:before="120" w:after="120"/>
        <w:jc w:val="both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F5330" w:rsidRPr="008E28BD" w:rsidTr="0002425F">
        <w:trPr>
          <w:cantSplit/>
        </w:trPr>
        <w:tc>
          <w:tcPr>
            <w:tcW w:w="4531" w:type="dxa"/>
          </w:tcPr>
          <w:p w:rsidR="005D1B6C" w:rsidRPr="008E28BD" w:rsidRDefault="0044183C" w:rsidP="005E6ACA">
            <w:pPr>
              <w:pStyle w:val="Default"/>
              <w:rPr>
                <w:sz w:val="22"/>
                <w:szCs w:val="22"/>
              </w:rPr>
            </w:pPr>
            <w:r w:rsidRPr="008E28BD">
              <w:rPr>
                <w:sz w:val="22"/>
                <w:szCs w:val="22"/>
              </w:rPr>
              <w:t>V Praze dne</w:t>
            </w:r>
            <w:r w:rsidR="00C514E3" w:rsidRPr="008E28BD">
              <w:rPr>
                <w:sz w:val="22"/>
                <w:szCs w:val="22"/>
              </w:rPr>
              <w:t xml:space="preserve"> </w:t>
            </w:r>
            <w:r w:rsidRPr="008E28BD">
              <w:rPr>
                <w:sz w:val="22"/>
                <w:szCs w:val="22"/>
              </w:rPr>
              <w:t>……………</w:t>
            </w:r>
          </w:p>
          <w:p w:rsidR="005D1B6C" w:rsidRPr="008E28BD" w:rsidRDefault="008B3EEB" w:rsidP="005D1B6C">
            <w:pPr>
              <w:pStyle w:val="Default"/>
              <w:rPr>
                <w:sz w:val="22"/>
                <w:szCs w:val="22"/>
              </w:rPr>
            </w:pPr>
          </w:p>
          <w:p w:rsidR="005D1B6C" w:rsidRPr="008E28BD" w:rsidRDefault="008B3EEB" w:rsidP="005D1B6C">
            <w:pPr>
              <w:pStyle w:val="Default"/>
              <w:rPr>
                <w:sz w:val="22"/>
                <w:szCs w:val="22"/>
              </w:rPr>
            </w:pPr>
          </w:p>
          <w:p w:rsidR="00C514E3" w:rsidRDefault="00C514E3" w:rsidP="005D1B6C">
            <w:pPr>
              <w:pStyle w:val="Default"/>
              <w:rPr>
                <w:sz w:val="22"/>
                <w:szCs w:val="22"/>
              </w:rPr>
            </w:pPr>
          </w:p>
          <w:p w:rsidR="00A94170" w:rsidRPr="008E28BD" w:rsidRDefault="00A94170" w:rsidP="005D1B6C">
            <w:pPr>
              <w:pStyle w:val="Default"/>
              <w:rPr>
                <w:sz w:val="22"/>
                <w:szCs w:val="22"/>
              </w:rPr>
            </w:pPr>
          </w:p>
          <w:p w:rsidR="005D1B6C" w:rsidRPr="008E28BD" w:rsidRDefault="008B3EEB" w:rsidP="005D1B6C">
            <w:pPr>
              <w:pStyle w:val="Default"/>
              <w:rPr>
                <w:sz w:val="22"/>
                <w:szCs w:val="22"/>
              </w:rPr>
            </w:pPr>
          </w:p>
          <w:p w:rsidR="005D1B6C" w:rsidRPr="008E28BD" w:rsidRDefault="0044183C" w:rsidP="005D1B6C">
            <w:pPr>
              <w:pStyle w:val="Default"/>
              <w:jc w:val="center"/>
              <w:rPr>
                <w:sz w:val="22"/>
                <w:szCs w:val="22"/>
              </w:rPr>
            </w:pPr>
            <w:r w:rsidRPr="008E28BD">
              <w:rPr>
                <w:sz w:val="22"/>
                <w:szCs w:val="22"/>
              </w:rPr>
              <w:t>........................................................</w:t>
            </w:r>
          </w:p>
          <w:p w:rsidR="00F50868" w:rsidRPr="008E28BD" w:rsidRDefault="0044183C" w:rsidP="005D1B6C">
            <w:pPr>
              <w:pStyle w:val="Default"/>
              <w:jc w:val="center"/>
              <w:rPr>
                <w:sz w:val="22"/>
                <w:szCs w:val="22"/>
              </w:rPr>
            </w:pPr>
            <w:r w:rsidRPr="008E28BD">
              <w:rPr>
                <w:sz w:val="22"/>
                <w:szCs w:val="22"/>
              </w:rPr>
              <w:t>Ing. Martin Lehký</w:t>
            </w:r>
          </w:p>
          <w:p w:rsidR="00C514E3" w:rsidRPr="008E28BD" w:rsidRDefault="00C514E3" w:rsidP="005D1B6C">
            <w:pPr>
              <w:pStyle w:val="Default"/>
              <w:jc w:val="center"/>
              <w:rPr>
                <w:sz w:val="22"/>
                <w:szCs w:val="22"/>
              </w:rPr>
            </w:pPr>
            <w:r w:rsidRPr="008E28BD">
              <w:rPr>
                <w:sz w:val="22"/>
                <w:szCs w:val="22"/>
              </w:rPr>
              <w:t>ředitel AS-PO</w:t>
            </w:r>
          </w:p>
        </w:tc>
        <w:tc>
          <w:tcPr>
            <w:tcW w:w="4531" w:type="dxa"/>
          </w:tcPr>
          <w:p w:rsidR="005D1B6C" w:rsidRPr="008E28BD" w:rsidRDefault="0044183C" w:rsidP="005D1B6C">
            <w:pPr>
              <w:pStyle w:val="Default"/>
              <w:jc w:val="center"/>
              <w:rPr>
                <w:sz w:val="22"/>
                <w:szCs w:val="22"/>
              </w:rPr>
            </w:pPr>
            <w:r w:rsidRPr="008E28BD">
              <w:rPr>
                <w:sz w:val="22"/>
                <w:szCs w:val="22"/>
              </w:rPr>
              <w:t xml:space="preserve">V </w:t>
            </w:r>
            <w:r w:rsidR="00C514E3" w:rsidRPr="008E28BD">
              <w:rPr>
                <w:sz w:val="22"/>
                <w:szCs w:val="22"/>
              </w:rPr>
              <w:t>Komorním Hrádku</w:t>
            </w:r>
            <w:r w:rsidRPr="008E28BD">
              <w:rPr>
                <w:sz w:val="22"/>
                <w:szCs w:val="22"/>
              </w:rPr>
              <w:t xml:space="preserve"> dne</w:t>
            </w:r>
            <w:r w:rsidR="00C514E3" w:rsidRPr="008E28BD">
              <w:rPr>
                <w:sz w:val="22"/>
                <w:szCs w:val="22"/>
              </w:rPr>
              <w:t xml:space="preserve">   </w:t>
            </w:r>
            <w:r w:rsidRPr="008E28BD">
              <w:rPr>
                <w:sz w:val="22"/>
                <w:szCs w:val="22"/>
              </w:rPr>
              <w:t>……………</w:t>
            </w:r>
          </w:p>
          <w:p w:rsidR="005D1B6C" w:rsidRPr="008E28BD" w:rsidRDefault="008B3EEB" w:rsidP="005D1B6C">
            <w:pPr>
              <w:rPr>
                <w:sz w:val="22"/>
                <w:szCs w:val="22"/>
              </w:rPr>
            </w:pPr>
          </w:p>
          <w:p w:rsidR="005D1B6C" w:rsidRPr="008E28BD" w:rsidRDefault="008B3EEB" w:rsidP="005D1B6C">
            <w:pPr>
              <w:rPr>
                <w:sz w:val="22"/>
                <w:szCs w:val="22"/>
              </w:rPr>
            </w:pPr>
          </w:p>
          <w:p w:rsidR="005D1B6C" w:rsidRDefault="008B3EEB" w:rsidP="005D1B6C">
            <w:pPr>
              <w:rPr>
                <w:sz w:val="22"/>
                <w:szCs w:val="22"/>
              </w:rPr>
            </w:pPr>
          </w:p>
          <w:p w:rsidR="003E5A6F" w:rsidRPr="008E28BD" w:rsidRDefault="003E5A6F" w:rsidP="005D1B6C">
            <w:pPr>
              <w:rPr>
                <w:sz w:val="22"/>
                <w:szCs w:val="22"/>
              </w:rPr>
            </w:pPr>
          </w:p>
          <w:p w:rsidR="00C514E3" w:rsidRPr="008E28BD" w:rsidRDefault="00C514E3" w:rsidP="005D1B6C">
            <w:pPr>
              <w:rPr>
                <w:sz w:val="22"/>
                <w:szCs w:val="22"/>
              </w:rPr>
            </w:pPr>
          </w:p>
          <w:p w:rsidR="005D1B6C" w:rsidRPr="008E28BD" w:rsidRDefault="0044183C" w:rsidP="005D1B6C">
            <w:pPr>
              <w:pStyle w:val="Default"/>
              <w:jc w:val="center"/>
              <w:rPr>
                <w:sz w:val="22"/>
                <w:szCs w:val="22"/>
              </w:rPr>
            </w:pPr>
            <w:r w:rsidRPr="008E28BD">
              <w:rPr>
                <w:sz w:val="22"/>
                <w:szCs w:val="22"/>
              </w:rPr>
              <w:t>..........................................................</w:t>
            </w:r>
          </w:p>
          <w:p w:rsidR="00F50868" w:rsidRDefault="00300ACD" w:rsidP="005D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  <w:bookmarkStart w:id="1" w:name="_GoBack"/>
            <w:bookmarkEnd w:id="1"/>
          </w:p>
          <w:p w:rsidR="0082299D" w:rsidRPr="008E28BD" w:rsidRDefault="00025C47" w:rsidP="005D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odběratel</w:t>
            </w:r>
          </w:p>
        </w:tc>
      </w:tr>
    </w:tbl>
    <w:p w:rsidR="002F5330" w:rsidRDefault="002F5330" w:rsidP="00A94170"/>
    <w:sectPr w:rsidR="002F5330" w:rsidSect="00A429C1">
      <w:headerReference w:type="default" r:id="rId9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EEB" w:rsidRDefault="008B3EEB" w:rsidP="00571BF3">
      <w:r>
        <w:separator/>
      </w:r>
    </w:p>
  </w:endnote>
  <w:endnote w:type="continuationSeparator" w:id="0">
    <w:p w:rsidR="008B3EEB" w:rsidRDefault="008B3EEB" w:rsidP="0057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South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EEB" w:rsidRDefault="008B3EEB" w:rsidP="00571BF3">
      <w:r>
        <w:separator/>
      </w:r>
    </w:p>
  </w:footnote>
  <w:footnote w:type="continuationSeparator" w:id="0">
    <w:p w:rsidR="008B3EEB" w:rsidRDefault="008B3EEB" w:rsidP="00571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BF3" w:rsidRPr="00571BF3" w:rsidRDefault="00571BF3" w:rsidP="00571BF3">
    <w:pPr>
      <w:pStyle w:val="Zhlav"/>
      <w:jc w:val="right"/>
      <w:rPr>
        <w:color w:val="808080" w:themeColor="background1" w:themeShade="80"/>
        <w:sz w:val="22"/>
        <w:szCs w:val="22"/>
      </w:rPr>
    </w:pPr>
    <w:r w:rsidRPr="00571BF3">
      <w:rPr>
        <w:color w:val="808080" w:themeColor="background1" w:themeShade="80"/>
        <w:sz w:val="22"/>
        <w:szCs w:val="22"/>
      </w:rPr>
      <w:t>Smlouva č. 33</w:t>
    </w:r>
    <w:r w:rsidR="00D15937">
      <w:rPr>
        <w:color w:val="808080" w:themeColor="background1" w:themeShade="80"/>
        <w:sz w:val="22"/>
        <w:szCs w:val="22"/>
      </w:rPr>
      <w:t>3</w:t>
    </w:r>
    <w:r w:rsidRPr="00571BF3">
      <w:rPr>
        <w:color w:val="808080" w:themeColor="background1" w:themeShade="80"/>
        <w:sz w:val="22"/>
        <w:szCs w:val="22"/>
      </w:rPr>
      <w:t>-00/19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0180F"/>
    <w:multiLevelType w:val="hybridMultilevel"/>
    <w:tmpl w:val="59D6F314"/>
    <w:lvl w:ilvl="0" w:tplc="E50EC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5C65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74A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C8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4421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76E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80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092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C60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91F33"/>
    <w:multiLevelType w:val="hybridMultilevel"/>
    <w:tmpl w:val="02189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86416"/>
    <w:multiLevelType w:val="hybridMultilevel"/>
    <w:tmpl w:val="A6F6984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30"/>
    <w:rsid w:val="00025C47"/>
    <w:rsid w:val="00252553"/>
    <w:rsid w:val="002C5711"/>
    <w:rsid w:val="002F5330"/>
    <w:rsid w:val="00300ACD"/>
    <w:rsid w:val="0031414C"/>
    <w:rsid w:val="003B33B9"/>
    <w:rsid w:val="003E5A6F"/>
    <w:rsid w:val="00424454"/>
    <w:rsid w:val="0044183C"/>
    <w:rsid w:val="00565ADE"/>
    <w:rsid w:val="00571BF3"/>
    <w:rsid w:val="005E6ACA"/>
    <w:rsid w:val="006F36EE"/>
    <w:rsid w:val="007D4747"/>
    <w:rsid w:val="0082299D"/>
    <w:rsid w:val="008B3EEB"/>
    <w:rsid w:val="008E28BD"/>
    <w:rsid w:val="00A429C1"/>
    <w:rsid w:val="00A94170"/>
    <w:rsid w:val="00B94DBD"/>
    <w:rsid w:val="00C514E3"/>
    <w:rsid w:val="00D15937"/>
    <w:rsid w:val="00D8341C"/>
    <w:rsid w:val="00DD37D5"/>
    <w:rsid w:val="00E4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C9D4B"/>
  <w15:docId w15:val="{9A39B238-9EF6-463B-81C9-69691A32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4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429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7">
    <w:name w:val="heading 7"/>
    <w:basedOn w:val="Normln"/>
    <w:next w:val="Normln"/>
    <w:link w:val="Nadpis7Char"/>
    <w:uiPriority w:val="99"/>
    <w:qFormat/>
    <w:rsid w:val="00571BF3"/>
    <w:pPr>
      <w:keepNext/>
      <w:autoSpaceDE w:val="0"/>
      <w:autoSpaceDN w:val="0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534CB1"/>
  </w:style>
  <w:style w:type="paragraph" w:styleId="Zkladntext">
    <w:name w:val="Body Text"/>
    <w:basedOn w:val="Normln"/>
    <w:link w:val="ZkladntextChar"/>
    <w:unhideWhenUsed/>
    <w:rsid w:val="00534CB1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34C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Normln"/>
    <w:rsid w:val="00534CB1"/>
    <w:pPr>
      <w:autoSpaceDE w:val="0"/>
      <w:autoSpaceDN w:val="0"/>
      <w:ind w:firstLine="851"/>
      <w:jc w:val="both"/>
    </w:pPr>
    <w:rPr>
      <w:rFonts w:ascii="AT*Southern" w:hAnsi="AT*Southern"/>
      <w:sz w:val="20"/>
    </w:rPr>
  </w:style>
  <w:style w:type="table" w:styleId="Mkatabulky">
    <w:name w:val="Table Grid"/>
    <w:basedOn w:val="Normlntabulka"/>
    <w:uiPriority w:val="39"/>
    <w:rsid w:val="00284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A5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E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E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E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E5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F508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71B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1B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1B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1BF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571BF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571BF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571BF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429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29C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29C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E6ACA"/>
    <w:pPr>
      <w:autoSpaceDE w:val="0"/>
      <w:autoSpaceDN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-p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79287-3ABF-4164-904A-D8F86DE4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TESCO SW, a.s.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Ganbaatar Sukhdorj</dc:creator>
  <cp:lastModifiedBy>POSPISILOVA Vera</cp:lastModifiedBy>
  <cp:revision>5</cp:revision>
  <cp:lastPrinted>2023-01-18T13:25:00Z</cp:lastPrinted>
  <dcterms:created xsi:type="dcterms:W3CDTF">2023-03-30T13:40:00Z</dcterms:created>
  <dcterms:modified xsi:type="dcterms:W3CDTF">2023-05-05T06:47:00Z</dcterms:modified>
</cp:coreProperties>
</file>