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66" w:rsidRPr="00F91FCF" w:rsidRDefault="00BA4862" w:rsidP="00336366">
      <w:pPr>
        <w:spacing w:line="240" w:lineRule="auto"/>
        <w:jc w:val="center"/>
        <w:rPr>
          <w:rFonts w:cs="Arial"/>
          <w:b/>
          <w:color w:val="C21B17"/>
          <w:sz w:val="32"/>
          <w:szCs w:val="32"/>
        </w:rPr>
      </w:pPr>
      <w:r>
        <w:rPr>
          <w:rFonts w:cs="Arial"/>
          <w:noProof/>
          <w:color w:val="C21B17"/>
          <w:sz w:val="32"/>
          <w:szCs w:val="32"/>
          <w:lang w:val="cs-CZ" w:eastAsia="cs-CZ"/>
        </w:rPr>
        <w:t xml:space="preserve">Dodatek č. </w:t>
      </w:r>
      <w:r w:rsidR="00143A87">
        <w:rPr>
          <w:rFonts w:cs="Arial"/>
          <w:noProof/>
          <w:color w:val="C21B17"/>
          <w:sz w:val="32"/>
          <w:szCs w:val="32"/>
          <w:lang w:val="cs-CZ" w:eastAsia="cs-CZ"/>
        </w:rPr>
        <w:t>3</w:t>
      </w:r>
      <w:r>
        <w:rPr>
          <w:rFonts w:cs="Arial"/>
          <w:noProof/>
          <w:color w:val="C21B17"/>
          <w:sz w:val="32"/>
          <w:szCs w:val="32"/>
          <w:lang w:val="cs-CZ" w:eastAsia="cs-CZ"/>
        </w:rPr>
        <w:t xml:space="preserve"> k pojistné smlouvě č.</w:t>
      </w:r>
      <w:r w:rsidR="00336366">
        <w:rPr>
          <w:rFonts w:cs="Arial"/>
          <w:noProof/>
          <w:color w:val="C21B17"/>
          <w:sz w:val="32"/>
          <w:szCs w:val="32"/>
          <w:lang w:val="cs-CZ" w:eastAsia="cs-CZ"/>
        </w:rPr>
        <w:t xml:space="preserve"> </w:t>
      </w:r>
      <w:r w:rsidR="00706A84" w:rsidRPr="00706A84">
        <w:rPr>
          <w:rFonts w:cs="Arial"/>
          <w:noProof/>
          <w:color w:val="C21B17"/>
          <w:sz w:val="32"/>
          <w:szCs w:val="32"/>
          <w:lang w:val="cs-CZ" w:eastAsia="cs-CZ"/>
        </w:rPr>
        <w:t>215</w:t>
      </w:r>
      <w:r w:rsidR="00B96A37">
        <w:rPr>
          <w:rFonts w:cs="Arial"/>
          <w:noProof/>
          <w:color w:val="C21B17"/>
          <w:sz w:val="32"/>
          <w:szCs w:val="32"/>
          <w:lang w:val="cs-CZ" w:eastAsia="cs-CZ"/>
        </w:rPr>
        <w:t>8956025</w:t>
      </w:r>
    </w:p>
    <w:p w:rsidR="00B84D9C" w:rsidRPr="004B3ACC" w:rsidRDefault="00B84D9C" w:rsidP="00336366">
      <w:pPr>
        <w:rPr>
          <w:sz w:val="20"/>
          <w:szCs w:val="20"/>
        </w:rPr>
      </w:pPr>
    </w:p>
    <w:p w:rsidR="00336366" w:rsidRPr="004B3ACC" w:rsidRDefault="00336366" w:rsidP="00336366">
      <w:pPr>
        <w:rPr>
          <w:sz w:val="20"/>
          <w:szCs w:val="20"/>
        </w:rPr>
      </w:pPr>
    </w:p>
    <w:p w:rsidR="005D05BE" w:rsidRPr="006E414F" w:rsidRDefault="005D05BE" w:rsidP="005D05BE">
      <w:pPr>
        <w:widowControl/>
        <w:spacing w:before="0" w:after="0" w:line="240" w:lineRule="auto"/>
        <w:contextualSpacing w:val="0"/>
        <w:rPr>
          <w:b/>
          <w:color w:val="auto"/>
          <w:sz w:val="20"/>
          <w:szCs w:val="20"/>
          <w:lang w:val="cs-CZ" w:eastAsia="cs-CZ"/>
        </w:rPr>
      </w:pPr>
      <w:r w:rsidRPr="006E414F">
        <w:rPr>
          <w:b/>
          <w:color w:val="auto"/>
          <w:sz w:val="20"/>
          <w:szCs w:val="20"/>
          <w:lang w:val="cs-CZ" w:eastAsia="cs-CZ"/>
        </w:rPr>
        <w:t>Generali Česká pojišťovna a.s.</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Spálená 75/16, Nové Město, 110 00 Praha 1, Česká republika, IČO 45272956</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 xml:space="preserve">zastupuje </w:t>
      </w:r>
      <w:r w:rsidR="00B07A5D">
        <w:rPr>
          <w:rFonts w:cs="Arial"/>
          <w:color w:val="auto"/>
          <w:sz w:val="20"/>
          <w:szCs w:val="20"/>
          <w:lang w:val="cs-CZ" w:eastAsia="cs-CZ"/>
        </w:rPr>
        <w:t>Martin Peroutka</w:t>
      </w:r>
      <w:r w:rsidRPr="006E414F">
        <w:rPr>
          <w:rFonts w:cs="Arial"/>
          <w:color w:val="auto"/>
          <w:sz w:val="20"/>
          <w:szCs w:val="20"/>
          <w:lang w:val="cs-CZ" w:eastAsia="cs-CZ"/>
        </w:rPr>
        <w:t xml:space="preserve">, </w:t>
      </w:r>
      <w:r>
        <w:rPr>
          <w:rFonts w:cs="Arial"/>
          <w:color w:val="auto"/>
          <w:sz w:val="20"/>
          <w:szCs w:val="20"/>
          <w:lang w:val="cs-CZ" w:eastAsia="cs-CZ"/>
        </w:rPr>
        <w:t xml:space="preserve">upisovatel </w:t>
      </w:r>
      <w:r w:rsidRPr="006E414F">
        <w:rPr>
          <w:rFonts w:cs="Arial"/>
          <w:color w:val="auto"/>
          <w:sz w:val="20"/>
          <w:szCs w:val="20"/>
          <w:lang w:val="cs-CZ" w:eastAsia="cs-CZ"/>
        </w:rPr>
        <w:t>senior, Korporátní a průmyslové pojištění</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a Ing. Miloš Folda, upisovatel senior, Korporátní a průmyslové pojištění</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Společnost je zapsaná v obchodním rejstříku u Městského soudu v Praze, spisová značka B 1464</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 xml:space="preserve">člen Skupiny Generali, zapsané v italském registru pojišťovacích skupin, vedeném IVASS </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(dále jen “pojistitel”)</w:t>
      </w:r>
    </w:p>
    <w:p w:rsidR="00795A27" w:rsidRPr="00D81FCF" w:rsidRDefault="00795A27" w:rsidP="00795A27">
      <w:pPr>
        <w:widowControl/>
        <w:spacing w:before="0" w:after="0" w:line="240" w:lineRule="auto"/>
        <w:contextualSpacing w:val="0"/>
        <w:rPr>
          <w:color w:val="auto"/>
          <w:sz w:val="20"/>
          <w:szCs w:val="20"/>
          <w:lang w:val="cs-CZ" w:eastAsia="cs-CZ"/>
        </w:rPr>
      </w:pPr>
    </w:p>
    <w:p w:rsidR="00795A27" w:rsidRDefault="00795A27" w:rsidP="00795A27">
      <w:pPr>
        <w:widowControl/>
        <w:spacing w:before="240" w:after="240" w:line="240" w:lineRule="auto"/>
        <w:contextualSpacing w:val="0"/>
        <w:rPr>
          <w:color w:val="auto"/>
          <w:sz w:val="20"/>
          <w:szCs w:val="20"/>
          <w:lang w:val="cs-CZ" w:eastAsia="cs-CZ"/>
        </w:rPr>
      </w:pPr>
      <w:r w:rsidRPr="00D81FCF">
        <w:rPr>
          <w:color w:val="auto"/>
          <w:sz w:val="20"/>
          <w:szCs w:val="20"/>
          <w:lang w:val="cs-CZ" w:eastAsia="cs-CZ"/>
        </w:rPr>
        <w:t>a</w:t>
      </w:r>
    </w:p>
    <w:p w:rsidR="00525C72" w:rsidRPr="00525C72" w:rsidRDefault="00525C72" w:rsidP="00525C72">
      <w:pPr>
        <w:widowControl/>
        <w:spacing w:before="0" w:after="0" w:line="240" w:lineRule="auto"/>
        <w:contextualSpacing w:val="0"/>
        <w:rPr>
          <w:b/>
          <w:color w:val="auto"/>
          <w:sz w:val="20"/>
          <w:szCs w:val="20"/>
          <w:lang w:val="cs-CZ" w:eastAsia="cs-CZ"/>
        </w:rPr>
      </w:pPr>
      <w:r w:rsidRPr="00525C72">
        <w:rPr>
          <w:b/>
          <w:color w:val="auto"/>
          <w:sz w:val="20"/>
          <w:szCs w:val="20"/>
          <w:lang w:val="cs-CZ" w:eastAsia="cs-CZ"/>
        </w:rPr>
        <w:t xml:space="preserve">Ústav živočišné fyziologie a genetiky AV ČR, </w:t>
      </w:r>
      <w:proofErr w:type="spellStart"/>
      <w:proofErr w:type="gramStart"/>
      <w:r w:rsidRPr="00525C72">
        <w:rPr>
          <w:b/>
          <w:color w:val="auto"/>
          <w:sz w:val="20"/>
          <w:szCs w:val="20"/>
          <w:lang w:val="cs-CZ" w:eastAsia="cs-CZ"/>
        </w:rPr>
        <w:t>v.v.</w:t>
      </w:r>
      <w:proofErr w:type="gramEnd"/>
      <w:r w:rsidRPr="00525C72">
        <w:rPr>
          <w:b/>
          <w:color w:val="auto"/>
          <w:sz w:val="20"/>
          <w:szCs w:val="20"/>
          <w:lang w:val="cs-CZ" w:eastAsia="cs-CZ"/>
        </w:rPr>
        <w:t>i</w:t>
      </w:r>
      <w:proofErr w:type="spellEnd"/>
      <w:r w:rsidRPr="00525C72">
        <w:rPr>
          <w:b/>
          <w:color w:val="auto"/>
          <w:sz w:val="20"/>
          <w:szCs w:val="20"/>
          <w:lang w:val="cs-CZ" w:eastAsia="cs-CZ"/>
        </w:rPr>
        <w:t>.</w:t>
      </w:r>
    </w:p>
    <w:p w:rsidR="00525C72" w:rsidRPr="00525C72" w:rsidRDefault="00525C72" w:rsidP="00525C72">
      <w:pPr>
        <w:widowControl/>
        <w:spacing w:before="0" w:after="0" w:line="240" w:lineRule="auto"/>
        <w:contextualSpacing w:val="0"/>
        <w:rPr>
          <w:rFonts w:cs="Arial"/>
          <w:color w:val="auto"/>
          <w:sz w:val="20"/>
          <w:szCs w:val="20"/>
          <w:lang w:val="cs-CZ" w:eastAsia="cs-CZ"/>
        </w:rPr>
      </w:pPr>
      <w:r w:rsidRPr="00525C72">
        <w:rPr>
          <w:rFonts w:cs="Arial"/>
          <w:color w:val="auto"/>
          <w:sz w:val="20"/>
          <w:szCs w:val="20"/>
          <w:lang w:val="cs-CZ" w:eastAsia="cs-CZ"/>
        </w:rPr>
        <w:t>Rumburská 89, 277 21 Liběchov, Česká republika, IČO: 67985904</w:t>
      </w:r>
    </w:p>
    <w:p w:rsidR="00E37C12" w:rsidRDefault="00E37C12" w:rsidP="00E37C12">
      <w:pPr>
        <w:widowControl/>
        <w:spacing w:before="0" w:after="0" w:line="240" w:lineRule="auto"/>
        <w:contextualSpacing w:val="0"/>
        <w:rPr>
          <w:rFonts w:cs="Arial"/>
          <w:color w:val="auto"/>
          <w:sz w:val="20"/>
          <w:szCs w:val="20"/>
          <w:lang w:val="cs-CZ" w:eastAsia="cs-CZ"/>
        </w:rPr>
      </w:pPr>
      <w:r w:rsidRPr="00E37C12">
        <w:rPr>
          <w:rFonts w:cs="Arial"/>
          <w:color w:val="auto"/>
          <w:sz w:val="20"/>
          <w:szCs w:val="20"/>
          <w:lang w:val="cs-CZ" w:eastAsia="cs-CZ"/>
        </w:rPr>
        <w:t>zastoupená Ing. Michalem Kubelkou, CSc., ředitelem Ústavu</w:t>
      </w:r>
    </w:p>
    <w:p w:rsidR="00795A27" w:rsidRPr="00525C72" w:rsidRDefault="00795A27" w:rsidP="00E37C12">
      <w:pPr>
        <w:widowControl/>
        <w:spacing w:before="0" w:after="0" w:line="240" w:lineRule="auto"/>
        <w:contextualSpacing w:val="0"/>
        <w:rPr>
          <w:rFonts w:cs="Arial"/>
          <w:color w:val="auto"/>
          <w:sz w:val="20"/>
          <w:szCs w:val="20"/>
          <w:lang w:val="cs-CZ" w:eastAsia="cs-CZ"/>
        </w:rPr>
      </w:pPr>
      <w:r w:rsidRPr="00525C72">
        <w:rPr>
          <w:rFonts w:cs="Arial"/>
          <w:color w:val="auto"/>
          <w:sz w:val="20"/>
          <w:szCs w:val="20"/>
          <w:lang w:val="cs-CZ" w:eastAsia="cs-CZ"/>
        </w:rPr>
        <w:t>(dále jen „pojistník“)</w:t>
      </w:r>
    </w:p>
    <w:p w:rsidR="00795A27" w:rsidRPr="00D81FCF" w:rsidRDefault="00795A27" w:rsidP="00795A27">
      <w:pPr>
        <w:widowControl/>
        <w:spacing w:before="120" w:after="0" w:line="240" w:lineRule="auto"/>
        <w:contextualSpacing w:val="0"/>
        <w:rPr>
          <w:color w:val="auto"/>
          <w:sz w:val="20"/>
          <w:szCs w:val="20"/>
          <w:lang w:val="cs-CZ" w:eastAsia="cs-CZ"/>
        </w:rPr>
      </w:pPr>
    </w:p>
    <w:p w:rsidR="00795A27" w:rsidRPr="00D81FCF" w:rsidRDefault="00795A27" w:rsidP="00795A27">
      <w:pPr>
        <w:widowControl/>
        <w:spacing w:before="120" w:after="0" w:line="240" w:lineRule="auto"/>
        <w:contextualSpacing w:val="0"/>
        <w:rPr>
          <w:b/>
          <w:color w:val="auto"/>
          <w:sz w:val="20"/>
          <w:szCs w:val="20"/>
          <w:lang w:val="cs-CZ" w:eastAsia="cs-CZ"/>
        </w:rPr>
      </w:pPr>
      <w:r w:rsidRPr="00D81FCF">
        <w:rPr>
          <w:color w:val="auto"/>
          <w:sz w:val="20"/>
          <w:szCs w:val="20"/>
          <w:lang w:val="cs-CZ" w:eastAsia="cs-CZ"/>
        </w:rPr>
        <w:t>uzavírají t</w:t>
      </w:r>
      <w:r w:rsidR="00BA4862">
        <w:rPr>
          <w:color w:val="auto"/>
          <w:sz w:val="20"/>
          <w:szCs w:val="20"/>
          <w:lang w:val="cs-CZ" w:eastAsia="cs-CZ"/>
        </w:rPr>
        <w:t>en</w:t>
      </w:r>
      <w:r w:rsidRPr="00D81FCF">
        <w:rPr>
          <w:color w:val="auto"/>
          <w:sz w:val="20"/>
          <w:szCs w:val="20"/>
          <w:lang w:val="cs-CZ" w:eastAsia="cs-CZ"/>
        </w:rPr>
        <w:t xml:space="preserve">to </w:t>
      </w:r>
      <w:r w:rsidR="00BA4862">
        <w:rPr>
          <w:b/>
          <w:color w:val="auto"/>
          <w:sz w:val="20"/>
          <w:szCs w:val="20"/>
          <w:lang w:val="cs-CZ" w:eastAsia="cs-CZ"/>
        </w:rPr>
        <w:t>dodatek k p</w:t>
      </w:r>
      <w:r w:rsidRPr="00D81FCF">
        <w:rPr>
          <w:b/>
          <w:color w:val="auto"/>
          <w:sz w:val="20"/>
          <w:szCs w:val="20"/>
          <w:lang w:val="cs-CZ" w:eastAsia="cs-CZ"/>
        </w:rPr>
        <w:t>ojistn</w:t>
      </w:r>
      <w:r w:rsidR="00BA4862">
        <w:rPr>
          <w:b/>
          <w:color w:val="auto"/>
          <w:sz w:val="20"/>
          <w:szCs w:val="20"/>
          <w:lang w:val="cs-CZ" w:eastAsia="cs-CZ"/>
        </w:rPr>
        <w:t>é</w:t>
      </w:r>
      <w:r w:rsidRPr="00D81FCF">
        <w:rPr>
          <w:b/>
          <w:color w:val="auto"/>
          <w:sz w:val="20"/>
          <w:szCs w:val="20"/>
          <w:lang w:val="cs-CZ" w:eastAsia="cs-CZ"/>
        </w:rPr>
        <w:t xml:space="preserve"> smlouv</w:t>
      </w:r>
      <w:r w:rsidR="00BA4862">
        <w:rPr>
          <w:b/>
          <w:color w:val="auto"/>
          <w:sz w:val="20"/>
          <w:szCs w:val="20"/>
          <w:lang w:val="cs-CZ" w:eastAsia="cs-CZ"/>
        </w:rPr>
        <w:t>ě</w:t>
      </w:r>
      <w:r w:rsidRPr="00D81FCF">
        <w:rPr>
          <w:b/>
          <w:color w:val="auto"/>
          <w:sz w:val="20"/>
          <w:szCs w:val="20"/>
          <w:lang w:val="cs-CZ" w:eastAsia="cs-CZ"/>
        </w:rPr>
        <w:t xml:space="preserve"> o pojištění průmyslových nebezpečí.</w:t>
      </w:r>
    </w:p>
    <w:p w:rsidR="00795A27" w:rsidRDefault="00795A27" w:rsidP="00795A27">
      <w:pPr>
        <w:widowControl/>
        <w:spacing w:before="0" w:after="0" w:line="240" w:lineRule="auto"/>
        <w:contextualSpacing w:val="0"/>
        <w:rPr>
          <w:b/>
          <w:color w:val="auto"/>
          <w:sz w:val="20"/>
          <w:szCs w:val="20"/>
          <w:lang w:val="cs-CZ" w:eastAsia="cs-CZ"/>
        </w:rPr>
      </w:pPr>
    </w:p>
    <w:p w:rsidR="005D05BE" w:rsidRDefault="005D05BE" w:rsidP="00795A27">
      <w:pPr>
        <w:widowControl/>
        <w:spacing w:before="0" w:after="0" w:line="240" w:lineRule="auto"/>
        <w:contextualSpacing w:val="0"/>
        <w:rPr>
          <w:b/>
          <w:color w:val="auto"/>
          <w:sz w:val="20"/>
          <w:szCs w:val="20"/>
          <w:lang w:val="cs-CZ" w:eastAsia="cs-CZ"/>
        </w:rPr>
      </w:pPr>
    </w:p>
    <w:p w:rsidR="005D05BE" w:rsidRPr="006E414F" w:rsidRDefault="005D05BE" w:rsidP="005D05BE">
      <w:pPr>
        <w:widowControl/>
        <w:spacing w:before="0" w:after="0" w:line="240" w:lineRule="auto"/>
        <w:contextualSpacing w:val="0"/>
        <w:rPr>
          <w:b/>
          <w:color w:val="auto"/>
          <w:sz w:val="20"/>
          <w:szCs w:val="20"/>
          <w:lang w:val="cs-CZ" w:eastAsia="cs-CZ"/>
        </w:rPr>
      </w:pPr>
      <w:r w:rsidRPr="006E414F">
        <w:rPr>
          <w:b/>
          <w:color w:val="auto"/>
          <w:sz w:val="20"/>
          <w:szCs w:val="20"/>
          <w:lang w:val="cs-CZ" w:eastAsia="cs-CZ"/>
        </w:rPr>
        <w:t>PREAMBULE:</w:t>
      </w:r>
    </w:p>
    <w:p w:rsidR="005D05BE" w:rsidRPr="006E414F" w:rsidRDefault="005D05BE" w:rsidP="005D05BE">
      <w:pPr>
        <w:widowControl/>
        <w:spacing w:before="0" w:after="0" w:line="240" w:lineRule="auto"/>
        <w:contextualSpacing w:val="0"/>
        <w:rPr>
          <w:rFonts w:cs="Arial"/>
          <w:color w:val="auto"/>
          <w:sz w:val="20"/>
          <w:szCs w:val="20"/>
          <w:lang w:val="cs-CZ" w:eastAsia="cs-CZ"/>
        </w:rPr>
      </w:pPr>
      <w:r w:rsidRPr="006E414F">
        <w:rPr>
          <w:rFonts w:cs="Arial"/>
          <w:color w:val="auto"/>
          <w:sz w:val="20"/>
          <w:szCs w:val="20"/>
          <w:lang w:val="cs-CZ" w:eastAsia="cs-CZ"/>
        </w:rPr>
        <w:t xml:space="preserve">Pojistná smlouva je sjednána podle pojistných podmínek společnosti Generali Pojišťovna a.s. Po spojení aktivit společností Generali Pojišťovna a.s. a Česká pojišťovna a.s. k datu </w:t>
      </w:r>
      <w:proofErr w:type="gramStart"/>
      <w:r w:rsidRPr="006E414F">
        <w:rPr>
          <w:rFonts w:cs="Arial"/>
          <w:color w:val="auto"/>
          <w:sz w:val="20"/>
          <w:szCs w:val="20"/>
          <w:lang w:val="cs-CZ" w:eastAsia="cs-CZ"/>
        </w:rPr>
        <w:t>21.12.2019</w:t>
      </w:r>
      <w:proofErr w:type="gramEnd"/>
      <w:r w:rsidRPr="006E414F">
        <w:rPr>
          <w:rFonts w:cs="Arial"/>
          <w:color w:val="auto"/>
          <w:sz w:val="20"/>
          <w:szCs w:val="20"/>
          <w:lang w:val="cs-CZ" w:eastAsia="cs-CZ"/>
        </w:rPr>
        <w:t xml:space="preserve"> je pojistitelem dle této pojistné smlouvy Generali Česká pojišťovna a.s., IČO: 45272956, sídlo Spálená 75/16, Praha 1, 110 00. Tam, kde je v pojistných podmínkách, pojistné smlouvě nebo jiné smluvní dokumentaci zmíněna Generali Pojišťovna a.s., myslí se tím Generali Česká pojišťovna a.s. Kontakt na DPO je: </w:t>
      </w:r>
      <w:hyperlink r:id="rId7" w:history="1">
        <w:r w:rsidR="009A7BD8">
          <w:rPr>
            <w:rStyle w:val="Hypertextovodkaz"/>
          </w:rPr>
          <w:t>..............</w:t>
        </w:r>
      </w:hyperlink>
      <w:r w:rsidRPr="006E414F">
        <w:rPr>
          <w:rFonts w:cs="Arial"/>
          <w:color w:val="auto"/>
          <w:sz w:val="20"/>
          <w:szCs w:val="20"/>
          <w:lang w:val="cs-CZ" w:eastAsia="cs-CZ"/>
        </w:rPr>
        <w:t xml:space="preserve">,  a kontakt na stížnosti je: </w:t>
      </w:r>
      <w:r w:rsidR="009A7BD8">
        <w:rPr>
          <w:rFonts w:cs="Arial"/>
          <w:color w:val="auto"/>
          <w:sz w:val="20"/>
          <w:szCs w:val="20"/>
          <w:lang w:val="cs-CZ" w:eastAsia="cs-CZ"/>
        </w:rPr>
        <w:t>……………</w:t>
      </w:r>
    </w:p>
    <w:p w:rsidR="005D05BE" w:rsidRDefault="005D05BE" w:rsidP="00795A27">
      <w:pPr>
        <w:widowControl/>
        <w:spacing w:before="0" w:after="0" w:line="240" w:lineRule="auto"/>
        <w:contextualSpacing w:val="0"/>
        <w:rPr>
          <w:b/>
          <w:color w:val="auto"/>
          <w:sz w:val="20"/>
          <w:szCs w:val="20"/>
          <w:lang w:val="cs-CZ" w:eastAsia="cs-CZ"/>
        </w:rPr>
      </w:pPr>
    </w:p>
    <w:p w:rsidR="005D05BE" w:rsidRPr="00D81FCF" w:rsidRDefault="005D05BE" w:rsidP="00795A27">
      <w:pPr>
        <w:widowControl/>
        <w:spacing w:before="0" w:after="0" w:line="240" w:lineRule="auto"/>
        <w:contextualSpacing w:val="0"/>
        <w:rPr>
          <w:b/>
          <w:color w:val="auto"/>
          <w:sz w:val="20"/>
          <w:szCs w:val="20"/>
          <w:lang w:val="cs-CZ" w:eastAsia="cs-CZ"/>
        </w:rPr>
      </w:pPr>
    </w:p>
    <w:p w:rsidR="00795A27" w:rsidRPr="00D81FCF" w:rsidRDefault="00795A27" w:rsidP="00795A27">
      <w:pPr>
        <w:widowControl/>
        <w:spacing w:before="0" w:after="0" w:line="240" w:lineRule="auto"/>
        <w:contextualSpacing w:val="0"/>
        <w:jc w:val="both"/>
        <w:rPr>
          <w:rFonts w:cs="Arial"/>
          <w:b/>
          <w:color w:val="auto"/>
          <w:sz w:val="20"/>
          <w:szCs w:val="20"/>
          <w:lang w:val="cs-CZ" w:eastAsia="cs-CZ"/>
        </w:rPr>
      </w:pPr>
      <w:r w:rsidRPr="00D81FCF">
        <w:rPr>
          <w:rFonts w:cs="Arial"/>
          <w:b/>
          <w:color w:val="auto"/>
          <w:sz w:val="20"/>
          <w:szCs w:val="20"/>
          <w:lang w:val="cs-CZ" w:eastAsia="cs-CZ"/>
        </w:rPr>
        <w:t>Pojištěným dle této pojistné smlouvy je:</w:t>
      </w:r>
    </w:p>
    <w:p w:rsidR="00795A27" w:rsidRPr="00BA4862" w:rsidRDefault="00795A27" w:rsidP="00795A27">
      <w:pPr>
        <w:widowControl/>
        <w:spacing w:before="0" w:after="0" w:line="240" w:lineRule="auto"/>
        <w:contextualSpacing w:val="0"/>
        <w:jc w:val="both"/>
        <w:rPr>
          <w:rFonts w:cs="Arial"/>
          <w:b/>
          <w:color w:val="auto"/>
          <w:sz w:val="12"/>
          <w:szCs w:val="12"/>
          <w:lang w:val="cs-CZ" w:eastAsia="cs-CZ"/>
        </w:rPr>
      </w:pPr>
    </w:p>
    <w:p w:rsidR="00525C72" w:rsidRPr="00525C72" w:rsidRDefault="00525C72" w:rsidP="00525C72">
      <w:pPr>
        <w:widowControl/>
        <w:spacing w:before="0" w:after="0" w:line="240" w:lineRule="auto"/>
        <w:contextualSpacing w:val="0"/>
        <w:rPr>
          <w:b/>
          <w:color w:val="auto"/>
          <w:sz w:val="20"/>
          <w:szCs w:val="20"/>
          <w:lang w:val="cs-CZ" w:eastAsia="cs-CZ"/>
        </w:rPr>
      </w:pPr>
      <w:r w:rsidRPr="00525C72">
        <w:rPr>
          <w:b/>
          <w:color w:val="auto"/>
          <w:sz w:val="20"/>
          <w:szCs w:val="20"/>
          <w:lang w:val="cs-CZ" w:eastAsia="cs-CZ"/>
        </w:rPr>
        <w:t xml:space="preserve">Ústav živočišné fyziologie a genetiky AV ČR, </w:t>
      </w:r>
      <w:proofErr w:type="spellStart"/>
      <w:proofErr w:type="gramStart"/>
      <w:r w:rsidRPr="00525C72">
        <w:rPr>
          <w:b/>
          <w:color w:val="auto"/>
          <w:sz w:val="20"/>
          <w:szCs w:val="20"/>
          <w:lang w:val="cs-CZ" w:eastAsia="cs-CZ"/>
        </w:rPr>
        <w:t>v.v.</w:t>
      </w:r>
      <w:proofErr w:type="gramEnd"/>
      <w:r w:rsidRPr="00525C72">
        <w:rPr>
          <w:b/>
          <w:color w:val="auto"/>
          <w:sz w:val="20"/>
          <w:szCs w:val="20"/>
          <w:lang w:val="cs-CZ" w:eastAsia="cs-CZ"/>
        </w:rPr>
        <w:t>i</w:t>
      </w:r>
      <w:proofErr w:type="spellEnd"/>
      <w:r w:rsidRPr="00525C72">
        <w:rPr>
          <w:b/>
          <w:color w:val="auto"/>
          <w:sz w:val="20"/>
          <w:szCs w:val="20"/>
          <w:lang w:val="cs-CZ" w:eastAsia="cs-CZ"/>
        </w:rPr>
        <w:t>.</w:t>
      </w:r>
    </w:p>
    <w:p w:rsidR="00525C72" w:rsidRPr="00525C72" w:rsidRDefault="00525C72" w:rsidP="00525C72">
      <w:pPr>
        <w:widowControl/>
        <w:spacing w:before="0" w:after="0" w:line="240" w:lineRule="auto"/>
        <w:contextualSpacing w:val="0"/>
        <w:rPr>
          <w:rFonts w:cs="Arial"/>
          <w:color w:val="auto"/>
          <w:sz w:val="20"/>
          <w:szCs w:val="20"/>
          <w:lang w:val="cs-CZ" w:eastAsia="cs-CZ"/>
        </w:rPr>
      </w:pPr>
      <w:r w:rsidRPr="00525C72">
        <w:rPr>
          <w:rFonts w:cs="Arial"/>
          <w:color w:val="auto"/>
          <w:sz w:val="20"/>
          <w:szCs w:val="20"/>
          <w:lang w:val="cs-CZ" w:eastAsia="cs-CZ"/>
        </w:rPr>
        <w:t>Rumburská 89, 277 21 Liběchov, Česká republika, IČO: 67985904</w:t>
      </w:r>
    </w:p>
    <w:p w:rsidR="00795A27" w:rsidRPr="00D81FCF" w:rsidRDefault="00795A27" w:rsidP="00525C72">
      <w:pPr>
        <w:widowControl/>
        <w:spacing w:before="0" w:after="0" w:line="240" w:lineRule="auto"/>
        <w:contextualSpacing w:val="0"/>
        <w:rPr>
          <w:color w:val="auto"/>
          <w:sz w:val="20"/>
          <w:szCs w:val="20"/>
          <w:lang w:val="cs-CZ" w:eastAsia="cs-CZ"/>
        </w:rPr>
      </w:pPr>
      <w:r w:rsidRPr="00D81FCF">
        <w:rPr>
          <w:color w:val="auto"/>
          <w:sz w:val="20"/>
          <w:szCs w:val="20"/>
          <w:lang w:val="cs-CZ" w:eastAsia="cs-CZ"/>
        </w:rPr>
        <w:t>(dále jen „pojištěný“)</w:t>
      </w:r>
    </w:p>
    <w:p w:rsidR="00795A27" w:rsidRPr="00BA4862" w:rsidRDefault="00795A27" w:rsidP="00795A27">
      <w:pPr>
        <w:widowControl/>
        <w:spacing w:before="0" w:after="0" w:line="240" w:lineRule="auto"/>
        <w:contextualSpacing w:val="0"/>
        <w:jc w:val="both"/>
        <w:rPr>
          <w:rFonts w:cs="Arial"/>
          <w:b/>
          <w:color w:val="auto"/>
          <w:sz w:val="12"/>
          <w:szCs w:val="12"/>
          <w:lang w:val="cs-CZ" w:eastAsia="cs-CZ"/>
        </w:rPr>
      </w:pPr>
    </w:p>
    <w:p w:rsidR="00795A27" w:rsidRPr="00D81FCF" w:rsidRDefault="00795A27" w:rsidP="00795A27">
      <w:pPr>
        <w:widowControl/>
        <w:tabs>
          <w:tab w:val="left" w:pos="3900"/>
        </w:tabs>
        <w:spacing w:before="0" w:after="0" w:line="240" w:lineRule="auto"/>
        <w:contextualSpacing w:val="0"/>
        <w:jc w:val="both"/>
        <w:rPr>
          <w:rFonts w:cs="Arial"/>
          <w:b/>
          <w:color w:val="auto"/>
          <w:sz w:val="20"/>
          <w:szCs w:val="20"/>
          <w:lang w:val="cs-CZ" w:eastAsia="cs-CZ"/>
        </w:rPr>
      </w:pPr>
      <w:r w:rsidRPr="00865B01">
        <w:rPr>
          <w:rFonts w:cs="Arial"/>
          <w:b/>
          <w:color w:val="auto"/>
          <w:sz w:val="20"/>
          <w:szCs w:val="20"/>
          <w:lang w:val="cs-CZ" w:eastAsia="cs-CZ"/>
        </w:rPr>
        <w:t>Osobou oprávněnou dle této pojistné smlouvy je pojištěný.</w:t>
      </w:r>
    </w:p>
    <w:p w:rsidR="00795A27" w:rsidRDefault="00795A27" w:rsidP="00795A27">
      <w:pPr>
        <w:widowControl/>
        <w:spacing w:before="0" w:after="0" w:line="240" w:lineRule="auto"/>
        <w:contextualSpacing w:val="0"/>
        <w:rPr>
          <w:b/>
          <w:color w:val="auto"/>
          <w:sz w:val="20"/>
          <w:szCs w:val="20"/>
          <w:lang w:val="cs-CZ" w:eastAsia="cs-CZ"/>
        </w:rPr>
      </w:pPr>
    </w:p>
    <w:p w:rsidR="00323662" w:rsidRDefault="00323662" w:rsidP="00795A27">
      <w:pPr>
        <w:widowControl/>
        <w:spacing w:before="0" w:after="0" w:line="240" w:lineRule="auto"/>
        <w:contextualSpacing w:val="0"/>
        <w:rPr>
          <w:b/>
          <w:color w:val="auto"/>
          <w:sz w:val="20"/>
          <w:szCs w:val="20"/>
          <w:lang w:val="cs-CZ" w:eastAsia="cs-CZ"/>
        </w:rPr>
      </w:pPr>
    </w:p>
    <w:p w:rsidR="00323662" w:rsidRDefault="00323662" w:rsidP="00323662">
      <w:pPr>
        <w:widowControl/>
        <w:spacing w:before="0" w:after="0" w:line="240" w:lineRule="auto"/>
        <w:contextualSpacing w:val="0"/>
        <w:rPr>
          <w:b/>
          <w:color w:val="auto"/>
          <w:sz w:val="20"/>
          <w:szCs w:val="20"/>
          <w:lang w:val="cs-CZ" w:eastAsia="cs-CZ"/>
        </w:rPr>
      </w:pPr>
      <w:r>
        <w:rPr>
          <w:b/>
          <w:color w:val="auto"/>
          <w:sz w:val="20"/>
          <w:szCs w:val="20"/>
          <w:lang w:val="cs-CZ" w:eastAsia="cs-CZ"/>
        </w:rPr>
        <w:t xml:space="preserve">I. S platností a účinností od </w:t>
      </w:r>
      <w:proofErr w:type="gramStart"/>
      <w:r w:rsidR="00C9376C">
        <w:rPr>
          <w:b/>
          <w:color w:val="auto"/>
          <w:sz w:val="20"/>
          <w:szCs w:val="20"/>
          <w:lang w:val="cs-CZ" w:eastAsia="cs-CZ"/>
        </w:rPr>
        <w:t>04</w:t>
      </w:r>
      <w:r>
        <w:rPr>
          <w:b/>
          <w:color w:val="auto"/>
          <w:sz w:val="20"/>
          <w:szCs w:val="20"/>
          <w:lang w:val="cs-CZ" w:eastAsia="cs-CZ"/>
        </w:rPr>
        <w:t>.0</w:t>
      </w:r>
      <w:r w:rsidR="00C9376C">
        <w:rPr>
          <w:b/>
          <w:color w:val="auto"/>
          <w:sz w:val="20"/>
          <w:szCs w:val="20"/>
          <w:lang w:val="cs-CZ" w:eastAsia="cs-CZ"/>
        </w:rPr>
        <w:t>5</w:t>
      </w:r>
      <w:r>
        <w:rPr>
          <w:b/>
          <w:color w:val="auto"/>
          <w:sz w:val="20"/>
          <w:szCs w:val="20"/>
          <w:lang w:val="cs-CZ" w:eastAsia="cs-CZ"/>
        </w:rPr>
        <w:t>.2023</w:t>
      </w:r>
      <w:proofErr w:type="gramEnd"/>
      <w:r>
        <w:rPr>
          <w:b/>
          <w:color w:val="auto"/>
          <w:sz w:val="20"/>
          <w:szCs w:val="20"/>
          <w:lang w:val="cs-CZ" w:eastAsia="cs-CZ"/>
        </w:rPr>
        <w:t xml:space="preserve"> se pojistná smlouva aktualizuje a rekapituluje v následujících článcích takto:</w:t>
      </w:r>
    </w:p>
    <w:p w:rsidR="00323662" w:rsidRPr="00A8362D" w:rsidRDefault="00323662" w:rsidP="00323662">
      <w:pPr>
        <w:widowControl/>
        <w:spacing w:before="0" w:after="0" w:line="240" w:lineRule="auto"/>
        <w:contextualSpacing w:val="0"/>
        <w:rPr>
          <w:b/>
          <w:color w:val="auto"/>
          <w:sz w:val="16"/>
          <w:szCs w:val="16"/>
          <w:lang w:val="cs-CZ" w:eastAsia="cs-CZ"/>
        </w:rPr>
      </w:pPr>
    </w:p>
    <w:p w:rsidR="00323662" w:rsidRPr="00A8362D" w:rsidRDefault="00323662" w:rsidP="00323662">
      <w:pPr>
        <w:widowControl/>
        <w:spacing w:before="0" w:after="0" w:line="240" w:lineRule="auto"/>
        <w:contextualSpacing w:val="0"/>
        <w:rPr>
          <w:b/>
          <w:color w:val="auto"/>
          <w:sz w:val="16"/>
          <w:szCs w:val="16"/>
          <w:lang w:val="cs-CZ" w:eastAsia="cs-CZ"/>
        </w:rPr>
      </w:pPr>
    </w:p>
    <w:p w:rsidR="00323662" w:rsidRDefault="00323662" w:rsidP="00323662">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C3375C">
        <w:rPr>
          <w:b/>
          <w:color w:val="auto"/>
          <w:sz w:val="20"/>
          <w:szCs w:val="20"/>
          <w:lang w:val="cs-CZ" w:eastAsia="cs-CZ"/>
        </w:rPr>
        <w:t>ODDÍL A – POJIŠTĚNÍ MAJETKU</w:t>
      </w:r>
      <w:r>
        <w:rPr>
          <w:b/>
          <w:color w:val="auto"/>
          <w:sz w:val="20"/>
          <w:szCs w:val="20"/>
          <w:lang w:val="cs-CZ" w:eastAsia="cs-CZ"/>
        </w:rPr>
        <w:t xml:space="preserve"> </w:t>
      </w:r>
    </w:p>
    <w:p w:rsidR="00323662" w:rsidRPr="0085250D" w:rsidRDefault="00323662" w:rsidP="00323662">
      <w:pPr>
        <w:keepNext/>
        <w:widowControl/>
        <w:tabs>
          <w:tab w:val="center" w:pos="4536"/>
          <w:tab w:val="right" w:pos="9072"/>
        </w:tabs>
        <w:spacing w:before="0" w:after="0" w:line="240" w:lineRule="auto"/>
        <w:contextualSpacing w:val="0"/>
        <w:jc w:val="both"/>
        <w:outlineLvl w:val="2"/>
        <w:rPr>
          <w:b/>
          <w:color w:val="auto"/>
          <w:sz w:val="16"/>
          <w:szCs w:val="16"/>
          <w:lang w:val="cs-CZ" w:eastAsia="cs-CZ"/>
        </w:rPr>
      </w:pPr>
    </w:p>
    <w:p w:rsidR="00323662" w:rsidRPr="00D81FCF" w:rsidRDefault="00323662" w:rsidP="00323662">
      <w:pPr>
        <w:keepNext/>
        <w:widowControl/>
        <w:tabs>
          <w:tab w:val="center" w:pos="4536"/>
          <w:tab w:val="right" w:pos="9072"/>
        </w:tabs>
        <w:spacing w:before="0" w:after="0" w:line="240" w:lineRule="auto"/>
        <w:contextualSpacing w:val="0"/>
        <w:jc w:val="both"/>
        <w:outlineLvl w:val="2"/>
        <w:rPr>
          <w:b/>
          <w:color w:val="auto"/>
          <w:sz w:val="20"/>
          <w:szCs w:val="20"/>
          <w:lang w:val="cs-CZ" w:eastAsia="cs-CZ"/>
        </w:rPr>
      </w:pPr>
      <w:r w:rsidRPr="00D81FCF">
        <w:rPr>
          <w:b/>
          <w:color w:val="auto"/>
          <w:sz w:val="20"/>
          <w:szCs w:val="20"/>
          <w:lang w:val="cs-CZ" w:eastAsia="cs-CZ"/>
        </w:rPr>
        <w:t>V</w:t>
      </w:r>
      <w:r>
        <w:rPr>
          <w:b/>
          <w:color w:val="auto"/>
          <w:sz w:val="20"/>
          <w:szCs w:val="20"/>
          <w:lang w:val="cs-CZ" w:eastAsia="cs-CZ"/>
        </w:rPr>
        <w:t>šeobecná ustanovení</w:t>
      </w:r>
    </w:p>
    <w:p w:rsidR="00323662" w:rsidRPr="00D81FCF" w:rsidRDefault="00323662" w:rsidP="00323662">
      <w:pPr>
        <w:widowControl/>
        <w:spacing w:before="0" w:after="0" w:line="240" w:lineRule="auto"/>
        <w:contextualSpacing w:val="0"/>
        <w:jc w:val="both"/>
        <w:rPr>
          <w:rFonts w:cs="Arial"/>
          <w:b/>
          <w:color w:val="FF0000"/>
          <w:sz w:val="20"/>
          <w:szCs w:val="20"/>
          <w:lang w:val="cs-CZ" w:eastAsia="cs-CZ"/>
        </w:rPr>
      </w:pPr>
      <w:r w:rsidRPr="00D81FCF">
        <w:rPr>
          <w:rFonts w:cs="Arial"/>
          <w:color w:val="auto"/>
          <w:sz w:val="20"/>
          <w:szCs w:val="20"/>
          <w:lang w:val="cs-CZ" w:eastAsia="cs-CZ"/>
        </w:rPr>
        <w:t xml:space="preserve">Pojištění průmyslových nebezpečí se řídí </w:t>
      </w:r>
      <w:r w:rsidRPr="00D81FCF">
        <w:rPr>
          <w:color w:val="auto"/>
          <w:sz w:val="20"/>
          <w:szCs w:val="20"/>
          <w:lang w:val="cs-CZ" w:eastAsia="cs-CZ"/>
        </w:rPr>
        <w:t>touto pojistnou smlouvou, dále Všeobecnými pojistnými podmínkami pro pojištění majetku (VPP M 2014/01) (dále jen „VPP M 2014/01“), Zvláštními</w:t>
      </w:r>
      <w:r w:rsidRPr="00D81FCF">
        <w:rPr>
          <w:rFonts w:cs="Arial"/>
          <w:color w:val="auto"/>
          <w:sz w:val="20"/>
          <w:szCs w:val="20"/>
          <w:lang w:val="cs-CZ" w:eastAsia="cs-CZ"/>
        </w:rPr>
        <w:t xml:space="preserve"> pojistnými podmínkami pro pojištění průmyslových nebezpečí (ZPP PR-P 2014/01) (dále jen „ZPP PR-P 2014/01“),</w:t>
      </w:r>
      <w:r w:rsidRPr="00D81FCF">
        <w:rPr>
          <w:color w:val="auto"/>
          <w:sz w:val="20"/>
          <w:szCs w:val="20"/>
          <w:lang w:val="cs-CZ" w:eastAsia="cs-CZ"/>
        </w:rPr>
        <w:t xml:space="preserve"> Technickým a bezpečnostním předpisem pro pojištění průmyslových nebezpečí – zabezpečení proti odcizení (TBP 2014) (dále jen „TBP 2014“), </w:t>
      </w:r>
      <w:r w:rsidRPr="00736B08">
        <w:rPr>
          <w:sz w:val="20"/>
          <w:szCs w:val="20"/>
        </w:rPr>
        <w:t>Zvláštními pojistnými podmínkami pro pojištění elektroniky (ZPP E 2014/01) (dále jen „ZPP E 2014/01“)</w:t>
      </w:r>
      <w:r w:rsidRPr="002C4B51">
        <w:rPr>
          <w:rFonts w:cs="Generali"/>
          <w:bCs/>
          <w:color w:val="auto"/>
          <w:sz w:val="20"/>
          <w:szCs w:val="20"/>
          <w:lang w:val="cs-CZ" w:eastAsia="cs-CZ"/>
        </w:rPr>
        <w:t>,</w:t>
      </w:r>
      <w:r>
        <w:rPr>
          <w:rFonts w:cs="Generali"/>
          <w:bCs/>
          <w:color w:val="auto"/>
          <w:sz w:val="20"/>
          <w:szCs w:val="20"/>
          <w:lang w:val="cs-CZ" w:eastAsia="cs-CZ"/>
        </w:rPr>
        <w:t xml:space="preserve"> </w:t>
      </w:r>
      <w:r w:rsidRPr="00966310">
        <w:rPr>
          <w:rFonts w:cs="Generali"/>
          <w:bCs/>
          <w:color w:val="auto"/>
          <w:sz w:val="20"/>
          <w:szCs w:val="20"/>
          <w:lang w:val="cs-CZ" w:eastAsia="cs-CZ"/>
        </w:rPr>
        <w:t>Doložk</w:t>
      </w:r>
      <w:r>
        <w:rPr>
          <w:rFonts w:cs="Generali"/>
          <w:bCs/>
          <w:color w:val="auto"/>
          <w:sz w:val="20"/>
          <w:szCs w:val="20"/>
          <w:lang w:val="cs-CZ" w:eastAsia="cs-CZ"/>
        </w:rPr>
        <w:t>ou</w:t>
      </w:r>
      <w:r w:rsidRPr="00966310">
        <w:rPr>
          <w:rFonts w:cs="Generali"/>
          <w:bCs/>
          <w:color w:val="auto"/>
          <w:sz w:val="20"/>
          <w:szCs w:val="20"/>
          <w:lang w:val="cs-CZ" w:eastAsia="cs-CZ"/>
        </w:rPr>
        <w:t xml:space="preserve"> 106</w:t>
      </w:r>
      <w:r>
        <w:rPr>
          <w:rFonts w:cs="Generali"/>
          <w:bCs/>
          <w:color w:val="auto"/>
          <w:sz w:val="20"/>
          <w:szCs w:val="20"/>
          <w:lang w:val="cs-CZ" w:eastAsia="cs-CZ"/>
        </w:rPr>
        <w:t>1</w:t>
      </w:r>
      <w:r w:rsidRPr="00966310">
        <w:rPr>
          <w:rFonts w:cs="Generali"/>
          <w:bCs/>
          <w:color w:val="auto"/>
          <w:sz w:val="20"/>
          <w:szCs w:val="20"/>
          <w:lang w:val="cs-CZ" w:eastAsia="cs-CZ"/>
        </w:rPr>
        <w:t>-2014 Připojištění dopravních rizik (</w:t>
      </w:r>
      <w:r>
        <w:rPr>
          <w:rFonts w:cs="Generali"/>
          <w:bCs/>
          <w:color w:val="auto"/>
          <w:sz w:val="20"/>
          <w:szCs w:val="20"/>
          <w:lang w:val="cs-CZ" w:eastAsia="cs-CZ"/>
        </w:rPr>
        <w:t>ČR</w:t>
      </w:r>
      <w:r w:rsidRPr="00966310">
        <w:rPr>
          <w:rFonts w:cs="Generali"/>
          <w:bCs/>
          <w:color w:val="auto"/>
          <w:sz w:val="20"/>
          <w:szCs w:val="20"/>
          <w:lang w:val="cs-CZ" w:eastAsia="cs-CZ"/>
        </w:rPr>
        <w:t>)</w:t>
      </w:r>
      <w:r w:rsidR="00B134ED">
        <w:rPr>
          <w:rFonts w:cs="Generali"/>
          <w:bCs/>
          <w:color w:val="auto"/>
          <w:sz w:val="20"/>
          <w:szCs w:val="20"/>
          <w:lang w:val="cs-CZ" w:eastAsia="cs-CZ"/>
        </w:rPr>
        <w:t xml:space="preserve">, </w:t>
      </w:r>
      <w:r w:rsidR="00B134ED" w:rsidRPr="00D965DA">
        <w:rPr>
          <w:rFonts w:cs="Arial"/>
          <w:sz w:val="20"/>
          <w:szCs w:val="20"/>
        </w:rPr>
        <w:t xml:space="preserve">Zvláštními pojistnými podmínkami pro pojištění strojů ZPP S </w:t>
      </w:r>
      <w:r w:rsidR="001C46C7">
        <w:rPr>
          <w:rFonts w:cs="Arial"/>
          <w:sz w:val="20"/>
          <w:szCs w:val="20"/>
        </w:rPr>
        <w:t>2014/01 (dále jen „ZPP S 2014/01</w:t>
      </w:r>
      <w:r w:rsidR="00B134ED" w:rsidRPr="00D965DA">
        <w:rPr>
          <w:rFonts w:cs="Arial"/>
          <w:sz w:val="20"/>
          <w:szCs w:val="20"/>
        </w:rPr>
        <w:t>”)</w:t>
      </w:r>
      <w:r w:rsidR="00B134ED">
        <w:rPr>
          <w:color w:val="auto"/>
          <w:sz w:val="20"/>
          <w:szCs w:val="20"/>
          <w:lang w:val="cs-CZ" w:eastAsia="cs-CZ"/>
        </w:rPr>
        <w:t xml:space="preserve">, </w:t>
      </w:r>
      <w:r w:rsidRPr="00D81FCF">
        <w:rPr>
          <w:color w:val="auto"/>
          <w:sz w:val="20"/>
          <w:szCs w:val="20"/>
          <w:lang w:val="cs-CZ" w:eastAsia="cs-CZ"/>
        </w:rPr>
        <w:t>zákonem č. 89/2012 Sb., občanský</w:t>
      </w:r>
      <w:r>
        <w:rPr>
          <w:color w:val="auto"/>
          <w:sz w:val="20"/>
          <w:szCs w:val="20"/>
          <w:lang w:val="cs-CZ" w:eastAsia="cs-CZ"/>
        </w:rPr>
        <w:t>m</w:t>
      </w:r>
      <w:r w:rsidRPr="00D81FCF">
        <w:rPr>
          <w:color w:val="auto"/>
          <w:sz w:val="20"/>
          <w:szCs w:val="20"/>
          <w:lang w:val="cs-CZ" w:eastAsia="cs-CZ"/>
        </w:rPr>
        <w:t xml:space="preserve"> zákoník</w:t>
      </w:r>
      <w:r>
        <w:rPr>
          <w:color w:val="auto"/>
          <w:sz w:val="20"/>
          <w:szCs w:val="20"/>
          <w:lang w:val="cs-CZ" w:eastAsia="cs-CZ"/>
        </w:rPr>
        <w:t>em</w:t>
      </w:r>
      <w:r w:rsidRPr="00D81FCF">
        <w:rPr>
          <w:color w:val="auto"/>
          <w:sz w:val="20"/>
          <w:szCs w:val="20"/>
          <w:lang w:val="cs-CZ" w:eastAsia="cs-CZ"/>
        </w:rPr>
        <w:t xml:space="preserve"> a ostatními obecně závaznými právními předpisy České republiky.</w:t>
      </w:r>
    </w:p>
    <w:p w:rsidR="00323662" w:rsidRPr="0085250D" w:rsidRDefault="00323662" w:rsidP="00323662">
      <w:pPr>
        <w:keepNext/>
        <w:widowControl/>
        <w:tabs>
          <w:tab w:val="center" w:pos="4536"/>
          <w:tab w:val="right" w:pos="9072"/>
        </w:tabs>
        <w:spacing w:before="0" w:after="0" w:line="240" w:lineRule="auto"/>
        <w:contextualSpacing w:val="0"/>
        <w:jc w:val="both"/>
        <w:outlineLvl w:val="2"/>
        <w:rPr>
          <w:b/>
          <w:color w:val="auto"/>
          <w:sz w:val="16"/>
          <w:szCs w:val="16"/>
          <w:lang w:val="cs-CZ" w:eastAsia="cs-CZ"/>
        </w:rPr>
      </w:pPr>
    </w:p>
    <w:p w:rsidR="00323662" w:rsidRPr="00104991" w:rsidRDefault="00323662" w:rsidP="00323662">
      <w:pPr>
        <w:pStyle w:val="Zkladntext"/>
        <w:rPr>
          <w:rFonts w:ascii="Arial" w:hAnsi="Arial" w:cs="Arial"/>
          <w:b/>
          <w:sz w:val="20"/>
        </w:rPr>
      </w:pPr>
      <w:r w:rsidRPr="00104991">
        <w:rPr>
          <w:rFonts w:ascii="Arial" w:hAnsi="Arial" w:cs="Arial"/>
          <w:b/>
          <w:sz w:val="20"/>
        </w:rPr>
        <w:t>Místa pojištění</w:t>
      </w: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0206"/>
      </w:tblGrid>
      <w:tr w:rsidR="00323662" w:rsidRPr="006E2C5C" w:rsidTr="00111A29">
        <w:trPr>
          <w:trHeight w:val="397"/>
        </w:trPr>
        <w:tc>
          <w:tcPr>
            <w:tcW w:w="10206" w:type="dxa"/>
            <w:tcBorders>
              <w:top w:val="single" w:sz="4" w:space="0" w:color="C0504D" w:themeColor="accent2"/>
              <w:bottom w:val="single" w:sz="4" w:space="0" w:color="C0504D" w:themeColor="accent2"/>
            </w:tcBorders>
            <w:shd w:val="clear" w:color="auto" w:fill="auto"/>
            <w:vAlign w:val="center"/>
          </w:tcPr>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lastRenderedPageBreak/>
              <w:t>Rumburská 89, 277 21 Liběchov</w:t>
            </w:r>
          </w:p>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t>Pod Kostelíčkem 251, 277 21 Liběchov</w:t>
            </w:r>
          </w:p>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t>Litoměřická 283, 277 21 Liběchov</w:t>
            </w:r>
          </w:p>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t>Veveří 97, 602 00 Brno 2</w:t>
            </w:r>
          </w:p>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t>Pod Kostelíčkem 297, 277 21 Liběchov</w:t>
            </w:r>
          </w:p>
          <w:p w:rsidR="00323662" w:rsidRPr="006E2C5C" w:rsidRDefault="00323662" w:rsidP="00111A29">
            <w:pPr>
              <w:pStyle w:val="Odstavecseseznamem"/>
              <w:numPr>
                <w:ilvl w:val="0"/>
                <w:numId w:val="9"/>
              </w:numPr>
              <w:rPr>
                <w:rFonts w:cs="Arial"/>
                <w:color w:val="auto"/>
                <w:sz w:val="20"/>
                <w:szCs w:val="20"/>
              </w:rPr>
            </w:pPr>
            <w:r>
              <w:rPr>
                <w:rFonts w:cs="Arial"/>
                <w:color w:val="auto"/>
                <w:sz w:val="20"/>
                <w:szCs w:val="20"/>
              </w:rPr>
              <w:t>Vídeňská 1083, Praha 4 - Krč</w:t>
            </w:r>
          </w:p>
          <w:p w:rsidR="00323662" w:rsidRDefault="00323662" w:rsidP="00111A29">
            <w:pPr>
              <w:pStyle w:val="Odstavecseseznamem"/>
              <w:numPr>
                <w:ilvl w:val="0"/>
                <w:numId w:val="9"/>
              </w:numPr>
              <w:rPr>
                <w:rFonts w:cs="Arial"/>
                <w:color w:val="auto"/>
                <w:sz w:val="20"/>
                <w:szCs w:val="20"/>
              </w:rPr>
            </w:pPr>
            <w:r>
              <w:rPr>
                <w:rFonts w:cs="Arial"/>
                <w:color w:val="auto"/>
                <w:sz w:val="20"/>
                <w:szCs w:val="20"/>
              </w:rPr>
              <w:t>Střednice – budovy bez čp/če, st. p. č. 78 a st. p. č. 79, k.ú. Střednice, 277 24 Vysoká u Mělníka</w:t>
            </w:r>
          </w:p>
          <w:p w:rsidR="00323662" w:rsidRDefault="00323662" w:rsidP="00111A29">
            <w:pPr>
              <w:pStyle w:val="Odstavecseseznamem"/>
              <w:numPr>
                <w:ilvl w:val="0"/>
                <w:numId w:val="9"/>
              </w:numPr>
              <w:rPr>
                <w:rFonts w:cs="Arial"/>
                <w:color w:val="auto"/>
                <w:sz w:val="20"/>
                <w:szCs w:val="20"/>
              </w:rPr>
            </w:pPr>
            <w:r>
              <w:rPr>
                <w:rFonts w:cs="Arial"/>
                <w:color w:val="auto"/>
                <w:sz w:val="20"/>
                <w:szCs w:val="20"/>
              </w:rPr>
              <w:t>Střednice – budovy bez čp/če, st. p. č. 74, k.ú. Střednice, 277 24 Vysoká u Mělníka</w:t>
            </w:r>
          </w:p>
          <w:p w:rsidR="00323662" w:rsidRPr="006E2C5C" w:rsidRDefault="00323662" w:rsidP="00111A29">
            <w:pPr>
              <w:pStyle w:val="Odstavecseseznamem"/>
              <w:numPr>
                <w:ilvl w:val="0"/>
                <w:numId w:val="9"/>
              </w:numPr>
              <w:rPr>
                <w:rFonts w:cs="Arial"/>
                <w:color w:val="auto"/>
                <w:szCs w:val="18"/>
              </w:rPr>
            </w:pPr>
            <w:r w:rsidRPr="006E2C5C">
              <w:rPr>
                <w:rFonts w:cs="Arial"/>
                <w:color w:val="auto"/>
                <w:sz w:val="20"/>
                <w:szCs w:val="20"/>
              </w:rPr>
              <w:t xml:space="preserve">Území </w:t>
            </w:r>
            <w:r>
              <w:rPr>
                <w:rFonts w:cs="Arial"/>
                <w:color w:val="auto"/>
                <w:sz w:val="20"/>
                <w:szCs w:val="20"/>
              </w:rPr>
              <w:t>ČR s ročním limitem plnění pro jednu a všechny pojistné události ve výši 5 000 000,- Kč</w:t>
            </w:r>
          </w:p>
        </w:tc>
      </w:tr>
    </w:tbl>
    <w:p w:rsidR="00323662" w:rsidRPr="00D81FCF" w:rsidRDefault="00323662" w:rsidP="00323662">
      <w:pPr>
        <w:widowControl/>
        <w:tabs>
          <w:tab w:val="left" w:pos="0"/>
          <w:tab w:val="center" w:pos="4536"/>
          <w:tab w:val="right" w:pos="9072"/>
        </w:tabs>
        <w:spacing w:before="60" w:after="0" w:line="240" w:lineRule="auto"/>
        <w:contextualSpacing w:val="0"/>
        <w:jc w:val="both"/>
        <w:rPr>
          <w:rFonts w:cs="Arial"/>
          <w:color w:val="auto"/>
          <w:sz w:val="20"/>
          <w:szCs w:val="20"/>
          <w:lang w:val="cs-CZ" w:eastAsia="cs-CZ"/>
        </w:rPr>
      </w:pPr>
      <w:r w:rsidRPr="00D81FCF">
        <w:rPr>
          <w:rFonts w:cs="Arial"/>
          <w:color w:val="auto"/>
          <w:sz w:val="20"/>
          <w:szCs w:val="20"/>
          <w:lang w:val="cs-CZ" w:eastAsia="cs-CZ"/>
        </w:rPr>
        <w:t>Pokud není v některém z níže uvedených článků této pojistné smlouvy stanoveno jinak, vztahuje se pojištění vždy na všechna uvedená místa pojištění.</w:t>
      </w:r>
    </w:p>
    <w:p w:rsidR="00323662" w:rsidRPr="003540D8"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3540D8">
        <w:rPr>
          <w:rFonts w:ascii="Arial_CE" w:hAnsi="Arial_CE"/>
          <w:iCs/>
          <w:color w:val="auto"/>
          <w:sz w:val="20"/>
          <w:szCs w:val="20"/>
          <w:lang w:val="cs-CZ" w:eastAsia="cs-CZ"/>
        </w:rPr>
        <w:t xml:space="preserve">Není – </w:t>
      </w:r>
      <w:proofErr w:type="spellStart"/>
      <w:r w:rsidRPr="003540D8">
        <w:rPr>
          <w:rFonts w:ascii="Arial_CE" w:hAnsi="Arial_CE"/>
          <w:iCs/>
          <w:color w:val="auto"/>
          <w:sz w:val="20"/>
          <w:szCs w:val="20"/>
          <w:lang w:val="cs-CZ" w:eastAsia="cs-CZ"/>
        </w:rPr>
        <w:t>li</w:t>
      </w:r>
      <w:proofErr w:type="spellEnd"/>
      <w:r w:rsidRPr="003540D8">
        <w:rPr>
          <w:rFonts w:ascii="Arial_CE" w:hAnsi="Arial_CE"/>
          <w:iCs/>
          <w:color w:val="auto"/>
          <w:sz w:val="20"/>
          <w:szCs w:val="20"/>
          <w:lang w:val="cs-CZ" w:eastAsia="cs-CZ"/>
        </w:rPr>
        <w:t xml:space="preserve"> dále uvedeno jinak, jsou všechny pojistné částky uvedeny v nových cenách (vč. cizích věcí) a pojistné plnění bude poskytnuto také v nových cenách (vč. položek na 1. riziko).</w:t>
      </w:r>
    </w:p>
    <w:p w:rsidR="00323662" w:rsidRDefault="00323662" w:rsidP="00323662">
      <w:pPr>
        <w:widowControl/>
        <w:tabs>
          <w:tab w:val="right" w:pos="9072"/>
        </w:tabs>
        <w:spacing w:before="0" w:after="0" w:line="240" w:lineRule="auto"/>
        <w:contextualSpacing w:val="0"/>
        <w:rPr>
          <w:rFonts w:ascii="Arial_CE" w:hAnsi="Arial_CE"/>
          <w:b/>
          <w:color w:val="auto"/>
          <w:sz w:val="20"/>
          <w:szCs w:val="20"/>
          <w:lang w:val="cs-CZ" w:eastAsia="cs-CZ"/>
        </w:rPr>
      </w:pPr>
    </w:p>
    <w:p w:rsidR="00323662" w:rsidRPr="00C3375C" w:rsidRDefault="00323662" w:rsidP="00323662">
      <w:pPr>
        <w:widowControl/>
        <w:tabs>
          <w:tab w:val="right" w:pos="9072"/>
        </w:tabs>
        <w:spacing w:before="0" w:after="0" w:line="240" w:lineRule="auto"/>
        <w:rPr>
          <w:rFonts w:ascii="Arial_CE" w:hAnsi="Arial_CE"/>
          <w:b/>
          <w:color w:val="auto"/>
          <w:sz w:val="20"/>
          <w:szCs w:val="20"/>
          <w:lang w:val="cs-CZ" w:eastAsia="cs-CZ"/>
        </w:rPr>
      </w:pPr>
      <w:r w:rsidRPr="00C3375C">
        <w:rPr>
          <w:rFonts w:ascii="Arial_CE" w:hAnsi="Arial_CE"/>
          <w:b/>
          <w:color w:val="auto"/>
          <w:sz w:val="20"/>
          <w:szCs w:val="20"/>
          <w:lang w:val="cs-CZ" w:eastAsia="cs-CZ"/>
        </w:rPr>
        <w:t>Pojištění majetku</w:t>
      </w:r>
    </w:p>
    <w:p w:rsidR="00323662" w:rsidRPr="0085250D" w:rsidRDefault="00323662" w:rsidP="00323662">
      <w:pPr>
        <w:widowControl/>
        <w:tabs>
          <w:tab w:val="right" w:pos="9072"/>
        </w:tabs>
        <w:spacing w:before="0" w:after="0" w:line="240" w:lineRule="auto"/>
        <w:contextualSpacing w:val="0"/>
        <w:rPr>
          <w:rFonts w:ascii="Arial_CE" w:hAnsi="Arial_CE"/>
          <w:b/>
          <w:color w:val="auto"/>
          <w:sz w:val="2"/>
          <w:szCs w:val="2"/>
          <w:lang w:val="cs-CZ" w:eastAsia="cs-CZ"/>
        </w:rPr>
      </w:pPr>
    </w:p>
    <w:p w:rsidR="00323662" w:rsidRPr="00D81FCF" w:rsidRDefault="00323662" w:rsidP="00323662">
      <w:pPr>
        <w:widowControl/>
        <w:tabs>
          <w:tab w:val="right" w:pos="9072"/>
        </w:tabs>
        <w:spacing w:before="0" w:after="0" w:line="240" w:lineRule="auto"/>
        <w:contextualSpacing w:val="0"/>
        <w:rPr>
          <w:rFonts w:ascii="Arial_CE" w:hAnsi="Arial_CE"/>
          <w:b/>
          <w:color w:val="auto"/>
          <w:sz w:val="20"/>
          <w:szCs w:val="20"/>
          <w:lang w:val="cs-CZ" w:eastAsia="cs-CZ"/>
        </w:rPr>
      </w:pPr>
      <w:r w:rsidRPr="00D81FCF">
        <w:rPr>
          <w:rFonts w:ascii="Arial_CE" w:hAnsi="Arial_CE"/>
          <w:b/>
          <w:color w:val="auto"/>
          <w:sz w:val="20"/>
          <w:szCs w:val="20"/>
          <w:lang w:val="cs-CZ" w:eastAsia="cs-CZ"/>
        </w:rPr>
        <w:t>R</w:t>
      </w:r>
      <w:r>
        <w:rPr>
          <w:rFonts w:ascii="Arial_CE" w:hAnsi="Arial_CE"/>
          <w:b/>
          <w:color w:val="auto"/>
          <w:sz w:val="20"/>
          <w:szCs w:val="20"/>
          <w:lang w:val="cs-CZ" w:eastAsia="cs-CZ"/>
        </w:rPr>
        <w:t>ozsah pojištění</w:t>
      </w:r>
      <w:r w:rsidRPr="00D81FCF">
        <w:rPr>
          <w:rFonts w:ascii="Arial_CE" w:hAnsi="Arial_CE"/>
          <w:b/>
          <w:color w:val="auto"/>
          <w:sz w:val="20"/>
          <w:szCs w:val="20"/>
          <w:lang w:val="cs-CZ" w:eastAsia="cs-CZ"/>
        </w:rPr>
        <w:t xml:space="preserve"> – sdružený živel </w:t>
      </w:r>
    </w:p>
    <w:p w:rsidR="00323662" w:rsidRPr="00D81FCF" w:rsidRDefault="00323662" w:rsidP="00323662">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 xml:space="preserve">Sdružený živel je souhrn pojistných nebezpečí - </w:t>
      </w:r>
      <w:r w:rsidRPr="00D81FCF">
        <w:rPr>
          <w:rFonts w:cs="Arial"/>
          <w:bCs/>
          <w:color w:val="000000"/>
          <w:sz w:val="20"/>
          <w:szCs w:val="20"/>
          <w:lang w:val="cs-CZ" w:eastAsia="en-US"/>
        </w:rPr>
        <w:t xml:space="preserve">požár;  přímý úder blesku; výbuch; pád letadla; </w:t>
      </w:r>
    </w:p>
    <w:p w:rsidR="00323662" w:rsidRPr="00D81FCF" w:rsidRDefault="00323662" w:rsidP="00323662">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color w:val="auto"/>
          <w:sz w:val="20"/>
          <w:szCs w:val="20"/>
          <w:lang w:val="cs-CZ" w:eastAsia="en-US"/>
        </w:rPr>
        <w:t>vi</w:t>
      </w:r>
      <w:r w:rsidRPr="00D81FCF">
        <w:rPr>
          <w:rFonts w:cs="Arial"/>
          <w:bCs/>
          <w:color w:val="000000"/>
          <w:sz w:val="20"/>
          <w:szCs w:val="20"/>
          <w:lang w:val="cs-CZ" w:eastAsia="en-US"/>
        </w:rPr>
        <w:t>chřice / krupobití; tíha sněhu a námrazy; lavina; pád stromu; náraz vozidla; kouř; aerodynamický třesk; sesuv</w:t>
      </w:r>
    </w:p>
    <w:p w:rsidR="00323662" w:rsidRPr="00D81FCF" w:rsidRDefault="00323662" w:rsidP="00323662">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D81FCF">
        <w:rPr>
          <w:rFonts w:cs="Arial"/>
          <w:bCs/>
          <w:color w:val="000000"/>
          <w:sz w:val="20"/>
          <w:szCs w:val="20"/>
          <w:lang w:val="cs-CZ" w:eastAsia="en-US"/>
        </w:rPr>
        <w:t xml:space="preserve">půdy a zřícení skal; výbuch sopky; záplava / povodeň; zemětřesení; voda z vodovodních zařízení </w:t>
      </w:r>
    </w:p>
    <w:p w:rsidR="00323662" w:rsidRPr="0085250D" w:rsidRDefault="00323662" w:rsidP="00323662">
      <w:pPr>
        <w:autoSpaceDE w:val="0"/>
        <w:autoSpaceDN w:val="0"/>
        <w:adjustRightInd w:val="0"/>
        <w:spacing w:before="0" w:after="0" w:line="180" w:lineRule="atLeast"/>
        <w:ind w:left="220" w:hanging="220"/>
        <w:contextualSpacing w:val="0"/>
        <w:rPr>
          <w:rFonts w:cs="Arial"/>
          <w:bCs/>
          <w:color w:val="000000"/>
          <w:sz w:val="2"/>
          <w:szCs w:val="2"/>
          <w:lang w:val="cs-CZ" w:eastAsia="en-US"/>
        </w:rPr>
      </w:pPr>
    </w:p>
    <w:p w:rsidR="00323662" w:rsidRPr="00402544" w:rsidRDefault="00323662" w:rsidP="00323662">
      <w:pPr>
        <w:autoSpaceDE w:val="0"/>
        <w:autoSpaceDN w:val="0"/>
        <w:adjustRightInd w:val="0"/>
        <w:spacing w:before="0" w:after="0" w:line="180" w:lineRule="atLeast"/>
        <w:ind w:left="220" w:hanging="220"/>
        <w:contextualSpacing w:val="0"/>
        <w:rPr>
          <w:rFonts w:cs="Arial"/>
          <w:color w:val="auto"/>
          <w:sz w:val="20"/>
          <w:szCs w:val="20"/>
          <w:lang w:val="cs-CZ" w:eastAsia="en-US"/>
        </w:rPr>
      </w:pPr>
      <w:r w:rsidRPr="00402544">
        <w:rPr>
          <w:rFonts w:cs="Arial"/>
          <w:color w:val="auto"/>
          <w:sz w:val="20"/>
          <w:szCs w:val="20"/>
          <w:lang w:val="cs-CZ" w:eastAsia="en-US"/>
        </w:rPr>
        <w:t xml:space="preserve">Pojištění se </w:t>
      </w:r>
      <w:r>
        <w:rPr>
          <w:rFonts w:cs="Arial"/>
          <w:color w:val="auto"/>
          <w:sz w:val="20"/>
          <w:szCs w:val="20"/>
          <w:lang w:val="cs-CZ" w:eastAsia="en-US"/>
        </w:rPr>
        <w:t xml:space="preserve">odchylně od pojistných podmínek </w:t>
      </w:r>
      <w:r w:rsidRPr="00402544">
        <w:rPr>
          <w:rFonts w:cs="Arial"/>
          <w:color w:val="auto"/>
          <w:sz w:val="20"/>
          <w:szCs w:val="20"/>
          <w:lang w:val="cs-CZ" w:eastAsia="en-US"/>
        </w:rPr>
        <w:t xml:space="preserve">vztahuje </w:t>
      </w:r>
      <w:r>
        <w:rPr>
          <w:rFonts w:cs="Arial"/>
          <w:color w:val="auto"/>
          <w:sz w:val="20"/>
          <w:szCs w:val="20"/>
          <w:lang w:val="cs-CZ" w:eastAsia="en-US"/>
        </w:rPr>
        <w:t xml:space="preserve">i </w:t>
      </w:r>
      <w:r w:rsidRPr="00402544">
        <w:rPr>
          <w:rFonts w:cs="Arial"/>
          <w:color w:val="auto"/>
          <w:sz w:val="20"/>
          <w:szCs w:val="20"/>
          <w:lang w:val="cs-CZ" w:eastAsia="en-US"/>
        </w:rPr>
        <w:t>na škody způsobené pádem jakékoli jiné věci</w:t>
      </w:r>
      <w:r>
        <w:rPr>
          <w:rFonts w:cs="Arial"/>
          <w:color w:val="auto"/>
          <w:sz w:val="20"/>
          <w:szCs w:val="20"/>
          <w:lang w:val="cs-CZ" w:eastAsia="en-US"/>
        </w:rPr>
        <w:t xml:space="preserve"> </w:t>
      </w:r>
    </w:p>
    <w:p w:rsidR="00323662" w:rsidRPr="00402544" w:rsidRDefault="00323662" w:rsidP="00323662">
      <w:pPr>
        <w:autoSpaceDE w:val="0"/>
        <w:autoSpaceDN w:val="0"/>
        <w:adjustRightInd w:val="0"/>
        <w:spacing w:before="0" w:after="0" w:line="180" w:lineRule="atLeast"/>
        <w:ind w:left="220" w:hanging="220"/>
        <w:contextualSpacing w:val="0"/>
        <w:rPr>
          <w:rFonts w:cs="Arial"/>
          <w:color w:val="auto"/>
          <w:sz w:val="20"/>
          <w:szCs w:val="20"/>
          <w:lang w:val="cs-CZ" w:eastAsia="en-US"/>
        </w:rPr>
      </w:pPr>
      <w:r w:rsidRPr="00402544">
        <w:rPr>
          <w:rFonts w:cs="Arial"/>
          <w:color w:val="auto"/>
          <w:sz w:val="20"/>
          <w:szCs w:val="20"/>
          <w:lang w:val="cs-CZ" w:eastAsia="en-US"/>
        </w:rPr>
        <w:t>ve vlastnictví nebo v užívání pojištěného, ať je, či není pojištěna.</w:t>
      </w:r>
    </w:p>
    <w:p w:rsidR="00323662" w:rsidRDefault="00323662" w:rsidP="00323662">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323662" w:rsidRPr="005F4104" w:rsidRDefault="00323662" w:rsidP="00323662">
      <w:pPr>
        <w:autoSpaceDE w:val="0"/>
        <w:autoSpaceDN w:val="0"/>
        <w:adjustRightInd w:val="0"/>
        <w:spacing w:before="0" w:after="0" w:line="180" w:lineRule="atLeast"/>
        <w:ind w:left="220" w:hanging="220"/>
        <w:contextualSpacing w:val="0"/>
        <w:rPr>
          <w:rFonts w:cs="Arial"/>
          <w:b/>
          <w:bCs/>
          <w:color w:val="000000"/>
          <w:sz w:val="20"/>
          <w:szCs w:val="20"/>
          <w:lang w:val="cs-CZ" w:eastAsia="en-US"/>
        </w:rPr>
      </w:pPr>
      <w:r w:rsidRPr="005F4104">
        <w:rPr>
          <w:rFonts w:cs="Arial"/>
          <w:b/>
          <w:bCs/>
          <w:color w:val="000000"/>
          <w:sz w:val="20"/>
          <w:szCs w:val="20"/>
          <w:lang w:val="cs-CZ" w:eastAsia="en-US"/>
        </w:rPr>
        <w:t>Spoluúčast:</w:t>
      </w:r>
    </w:p>
    <w:p w:rsidR="00323662" w:rsidRPr="005F4104" w:rsidRDefault="00323662" w:rsidP="00323662">
      <w:pPr>
        <w:autoSpaceDE w:val="0"/>
        <w:autoSpaceDN w:val="0"/>
        <w:adjustRightInd w:val="0"/>
        <w:spacing w:before="0" w:after="0" w:line="180" w:lineRule="atLeast"/>
        <w:ind w:left="220" w:hanging="220"/>
        <w:contextualSpacing w:val="0"/>
        <w:rPr>
          <w:rFonts w:cs="Arial"/>
          <w:bCs/>
          <w:color w:val="000000"/>
          <w:sz w:val="20"/>
          <w:szCs w:val="20"/>
          <w:lang w:val="cs-CZ" w:eastAsia="en-US"/>
        </w:rPr>
      </w:pPr>
      <w:r w:rsidRPr="005F4104">
        <w:rPr>
          <w:rFonts w:cs="Arial"/>
          <w:bCs/>
          <w:color w:val="000000"/>
          <w:sz w:val="20"/>
          <w:szCs w:val="20"/>
          <w:lang w:val="cs-CZ" w:eastAsia="en-US"/>
        </w:rPr>
        <w:t>FLEXA</w:t>
      </w:r>
      <w:r>
        <w:rPr>
          <w:rFonts w:cs="Arial"/>
          <w:bCs/>
          <w:color w:val="000000"/>
          <w:sz w:val="20"/>
          <w:szCs w:val="20"/>
          <w:lang w:val="cs-CZ" w:eastAsia="en-US"/>
        </w:rPr>
        <w:t xml:space="preserve"> a o</w:t>
      </w:r>
      <w:r w:rsidRPr="005F4104">
        <w:rPr>
          <w:rFonts w:cs="Arial"/>
          <w:bCs/>
          <w:color w:val="000000"/>
          <w:sz w:val="20"/>
          <w:szCs w:val="20"/>
          <w:lang w:val="cs-CZ" w:eastAsia="en-US"/>
        </w:rPr>
        <w:t>statní pojištěn</w:t>
      </w:r>
      <w:r>
        <w:rPr>
          <w:rFonts w:cs="Arial"/>
          <w:bCs/>
          <w:color w:val="000000"/>
          <w:sz w:val="20"/>
          <w:szCs w:val="20"/>
          <w:lang w:val="cs-CZ" w:eastAsia="en-US"/>
        </w:rPr>
        <w:t>á</w:t>
      </w:r>
      <w:r w:rsidRPr="005F4104">
        <w:rPr>
          <w:rFonts w:cs="Arial"/>
          <w:bCs/>
          <w:color w:val="000000"/>
          <w:sz w:val="20"/>
          <w:szCs w:val="20"/>
          <w:lang w:val="cs-CZ" w:eastAsia="en-US"/>
        </w:rPr>
        <w:t xml:space="preserve"> pojistná nebezpečí: </w:t>
      </w:r>
      <w:r>
        <w:rPr>
          <w:rFonts w:cs="Arial"/>
          <w:bCs/>
          <w:color w:val="000000"/>
          <w:sz w:val="20"/>
          <w:szCs w:val="20"/>
          <w:lang w:val="cs-CZ" w:eastAsia="en-US"/>
        </w:rPr>
        <w:t>1</w:t>
      </w:r>
      <w:r w:rsidRPr="005F4104">
        <w:rPr>
          <w:rFonts w:cs="Arial"/>
          <w:bCs/>
          <w:color w:val="000000"/>
          <w:sz w:val="20"/>
          <w:szCs w:val="20"/>
          <w:lang w:val="cs-CZ" w:eastAsia="en-US"/>
        </w:rPr>
        <w:t> 000,- Kč,</w:t>
      </w:r>
    </w:p>
    <w:p w:rsidR="00323662" w:rsidRDefault="00323662" w:rsidP="00323662">
      <w:pPr>
        <w:autoSpaceDE w:val="0"/>
        <w:autoSpaceDN w:val="0"/>
        <w:adjustRightInd w:val="0"/>
        <w:spacing w:before="0" w:after="0" w:line="180" w:lineRule="atLeast"/>
        <w:ind w:left="220" w:hanging="220"/>
        <w:contextualSpacing w:val="0"/>
        <w:rPr>
          <w:rFonts w:cs="Arial"/>
          <w:bCs/>
          <w:color w:val="000000"/>
          <w:szCs w:val="18"/>
          <w:lang w:val="cs-CZ" w:eastAsia="en-US"/>
        </w:rPr>
      </w:pPr>
    </w:p>
    <w:p w:rsidR="00323662" w:rsidRPr="00017FB4" w:rsidRDefault="00323662" w:rsidP="00323662">
      <w:pPr>
        <w:autoSpaceDE w:val="0"/>
        <w:autoSpaceDN w:val="0"/>
        <w:adjustRightInd w:val="0"/>
        <w:spacing w:before="0" w:after="0" w:line="180" w:lineRule="atLeast"/>
        <w:contextualSpacing w:val="0"/>
        <w:rPr>
          <w:rFonts w:cs="Arial"/>
          <w:b/>
          <w:color w:val="auto"/>
          <w:sz w:val="20"/>
          <w:szCs w:val="20"/>
          <w:lang w:val="cs-CZ" w:eastAsia="cs-CZ"/>
        </w:rPr>
      </w:pPr>
      <w:r w:rsidRPr="00017FB4">
        <w:rPr>
          <w:rFonts w:cs="Arial"/>
          <w:b/>
          <w:color w:val="auto"/>
          <w:sz w:val="20"/>
          <w:szCs w:val="20"/>
          <w:lang w:val="cs-CZ" w:eastAsia="cs-CZ"/>
        </w:rPr>
        <w:t>Soubor nemovitostí, vlastních i cizích – budovy a ostatní stavby vč. stavebních</w:t>
      </w:r>
      <w:r>
        <w:rPr>
          <w:rFonts w:cs="Arial"/>
          <w:b/>
          <w:color w:val="auto"/>
          <w:sz w:val="20"/>
          <w:szCs w:val="20"/>
          <w:lang w:val="cs-CZ" w:eastAsia="cs-CZ"/>
        </w:rPr>
        <w:t xml:space="preserve"> součástí (vnitřních i </w:t>
      </w:r>
      <w:r w:rsidRPr="00017FB4">
        <w:rPr>
          <w:rFonts w:cs="Arial"/>
          <w:b/>
          <w:color w:val="auto"/>
          <w:sz w:val="20"/>
          <w:szCs w:val="20"/>
          <w:lang w:val="cs-CZ" w:eastAsia="cs-CZ"/>
        </w:rPr>
        <w:t>vnějších), příslušenství, strojních a elektronických součástí budov</w:t>
      </w:r>
      <w:r>
        <w:rPr>
          <w:rFonts w:cs="Arial"/>
          <w:b/>
          <w:color w:val="auto"/>
          <w:sz w:val="20"/>
          <w:szCs w:val="20"/>
          <w:lang w:val="cs-CZ" w:eastAsia="cs-CZ"/>
        </w:rPr>
        <w:t xml:space="preserve"> </w:t>
      </w:r>
      <w:r w:rsidRPr="00017FB4">
        <w:rPr>
          <w:rFonts w:cs="Arial"/>
          <w:b/>
          <w:color w:val="auto"/>
          <w:sz w:val="20"/>
          <w:szCs w:val="20"/>
          <w:lang w:val="cs-CZ" w:eastAsia="cs-CZ"/>
        </w:rPr>
        <w:t>a staveb (např. instalace elektro, vody, topení, plynu, výtahů, EZS, EPS, vnější a</w:t>
      </w:r>
      <w:r>
        <w:rPr>
          <w:rFonts w:cs="Arial"/>
          <w:b/>
          <w:color w:val="auto"/>
          <w:sz w:val="20"/>
          <w:szCs w:val="20"/>
          <w:lang w:val="cs-CZ" w:eastAsia="cs-CZ"/>
        </w:rPr>
        <w:t xml:space="preserve"> </w:t>
      </w:r>
      <w:r w:rsidRPr="00017FB4">
        <w:rPr>
          <w:rFonts w:cs="Arial"/>
          <w:b/>
          <w:color w:val="auto"/>
          <w:sz w:val="20"/>
          <w:szCs w:val="20"/>
          <w:lang w:val="cs-CZ" w:eastAsia="cs-CZ"/>
        </w:rPr>
        <w:t>vnitřní kamerový systém, antény, dešťové svody, apod.), dřevostaveb, energetických</w:t>
      </w:r>
      <w:r>
        <w:rPr>
          <w:rFonts w:cs="Arial"/>
          <w:b/>
          <w:color w:val="auto"/>
          <w:sz w:val="20"/>
          <w:szCs w:val="20"/>
          <w:lang w:val="cs-CZ" w:eastAsia="cs-CZ"/>
        </w:rPr>
        <w:t xml:space="preserve"> </w:t>
      </w:r>
      <w:r w:rsidRPr="00017FB4">
        <w:rPr>
          <w:rFonts w:cs="Arial"/>
          <w:b/>
          <w:color w:val="auto"/>
          <w:sz w:val="20"/>
          <w:szCs w:val="20"/>
          <w:lang w:val="cs-CZ" w:eastAsia="cs-CZ"/>
        </w:rPr>
        <w:t xml:space="preserve">zařízení (trafostanice, výměníkové stanice), </w:t>
      </w:r>
      <w:proofErr w:type="spellStart"/>
      <w:r w:rsidRPr="00017FB4">
        <w:rPr>
          <w:rFonts w:cs="Arial"/>
          <w:b/>
          <w:color w:val="auto"/>
          <w:sz w:val="20"/>
          <w:szCs w:val="20"/>
          <w:lang w:val="cs-CZ" w:eastAsia="cs-CZ"/>
        </w:rPr>
        <w:t>termosolárních</w:t>
      </w:r>
      <w:proofErr w:type="spellEnd"/>
      <w:r w:rsidRPr="00017FB4">
        <w:rPr>
          <w:rFonts w:cs="Arial"/>
          <w:b/>
          <w:color w:val="auto"/>
          <w:sz w:val="20"/>
          <w:szCs w:val="20"/>
          <w:lang w:val="cs-CZ" w:eastAsia="cs-CZ"/>
        </w:rPr>
        <w:t xml:space="preserve"> a </w:t>
      </w:r>
      <w:proofErr w:type="spellStart"/>
      <w:r w:rsidRPr="00017FB4">
        <w:rPr>
          <w:rFonts w:cs="Arial"/>
          <w:b/>
          <w:color w:val="auto"/>
          <w:sz w:val="20"/>
          <w:szCs w:val="20"/>
          <w:lang w:val="cs-CZ" w:eastAsia="cs-CZ"/>
        </w:rPr>
        <w:t>fotovoltaických</w:t>
      </w:r>
      <w:proofErr w:type="spellEnd"/>
      <w:r w:rsidRPr="00017FB4">
        <w:rPr>
          <w:rFonts w:cs="Arial"/>
          <w:b/>
          <w:color w:val="auto"/>
          <w:sz w:val="20"/>
          <w:szCs w:val="20"/>
          <w:lang w:val="cs-CZ" w:eastAsia="cs-CZ"/>
        </w:rPr>
        <w:t xml:space="preserve"> systémů,</w:t>
      </w:r>
      <w:r>
        <w:rPr>
          <w:rFonts w:cs="Arial"/>
          <w:b/>
          <w:color w:val="auto"/>
          <w:sz w:val="20"/>
          <w:szCs w:val="20"/>
          <w:lang w:val="cs-CZ" w:eastAsia="cs-CZ"/>
        </w:rPr>
        <w:t xml:space="preserve"> </w:t>
      </w:r>
      <w:r w:rsidRPr="00017FB4">
        <w:rPr>
          <w:rFonts w:cs="Arial"/>
          <w:b/>
          <w:color w:val="auto"/>
          <w:sz w:val="20"/>
          <w:szCs w:val="20"/>
          <w:lang w:val="cs-CZ" w:eastAsia="cs-CZ"/>
        </w:rPr>
        <w:t>technického zhodnocení, zpevněné a umělé plochy, komunikace, stožáry, oplocení,</w:t>
      </w:r>
      <w:r>
        <w:rPr>
          <w:rFonts w:cs="Arial"/>
          <w:b/>
          <w:color w:val="auto"/>
          <w:sz w:val="20"/>
          <w:szCs w:val="20"/>
          <w:lang w:val="cs-CZ" w:eastAsia="cs-CZ"/>
        </w:rPr>
        <w:t xml:space="preserve"> </w:t>
      </w:r>
      <w:r w:rsidRPr="00017FB4">
        <w:rPr>
          <w:rFonts w:cs="Arial"/>
          <w:b/>
          <w:color w:val="auto"/>
          <w:sz w:val="20"/>
          <w:szCs w:val="20"/>
          <w:lang w:val="cs-CZ" w:eastAsia="cs-CZ"/>
        </w:rPr>
        <w:t>terénní úpravy, inženýrské sítě, rozvodné sítě, mosty, lavičky, veřejné osvětlení v</w:t>
      </w:r>
      <w:r>
        <w:rPr>
          <w:rFonts w:cs="Arial"/>
          <w:b/>
          <w:color w:val="auto"/>
          <w:sz w:val="20"/>
          <w:szCs w:val="20"/>
          <w:lang w:val="cs-CZ" w:eastAsia="cs-CZ"/>
        </w:rPr>
        <w:t> </w:t>
      </w:r>
      <w:r w:rsidRPr="00017FB4">
        <w:rPr>
          <w:rFonts w:cs="Arial"/>
          <w:b/>
          <w:color w:val="auto"/>
          <w:sz w:val="20"/>
          <w:szCs w:val="20"/>
          <w:lang w:val="cs-CZ" w:eastAsia="cs-CZ"/>
        </w:rPr>
        <w:t>rámci</w:t>
      </w:r>
      <w:r>
        <w:rPr>
          <w:rFonts w:cs="Arial"/>
          <w:b/>
          <w:color w:val="auto"/>
          <w:sz w:val="20"/>
          <w:szCs w:val="20"/>
          <w:lang w:val="cs-CZ" w:eastAsia="cs-CZ"/>
        </w:rPr>
        <w:t xml:space="preserve"> </w:t>
      </w:r>
      <w:r w:rsidRPr="00017FB4">
        <w:rPr>
          <w:rFonts w:cs="Arial"/>
          <w:b/>
          <w:color w:val="auto"/>
          <w:sz w:val="20"/>
          <w:szCs w:val="20"/>
          <w:lang w:val="cs-CZ" w:eastAsia="cs-CZ"/>
        </w:rPr>
        <w:t>areálu, soubor investic, apod.</w:t>
      </w:r>
      <w:r>
        <w:rPr>
          <w:rFonts w:cs="Arial"/>
          <w:b/>
          <w:color w:val="auto"/>
          <w:sz w:val="20"/>
          <w:szCs w:val="20"/>
          <w:lang w:val="cs-CZ" w:eastAsia="cs-CZ"/>
        </w:rPr>
        <w:t xml:space="preserve"> – na novou cenu</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3408D5">
        <w:rPr>
          <w:rFonts w:ascii="Arial_CE" w:hAnsi="Arial_CE"/>
          <w:iCs/>
          <w:color w:val="auto"/>
          <w:sz w:val="20"/>
          <w:szCs w:val="20"/>
          <w:lang w:val="cs-CZ" w:eastAsia="cs-CZ"/>
        </w:rPr>
        <w:t>460 304 992</w:t>
      </w:r>
      <w:r w:rsidRPr="00AF416E">
        <w:rPr>
          <w:rFonts w:ascii="Arial_CE" w:hAnsi="Arial_CE"/>
          <w:iCs/>
          <w:color w:val="auto"/>
          <w:sz w:val="20"/>
          <w:szCs w:val="20"/>
          <w:lang w:val="cs-CZ" w:eastAsia="cs-CZ"/>
        </w:rPr>
        <w:t>,- Kč</w:t>
      </w:r>
      <w:r>
        <w:rPr>
          <w:rFonts w:ascii="Arial_CE" w:hAnsi="Arial_CE"/>
          <w:iCs/>
          <w:color w:val="auto"/>
          <w:sz w:val="20"/>
          <w:szCs w:val="20"/>
          <w:lang w:val="cs-CZ" w:eastAsia="cs-CZ"/>
        </w:rPr>
        <w:t xml:space="preserve"> </w:t>
      </w:r>
    </w:p>
    <w:p w:rsidR="00323662" w:rsidRPr="00AF416E"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F416E">
        <w:rPr>
          <w:rFonts w:ascii="Arial_CE" w:hAnsi="Arial_CE"/>
          <w:iCs/>
          <w:color w:val="auto"/>
          <w:sz w:val="20"/>
          <w:szCs w:val="20"/>
          <w:lang w:val="cs-CZ" w:eastAsia="cs-CZ"/>
        </w:rPr>
        <w:tab/>
      </w:r>
    </w:p>
    <w:p w:rsidR="00323662" w:rsidRPr="00AF416E" w:rsidRDefault="00323662" w:rsidP="00323662">
      <w:pPr>
        <w:widowControl/>
        <w:autoSpaceDE w:val="0"/>
        <w:autoSpaceDN w:val="0"/>
        <w:adjustRightInd w:val="0"/>
        <w:spacing w:before="0" w:after="0" w:line="240" w:lineRule="auto"/>
        <w:contextualSpacing w:val="0"/>
        <w:rPr>
          <w:rFonts w:cs="Arial"/>
          <w:b/>
          <w:color w:val="auto"/>
          <w:sz w:val="20"/>
          <w:szCs w:val="20"/>
          <w:lang w:val="cs-CZ" w:eastAsia="cs-CZ"/>
        </w:rPr>
      </w:pPr>
      <w:r w:rsidRPr="00017FB4">
        <w:rPr>
          <w:rFonts w:cs="Arial"/>
          <w:b/>
          <w:color w:val="auto"/>
          <w:sz w:val="20"/>
          <w:szCs w:val="20"/>
          <w:lang w:val="cs-CZ" w:eastAsia="cs-CZ"/>
        </w:rPr>
        <w:t>Soubor vlastních a cizích věcí movitých – přístroje, stroje, zařízení, elektronika,</w:t>
      </w:r>
      <w:r>
        <w:rPr>
          <w:rFonts w:cs="Arial"/>
          <w:b/>
          <w:color w:val="auto"/>
          <w:sz w:val="20"/>
          <w:szCs w:val="20"/>
          <w:lang w:val="cs-CZ" w:eastAsia="cs-CZ"/>
        </w:rPr>
        <w:t xml:space="preserve"> </w:t>
      </w:r>
      <w:r w:rsidRPr="00017FB4">
        <w:rPr>
          <w:rFonts w:cs="Arial"/>
          <w:b/>
          <w:color w:val="auto"/>
          <w:sz w:val="20"/>
          <w:szCs w:val="20"/>
          <w:lang w:val="cs-CZ" w:eastAsia="cs-CZ"/>
        </w:rPr>
        <w:t xml:space="preserve">vybavení, inventář (vč. </w:t>
      </w:r>
      <w:r>
        <w:rPr>
          <w:rFonts w:cs="Arial"/>
          <w:b/>
          <w:color w:val="auto"/>
          <w:sz w:val="20"/>
          <w:szCs w:val="20"/>
          <w:lang w:val="cs-CZ" w:eastAsia="cs-CZ"/>
        </w:rPr>
        <w:t xml:space="preserve">   </w:t>
      </w:r>
      <w:r w:rsidRPr="00017FB4">
        <w:rPr>
          <w:rFonts w:cs="Arial"/>
          <w:b/>
          <w:color w:val="auto"/>
          <w:sz w:val="20"/>
          <w:szCs w:val="20"/>
          <w:lang w:val="cs-CZ" w:eastAsia="cs-CZ"/>
        </w:rPr>
        <w:t>DDHM), věci umělecké a historické hodnoty, modely, vzorky,</w:t>
      </w:r>
      <w:r>
        <w:rPr>
          <w:rFonts w:cs="Arial"/>
          <w:b/>
          <w:color w:val="auto"/>
          <w:sz w:val="20"/>
          <w:szCs w:val="20"/>
          <w:lang w:val="cs-CZ" w:eastAsia="cs-CZ"/>
        </w:rPr>
        <w:t xml:space="preserve"> </w:t>
      </w:r>
      <w:r w:rsidRPr="00017FB4">
        <w:rPr>
          <w:rFonts w:cs="Arial"/>
          <w:b/>
          <w:color w:val="auto"/>
          <w:sz w:val="20"/>
          <w:szCs w:val="20"/>
          <w:lang w:val="cs-CZ" w:eastAsia="cs-CZ"/>
        </w:rPr>
        <w:t>prototypy, exponáty, písemnosti, plány, knihy a časopisy, nosiče dat, software, DHIM,</w:t>
      </w:r>
      <w:r>
        <w:rPr>
          <w:rFonts w:cs="Arial"/>
          <w:b/>
          <w:color w:val="auto"/>
          <w:sz w:val="20"/>
          <w:szCs w:val="20"/>
          <w:lang w:val="cs-CZ" w:eastAsia="cs-CZ"/>
        </w:rPr>
        <w:t xml:space="preserve"> </w:t>
      </w:r>
      <w:r w:rsidRPr="00017FB4">
        <w:rPr>
          <w:rFonts w:cs="Arial"/>
          <w:b/>
          <w:color w:val="auto"/>
          <w:sz w:val="20"/>
          <w:szCs w:val="20"/>
          <w:lang w:val="cs-CZ" w:eastAsia="cs-CZ"/>
        </w:rPr>
        <w:t>ostatní vlastní a cizí věci movité apod. veden</w:t>
      </w:r>
      <w:r>
        <w:rPr>
          <w:rFonts w:cs="Arial"/>
          <w:b/>
          <w:color w:val="auto"/>
          <w:sz w:val="20"/>
          <w:szCs w:val="20"/>
          <w:lang w:val="cs-CZ" w:eastAsia="cs-CZ"/>
        </w:rPr>
        <w:t>é</w:t>
      </w:r>
      <w:r w:rsidRPr="00017FB4">
        <w:rPr>
          <w:rFonts w:cs="Arial"/>
          <w:b/>
          <w:color w:val="auto"/>
          <w:sz w:val="20"/>
          <w:szCs w:val="20"/>
          <w:lang w:val="cs-CZ" w:eastAsia="cs-CZ"/>
        </w:rPr>
        <w:t xml:space="preserve"> v účetní, operativní či jiné evidenci</w:t>
      </w:r>
      <w:r>
        <w:rPr>
          <w:rFonts w:cs="Arial"/>
          <w:b/>
          <w:color w:val="auto"/>
          <w:sz w:val="20"/>
          <w:szCs w:val="20"/>
          <w:lang w:val="cs-CZ" w:eastAsia="cs-CZ"/>
        </w:rPr>
        <w:t xml:space="preserve">, </w:t>
      </w:r>
      <w:r w:rsidRPr="00017FB4">
        <w:rPr>
          <w:rFonts w:cs="Arial"/>
          <w:b/>
          <w:color w:val="auto"/>
          <w:sz w:val="20"/>
          <w:szCs w:val="20"/>
          <w:lang w:val="cs-CZ" w:eastAsia="cs-CZ"/>
        </w:rPr>
        <w:t>zařízení pro rádiové spojení umístěné na střeše a věci na volném prostranství</w:t>
      </w:r>
      <w:r>
        <w:rPr>
          <w:rFonts w:cs="Arial"/>
          <w:b/>
          <w:color w:val="auto"/>
          <w:sz w:val="20"/>
          <w:szCs w:val="20"/>
          <w:lang w:val="cs-CZ" w:eastAsia="cs-CZ"/>
        </w:rPr>
        <w:t xml:space="preserve"> – na novou cenu</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AF416E">
        <w:rPr>
          <w:rFonts w:ascii="Arial_CE" w:hAnsi="Arial_CE"/>
          <w:iCs/>
          <w:color w:val="auto"/>
          <w:sz w:val="20"/>
          <w:szCs w:val="20"/>
          <w:lang w:val="cs-CZ" w:eastAsia="cs-CZ"/>
        </w:rPr>
        <w:t>Pojistná částka:</w:t>
      </w:r>
      <w:r w:rsidRPr="00AF416E">
        <w:rPr>
          <w:rFonts w:ascii="Arial_CE" w:hAnsi="Arial_CE"/>
          <w:iCs/>
          <w:color w:val="auto"/>
          <w:sz w:val="20"/>
          <w:szCs w:val="20"/>
          <w:lang w:val="cs-CZ" w:eastAsia="cs-CZ"/>
        </w:rPr>
        <w:tab/>
      </w:r>
      <w:r w:rsidR="003408D5">
        <w:rPr>
          <w:rFonts w:ascii="Arial_CE" w:hAnsi="Arial_CE"/>
          <w:iCs/>
          <w:color w:val="auto"/>
          <w:sz w:val="20"/>
          <w:szCs w:val="20"/>
          <w:lang w:val="cs-CZ" w:eastAsia="cs-CZ"/>
        </w:rPr>
        <w:t>570 175 471</w:t>
      </w:r>
      <w:r w:rsidRPr="00AF416E">
        <w:rPr>
          <w:rFonts w:ascii="Arial_CE" w:hAnsi="Arial_CE"/>
          <w:iCs/>
          <w:color w:val="auto"/>
          <w:sz w:val="20"/>
          <w:szCs w:val="20"/>
          <w:lang w:val="cs-CZ" w:eastAsia="cs-CZ"/>
        </w:rPr>
        <w:t>,- Kč</w:t>
      </w:r>
    </w:p>
    <w:p w:rsidR="00323662" w:rsidRPr="0085250D"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16"/>
          <w:szCs w:val="16"/>
          <w:lang w:val="cs-CZ" w:eastAsia="cs-CZ"/>
        </w:rPr>
      </w:pP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w:t>
      </w:r>
      <w:r>
        <w:rPr>
          <w:rFonts w:cs="Arial"/>
          <w:b/>
          <w:color w:val="auto"/>
          <w:sz w:val="20"/>
          <w:szCs w:val="20"/>
          <w:lang w:val="cs-CZ" w:eastAsia="cs-CZ"/>
        </w:rPr>
        <w:t xml:space="preserve">souboru </w:t>
      </w:r>
      <w:r w:rsidRPr="00D81FCF">
        <w:rPr>
          <w:rFonts w:cs="Arial"/>
          <w:b/>
          <w:color w:val="auto"/>
          <w:sz w:val="20"/>
          <w:szCs w:val="20"/>
          <w:lang w:val="cs-CZ" w:eastAsia="cs-CZ"/>
        </w:rPr>
        <w:t xml:space="preserve">vlastních </w:t>
      </w:r>
      <w:r>
        <w:rPr>
          <w:rFonts w:cs="Arial"/>
          <w:b/>
          <w:color w:val="auto"/>
          <w:sz w:val="20"/>
          <w:szCs w:val="20"/>
          <w:lang w:val="cs-CZ" w:eastAsia="cs-CZ"/>
        </w:rPr>
        <w:t>a cizích zásob</w:t>
      </w:r>
      <w:r w:rsidRPr="00D81FCF">
        <w:rPr>
          <w:rFonts w:cs="Arial"/>
          <w:b/>
          <w:color w:val="auto"/>
          <w:sz w:val="20"/>
          <w:szCs w:val="20"/>
          <w:lang w:val="cs-CZ" w:eastAsia="cs-CZ"/>
        </w:rPr>
        <w:t xml:space="preserve"> </w:t>
      </w:r>
      <w:r w:rsidRPr="00D81FCF">
        <w:rPr>
          <w:rFonts w:cs="Arial"/>
          <w:b/>
          <w:i/>
          <w:iCs/>
          <w:color w:val="auto"/>
          <w:sz w:val="20"/>
          <w:szCs w:val="20"/>
          <w:lang w:val="cs-CZ" w:eastAsia="cs-CZ"/>
        </w:rPr>
        <w:t xml:space="preserve">– </w:t>
      </w:r>
      <w:r>
        <w:rPr>
          <w:rFonts w:cs="Arial"/>
          <w:b/>
          <w:color w:val="auto"/>
          <w:sz w:val="20"/>
          <w:szCs w:val="20"/>
          <w:lang w:val="cs-CZ" w:eastAsia="cs-CZ"/>
        </w:rPr>
        <w:t>na novou cenu</w:t>
      </w: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200 000</w:t>
      </w:r>
      <w:r w:rsidRPr="00AF416E">
        <w:rPr>
          <w:rFonts w:ascii="Arial_CE" w:hAnsi="Arial_CE"/>
          <w:iCs/>
          <w:color w:val="auto"/>
          <w:sz w:val="20"/>
          <w:szCs w:val="20"/>
          <w:lang w:val="cs-CZ" w:eastAsia="cs-CZ"/>
        </w:rPr>
        <w:t>,- Kč</w:t>
      </w:r>
      <w:r w:rsidRPr="00D81FCF">
        <w:rPr>
          <w:rFonts w:ascii="Arial_CE" w:hAnsi="Arial_CE"/>
          <w:iCs/>
          <w:color w:val="auto"/>
          <w:sz w:val="20"/>
          <w:szCs w:val="20"/>
          <w:lang w:val="cs-CZ" w:eastAsia="cs-CZ"/>
        </w:rPr>
        <w:tab/>
      </w: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p>
    <w:p w:rsidR="00323662"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w:t>
      </w:r>
      <w:r>
        <w:rPr>
          <w:rFonts w:cs="Arial"/>
          <w:b/>
          <w:color w:val="auto"/>
          <w:sz w:val="20"/>
          <w:szCs w:val="20"/>
          <w:lang w:val="cs-CZ" w:eastAsia="cs-CZ"/>
        </w:rPr>
        <w:t>ojištění nákladů</w:t>
      </w:r>
    </w:p>
    <w:p w:rsidR="00323662" w:rsidRPr="00D81FCF" w:rsidRDefault="00323662" w:rsidP="00323662">
      <w:pPr>
        <w:keepNext/>
        <w:widowControl/>
        <w:tabs>
          <w:tab w:val="right" w:pos="8222"/>
          <w:tab w:val="right" w:pos="9639"/>
        </w:tabs>
        <w:spacing w:before="0" w:after="0" w:line="240" w:lineRule="auto"/>
        <w:contextualSpacing w:val="0"/>
        <w:outlineLvl w:val="3"/>
        <w:rPr>
          <w:rFonts w:ascii="Arial_CE" w:hAnsi="Arial_CE" w:cs="Arial"/>
          <w:b/>
          <w:color w:val="auto"/>
          <w:sz w:val="20"/>
          <w:szCs w:val="20"/>
          <w:lang w:val="cs-CZ" w:eastAsia="cs-CZ"/>
        </w:rPr>
      </w:pP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Pojištění nákladů vynaložených v důsledku pojistné události </w:t>
      </w:r>
    </w:p>
    <w:p w:rsidR="00323662" w:rsidRPr="00AF416E" w:rsidRDefault="00323662" w:rsidP="00323662">
      <w:pPr>
        <w:widowControl/>
        <w:autoSpaceDE w:val="0"/>
        <w:autoSpaceDN w:val="0"/>
        <w:adjustRightInd w:val="0"/>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v rozsahu čl. 2, odst. 6  ZPP PR-P 2014/01</w:t>
      </w:r>
      <w:r>
        <w:rPr>
          <w:rFonts w:cs="Arial"/>
          <w:b/>
          <w:color w:val="auto"/>
          <w:sz w:val="20"/>
          <w:szCs w:val="20"/>
          <w:lang w:val="cs-CZ" w:eastAsia="cs-CZ"/>
        </w:rPr>
        <w:t xml:space="preserve"> </w:t>
      </w:r>
      <w:r w:rsidRPr="00AF416E">
        <w:rPr>
          <w:rFonts w:cs="Arial"/>
          <w:color w:val="auto"/>
          <w:sz w:val="20"/>
          <w:szCs w:val="20"/>
          <w:lang w:val="cs-CZ" w:eastAsia="cs-CZ"/>
        </w:rPr>
        <w:t>(tj.</w:t>
      </w:r>
      <w:r>
        <w:rPr>
          <w:rFonts w:cs="Arial"/>
          <w:b/>
          <w:color w:val="auto"/>
          <w:sz w:val="20"/>
          <w:szCs w:val="20"/>
          <w:lang w:val="cs-CZ" w:eastAsia="cs-CZ"/>
        </w:rPr>
        <w:t xml:space="preserve"> </w:t>
      </w:r>
      <w:r w:rsidRPr="00AF416E">
        <w:rPr>
          <w:rFonts w:cs="Arial"/>
          <w:color w:val="auto"/>
          <w:sz w:val="20"/>
          <w:szCs w:val="20"/>
          <w:lang w:val="cs-CZ" w:eastAsia="cs-CZ"/>
        </w:rPr>
        <w:t>náklady na vyklizení, náklady na stržení, náklady na vyklizení, stržení a izolaci v důsledku působení radioaktivních izotopů, náklady na hašení, náklady na likvidaci (bez zeminy), náklady na likvidaci (včetně zeminy), náklady na přemístění a ochranu v důsledku pojistné</w:t>
      </w:r>
      <w:r>
        <w:rPr>
          <w:rFonts w:cs="Arial"/>
          <w:color w:val="auto"/>
          <w:sz w:val="20"/>
          <w:szCs w:val="20"/>
          <w:lang w:val="cs-CZ" w:eastAsia="cs-CZ"/>
        </w:rPr>
        <w:t xml:space="preserve"> </w:t>
      </w:r>
      <w:r w:rsidRPr="00AF416E">
        <w:rPr>
          <w:rFonts w:cs="Arial"/>
          <w:color w:val="auto"/>
          <w:sz w:val="20"/>
          <w:szCs w:val="20"/>
          <w:lang w:val="cs-CZ" w:eastAsia="cs-CZ"/>
        </w:rPr>
        <w:t>události.</w:t>
      </w:r>
      <w:r>
        <w:rPr>
          <w:rFonts w:cs="Arial"/>
          <w:color w:val="auto"/>
          <w:sz w:val="20"/>
          <w:szCs w:val="20"/>
          <w:lang w:val="cs-CZ" w:eastAsia="cs-CZ"/>
        </w:rPr>
        <w:t>)</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Roční limit plnění:</w:t>
      </w:r>
      <w:r w:rsidRPr="00D81FCF">
        <w:rPr>
          <w:rFonts w:cs="Arial"/>
          <w:color w:val="auto"/>
          <w:sz w:val="20"/>
          <w:szCs w:val="20"/>
          <w:lang w:val="cs-CZ" w:eastAsia="cs-CZ"/>
        </w:rPr>
        <w:tab/>
      </w:r>
      <w:r w:rsidRPr="00D81FCF">
        <w:rPr>
          <w:rFonts w:cs="Arial"/>
          <w:b/>
          <w:color w:val="auto"/>
          <w:sz w:val="20"/>
          <w:szCs w:val="20"/>
          <w:lang w:val="cs-CZ" w:eastAsia="cs-CZ"/>
        </w:rPr>
        <w:t xml:space="preserve">10 000 000,- Kč </w:t>
      </w:r>
      <w:r>
        <w:rPr>
          <w:rFonts w:cs="Arial"/>
          <w:b/>
          <w:color w:val="auto"/>
          <w:sz w:val="20"/>
          <w:szCs w:val="20"/>
          <w:lang w:val="cs-CZ" w:eastAsia="cs-CZ"/>
        </w:rPr>
        <w:tab/>
      </w:r>
      <w:r w:rsidRPr="00636BFA">
        <w:rPr>
          <w:rFonts w:cs="Arial"/>
          <w:color w:val="auto"/>
          <w:sz w:val="20"/>
          <w:szCs w:val="20"/>
          <w:lang w:val="cs-CZ" w:eastAsia="cs-CZ"/>
        </w:rPr>
        <w:t xml:space="preserve">Spoluúčast: </w:t>
      </w:r>
      <w:r w:rsidRPr="00636BFA">
        <w:rPr>
          <w:rFonts w:cs="Arial"/>
          <w:color w:val="auto"/>
          <w:sz w:val="20"/>
          <w:szCs w:val="20"/>
          <w:lang w:val="cs-CZ" w:eastAsia="cs-CZ"/>
        </w:rPr>
        <w:tab/>
      </w:r>
      <w:r>
        <w:rPr>
          <w:rFonts w:cs="Arial"/>
          <w:color w:val="auto"/>
          <w:sz w:val="20"/>
          <w:szCs w:val="20"/>
          <w:lang w:val="cs-CZ" w:eastAsia="cs-CZ"/>
        </w:rPr>
        <w:t>1 00</w:t>
      </w:r>
      <w:r w:rsidRPr="00636BFA">
        <w:rPr>
          <w:rFonts w:cs="Arial"/>
          <w:color w:val="auto"/>
          <w:sz w:val="20"/>
          <w:szCs w:val="20"/>
          <w:lang w:val="cs-CZ" w:eastAsia="cs-CZ"/>
        </w:rPr>
        <w:t>0,- Kč</w:t>
      </w:r>
      <w:r>
        <w:rPr>
          <w:rFonts w:cs="Arial"/>
          <w:color w:val="auto"/>
          <w:sz w:val="20"/>
          <w:szCs w:val="20"/>
          <w:lang w:val="cs-CZ" w:eastAsia="cs-CZ"/>
        </w:rPr>
        <w:t xml:space="preserve">, </w:t>
      </w:r>
    </w:p>
    <w:p w:rsidR="00190E73" w:rsidRDefault="00190E73" w:rsidP="00323662">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p>
    <w:p w:rsidR="00323662" w:rsidRPr="00B85FDB"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B85FDB">
        <w:rPr>
          <w:rFonts w:cs="Arial"/>
          <w:b/>
          <w:color w:val="auto"/>
          <w:sz w:val="20"/>
          <w:szCs w:val="20"/>
          <w:lang w:val="cs-CZ" w:eastAsia="cs-CZ"/>
        </w:rPr>
        <w:t xml:space="preserve">Náklady na obnovu dat a dokumentace </w:t>
      </w:r>
      <w:r>
        <w:rPr>
          <w:rFonts w:cs="Arial"/>
          <w:b/>
          <w:color w:val="auto"/>
          <w:sz w:val="20"/>
          <w:szCs w:val="20"/>
          <w:lang w:val="cs-CZ" w:eastAsia="cs-CZ"/>
        </w:rPr>
        <w:t xml:space="preserve">(dle smluvního ujednání) </w:t>
      </w:r>
      <w:r w:rsidRPr="00B85FDB">
        <w:rPr>
          <w:rFonts w:cs="Arial"/>
          <w:b/>
          <w:color w:val="auto"/>
          <w:sz w:val="20"/>
          <w:szCs w:val="20"/>
          <w:lang w:val="cs-CZ" w:eastAsia="cs-CZ"/>
        </w:rPr>
        <w:t>– s limitem na první riziko</w:t>
      </w: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AF416E">
        <w:rPr>
          <w:rFonts w:ascii="Arial_CE" w:hAnsi="Arial_CE"/>
          <w:iCs/>
          <w:color w:val="auto"/>
          <w:sz w:val="20"/>
          <w:szCs w:val="20"/>
          <w:lang w:val="cs-CZ" w:eastAsia="cs-CZ"/>
        </w:rPr>
        <w:lastRenderedPageBreak/>
        <w:t xml:space="preserve">Pojistná částka:             </w:t>
      </w:r>
      <w:r>
        <w:rPr>
          <w:rFonts w:ascii="Arial_CE" w:hAnsi="Arial_CE"/>
          <w:iCs/>
          <w:color w:val="auto"/>
          <w:sz w:val="20"/>
          <w:szCs w:val="20"/>
          <w:lang w:val="cs-CZ" w:eastAsia="cs-CZ"/>
        </w:rPr>
        <w:t>5</w:t>
      </w:r>
      <w:r w:rsidRPr="00AF416E">
        <w:rPr>
          <w:rFonts w:ascii="Arial_CE" w:hAnsi="Arial_CE"/>
          <w:iCs/>
          <w:color w:val="auto"/>
          <w:sz w:val="20"/>
          <w:szCs w:val="20"/>
          <w:lang w:val="cs-CZ" w:eastAsia="cs-CZ"/>
        </w:rPr>
        <w:t>00 000,- Kč</w:t>
      </w:r>
      <w:r>
        <w:rPr>
          <w:rFonts w:ascii="Arial_CE" w:hAnsi="Arial_CE"/>
          <w:iCs/>
          <w:color w:val="auto"/>
          <w:sz w:val="20"/>
          <w:szCs w:val="20"/>
          <w:lang w:val="cs-CZ" w:eastAsia="cs-CZ"/>
        </w:rPr>
        <w:t xml:space="preserve">        Spoluúčast:     1 000,- Kč</w:t>
      </w:r>
    </w:p>
    <w:p w:rsidR="00323662" w:rsidRPr="00636BFA"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r w:rsidRPr="00B85FDB">
        <w:rPr>
          <w:rFonts w:cs="Arial"/>
          <w:b/>
          <w:color w:val="auto"/>
          <w:sz w:val="20"/>
          <w:szCs w:val="20"/>
          <w:lang w:val="cs-CZ" w:eastAsia="cs-CZ"/>
        </w:rPr>
        <w:t>Náklady na mimořádnou ztrátu vody</w:t>
      </w:r>
      <w:r>
        <w:rPr>
          <w:rFonts w:cs="Arial"/>
          <w:b/>
          <w:color w:val="auto"/>
          <w:sz w:val="20"/>
          <w:szCs w:val="20"/>
          <w:lang w:val="cs-CZ" w:eastAsia="cs-CZ"/>
        </w:rPr>
        <w:t xml:space="preserve"> dle ZPP PR-P 2014/01, čl. 6, písm. i) odst. 2 – s limitem na první riziko</w:t>
      </w: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sidRPr="00AF416E">
        <w:rPr>
          <w:rFonts w:ascii="Arial_CE" w:hAnsi="Arial_CE"/>
          <w:iCs/>
          <w:color w:val="auto"/>
          <w:sz w:val="20"/>
          <w:szCs w:val="20"/>
          <w:lang w:val="cs-CZ" w:eastAsia="cs-CZ"/>
        </w:rPr>
        <w:t>Pojistná částka:             100 000,- Kč</w:t>
      </w: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 w:val="20"/>
          <w:szCs w:val="20"/>
          <w:lang w:val="cs-CZ" w:eastAsia="cs-CZ"/>
        </w:rPr>
      </w:pPr>
      <w:r>
        <w:rPr>
          <w:rFonts w:ascii="Arial_CE" w:hAnsi="Arial_CE"/>
          <w:iCs/>
          <w:color w:val="auto"/>
          <w:sz w:val="20"/>
          <w:szCs w:val="20"/>
          <w:lang w:val="cs-CZ" w:eastAsia="cs-CZ"/>
        </w:rPr>
        <w:t>Spoluúčast:                        1 000,- Kč</w:t>
      </w:r>
    </w:p>
    <w:p w:rsidR="00323662" w:rsidRPr="00B85FDB"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b/>
          <w:color w:val="auto"/>
          <w:sz w:val="20"/>
          <w:szCs w:val="20"/>
          <w:lang w:val="cs-CZ" w:eastAsia="cs-CZ"/>
        </w:rPr>
      </w:pPr>
    </w:p>
    <w:p w:rsidR="00323662" w:rsidRPr="001C312F" w:rsidRDefault="00323662" w:rsidP="00323662">
      <w:pPr>
        <w:widowControl/>
        <w:tabs>
          <w:tab w:val="right" w:pos="2268"/>
          <w:tab w:val="left" w:pos="2410"/>
          <w:tab w:val="left" w:pos="2694"/>
          <w:tab w:val="left" w:pos="3969"/>
          <w:tab w:val="right" w:pos="5670"/>
          <w:tab w:val="left" w:pos="6663"/>
          <w:tab w:val="right" w:pos="9639"/>
        </w:tabs>
        <w:spacing w:before="0" w:after="0" w:line="240" w:lineRule="auto"/>
        <w:contextualSpacing w:val="0"/>
        <w:rPr>
          <w:rFonts w:cs="Arial"/>
          <w:b/>
          <w:color w:val="auto"/>
          <w:sz w:val="20"/>
          <w:szCs w:val="20"/>
          <w:lang w:val="cs-CZ" w:eastAsia="cs-CZ"/>
        </w:rPr>
      </w:pPr>
      <w:r w:rsidRPr="00D81FCF">
        <w:rPr>
          <w:rFonts w:cs="Arial"/>
          <w:b/>
          <w:color w:val="auto"/>
          <w:sz w:val="20"/>
          <w:szCs w:val="20"/>
          <w:lang w:val="cs-CZ" w:eastAsia="cs-CZ"/>
        </w:rPr>
        <w:tab/>
      </w:r>
      <w:r w:rsidRPr="00D81FCF">
        <w:rPr>
          <w:rFonts w:cs="Arial"/>
          <w:b/>
          <w:color w:val="auto"/>
          <w:sz w:val="20"/>
          <w:szCs w:val="20"/>
          <w:lang w:val="cs-CZ" w:eastAsia="cs-CZ"/>
        </w:rPr>
        <w:tab/>
      </w:r>
      <w:r w:rsidRPr="00C3375C">
        <w:rPr>
          <w:rFonts w:cs="Arial"/>
          <w:b/>
          <w:color w:val="auto"/>
          <w:sz w:val="20"/>
          <w:szCs w:val="20"/>
          <w:lang w:val="cs-CZ" w:eastAsia="cs-CZ"/>
        </w:rPr>
        <w:t>Celkové pojistné za pojištění majetku a pojištění nákladů:</w:t>
      </w:r>
      <w:r w:rsidRPr="00C3375C">
        <w:rPr>
          <w:rFonts w:cs="Arial"/>
          <w:b/>
          <w:color w:val="auto"/>
          <w:sz w:val="20"/>
          <w:szCs w:val="20"/>
          <w:lang w:val="cs-CZ" w:eastAsia="cs-CZ"/>
        </w:rPr>
        <w:tab/>
      </w:r>
      <w:r w:rsidR="003408D5">
        <w:rPr>
          <w:rFonts w:cs="Arial"/>
          <w:b/>
          <w:color w:val="auto"/>
          <w:sz w:val="20"/>
          <w:szCs w:val="20"/>
          <w:lang w:val="cs-CZ" w:eastAsia="cs-CZ"/>
        </w:rPr>
        <w:t>338 432</w:t>
      </w:r>
      <w:r w:rsidRPr="00C3375C">
        <w:rPr>
          <w:rFonts w:cs="Arial"/>
          <w:b/>
          <w:color w:val="auto"/>
          <w:sz w:val="20"/>
          <w:szCs w:val="20"/>
          <w:lang w:val="cs-CZ" w:eastAsia="cs-CZ"/>
        </w:rPr>
        <w:t>,- Kč</w:t>
      </w:r>
    </w:p>
    <w:p w:rsidR="00323662" w:rsidRDefault="00323662"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p>
    <w:p w:rsidR="00323662" w:rsidRDefault="00323662"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p>
    <w:p w:rsidR="00323662" w:rsidRPr="001C312F" w:rsidRDefault="00323662"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b/>
          <w:bCs/>
          <w:color w:val="auto"/>
          <w:sz w:val="20"/>
          <w:szCs w:val="20"/>
          <w:lang w:val="cs-CZ" w:eastAsia="cs-CZ"/>
        </w:rPr>
      </w:pPr>
      <w:r w:rsidRPr="001C312F">
        <w:rPr>
          <w:b/>
          <w:bCs/>
          <w:color w:val="auto"/>
          <w:sz w:val="20"/>
          <w:szCs w:val="20"/>
          <w:lang w:val="cs-CZ" w:eastAsia="cs-CZ"/>
        </w:rPr>
        <w:t>Roční limity plnění</w:t>
      </w:r>
    </w:p>
    <w:p w:rsidR="00323662" w:rsidRPr="001C312F" w:rsidRDefault="00323662" w:rsidP="00323662">
      <w:pPr>
        <w:widowControl/>
        <w:tabs>
          <w:tab w:val="right" w:pos="2268"/>
          <w:tab w:val="left" w:pos="2410"/>
          <w:tab w:val="left" w:pos="3969"/>
          <w:tab w:val="right" w:pos="5670"/>
          <w:tab w:val="left" w:pos="6663"/>
          <w:tab w:val="right" w:pos="9072"/>
        </w:tabs>
        <w:spacing w:before="120" w:after="0" w:line="240" w:lineRule="auto"/>
        <w:contextualSpacing w:val="0"/>
        <w:rPr>
          <w:color w:val="auto"/>
          <w:sz w:val="20"/>
          <w:szCs w:val="20"/>
          <w:lang w:val="cs-CZ" w:eastAsia="cs-CZ"/>
        </w:rPr>
      </w:pPr>
      <w:r w:rsidRPr="001C312F">
        <w:rPr>
          <w:color w:val="auto"/>
          <w:sz w:val="20"/>
          <w:szCs w:val="20"/>
          <w:lang w:val="cs-CZ" w:eastAsia="cs-CZ"/>
        </w:rPr>
        <w:t>Níže uvedené sjednané roční limity plnění pro uvedená pojistná nebezpečí jsou společné (kombinované) pro pojištění majetku, pojištění přerušení provozu (je-li sjednáno</w:t>
      </w:r>
      <w:r>
        <w:rPr>
          <w:color w:val="auto"/>
          <w:sz w:val="20"/>
          <w:szCs w:val="20"/>
          <w:lang w:val="cs-CZ" w:eastAsia="cs-CZ"/>
        </w:rPr>
        <w:t>)</w:t>
      </w:r>
      <w:r w:rsidRPr="001C312F">
        <w:rPr>
          <w:color w:val="auto"/>
          <w:sz w:val="20"/>
          <w:szCs w:val="20"/>
          <w:lang w:val="cs-CZ" w:eastAsia="cs-CZ"/>
        </w:rPr>
        <w:t>.</w:t>
      </w:r>
    </w:p>
    <w:p w:rsidR="00323662" w:rsidRPr="00402544" w:rsidRDefault="00323662" w:rsidP="00323662">
      <w:pPr>
        <w:widowControl/>
        <w:tabs>
          <w:tab w:val="right" w:pos="2268"/>
          <w:tab w:val="left" w:pos="2410"/>
          <w:tab w:val="left" w:pos="3969"/>
          <w:tab w:val="right" w:pos="5670"/>
          <w:tab w:val="left" w:pos="6663"/>
          <w:tab w:val="right" w:pos="9072"/>
        </w:tabs>
        <w:spacing w:before="120" w:after="0" w:line="240" w:lineRule="auto"/>
        <w:contextualSpacing w:val="0"/>
        <w:rPr>
          <w:color w:val="auto"/>
          <w:sz w:val="2"/>
          <w:szCs w:val="2"/>
          <w:lang w:val="cs-CZ" w:eastAsia="cs-CZ"/>
        </w:rPr>
      </w:pPr>
    </w:p>
    <w:p w:rsidR="00323662" w:rsidRPr="001C312F" w:rsidRDefault="00323662" w:rsidP="00323662">
      <w:pPr>
        <w:widowControl/>
        <w:tabs>
          <w:tab w:val="right" w:pos="2268"/>
          <w:tab w:val="left" w:pos="2410"/>
          <w:tab w:val="left" w:pos="3969"/>
          <w:tab w:val="center" w:pos="4536"/>
          <w:tab w:val="right" w:pos="5670"/>
          <w:tab w:val="left" w:pos="6663"/>
          <w:tab w:val="right" w:pos="9072"/>
        </w:tabs>
        <w:spacing w:before="0" w:after="0" w:line="240" w:lineRule="auto"/>
        <w:contextualSpacing w:val="0"/>
        <w:rPr>
          <w:color w:val="auto"/>
          <w:sz w:val="20"/>
          <w:szCs w:val="20"/>
          <w:lang w:val="cs-CZ" w:eastAsia="cs-CZ"/>
        </w:rPr>
      </w:pPr>
      <w:r w:rsidRPr="001C312F">
        <w:rPr>
          <w:color w:val="auto"/>
          <w:sz w:val="20"/>
          <w:szCs w:val="20"/>
          <w:lang w:val="cs-CZ" w:eastAsia="cs-CZ"/>
        </w:rPr>
        <w:t xml:space="preserve">- společný roční limit plnění pro pojistná nebezpečí FLEXA </w:t>
      </w:r>
    </w:p>
    <w:p w:rsidR="00323662" w:rsidRPr="001C312F" w:rsidRDefault="00323662" w:rsidP="00323662">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color w:val="auto"/>
          <w:sz w:val="20"/>
          <w:szCs w:val="20"/>
          <w:lang w:val="cs-CZ" w:eastAsia="cs-CZ"/>
        </w:rPr>
        <w:t xml:space="preserve">   (požár, přímý úder blesku, výbuch, pád letadla), náraz vozidla, kouř, aerodynamický třesk</w:t>
      </w:r>
      <w:r w:rsidRPr="001C312F">
        <w:rPr>
          <w:color w:val="auto"/>
          <w:sz w:val="20"/>
          <w:szCs w:val="20"/>
          <w:lang w:val="cs-CZ" w:eastAsia="cs-CZ"/>
        </w:rPr>
        <w:tab/>
      </w:r>
      <w:r w:rsidRPr="001C312F">
        <w:rPr>
          <w:rFonts w:cs="Arial"/>
          <w:color w:val="auto"/>
          <w:sz w:val="20"/>
          <w:szCs w:val="20"/>
          <w:lang w:val="cs-CZ" w:eastAsia="cs-CZ"/>
        </w:rPr>
        <w:t>bez limitu</w:t>
      </w:r>
    </w:p>
    <w:p w:rsidR="00323662" w:rsidRPr="001C312F" w:rsidRDefault="00323662" w:rsidP="00323662">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pojistné nebezpečí</w:t>
      </w:r>
      <w:r w:rsidRPr="001C312F">
        <w:rPr>
          <w:rFonts w:cs="Arial"/>
          <w:color w:val="auto"/>
          <w:sz w:val="20"/>
          <w:szCs w:val="20"/>
          <w:lang w:val="cs-CZ" w:eastAsia="cs-CZ"/>
        </w:rPr>
        <w:tab/>
        <w:t xml:space="preserve"> vichřice/krupobití </w:t>
      </w:r>
      <w:r w:rsidRPr="001C312F">
        <w:rPr>
          <w:rFonts w:cs="Arial"/>
          <w:color w:val="auto"/>
          <w:sz w:val="20"/>
          <w:szCs w:val="20"/>
          <w:lang w:val="cs-CZ" w:eastAsia="cs-CZ"/>
        </w:rPr>
        <w:tab/>
      </w:r>
      <w:r w:rsidRPr="001C312F">
        <w:rPr>
          <w:rFonts w:cs="Arial"/>
          <w:color w:val="auto"/>
          <w:sz w:val="20"/>
          <w:szCs w:val="20"/>
          <w:lang w:val="cs-CZ" w:eastAsia="cs-CZ"/>
        </w:rPr>
        <w:tab/>
        <w:t xml:space="preserve">      </w:t>
      </w:r>
      <w:r>
        <w:rPr>
          <w:rFonts w:cs="Arial"/>
          <w:color w:val="auto"/>
          <w:sz w:val="20"/>
          <w:szCs w:val="20"/>
          <w:lang w:val="cs-CZ" w:eastAsia="cs-CZ"/>
        </w:rPr>
        <w:t>5</w:t>
      </w:r>
      <w:r w:rsidRPr="001C312F">
        <w:rPr>
          <w:rFonts w:cs="Arial"/>
          <w:color w:val="auto"/>
          <w:sz w:val="20"/>
          <w:szCs w:val="20"/>
          <w:lang w:val="cs-CZ" w:eastAsia="cs-CZ"/>
        </w:rPr>
        <w:t xml:space="preserve">0 mil. Kč </w:t>
      </w:r>
    </w:p>
    <w:p w:rsidR="00323662" w:rsidRPr="001C312F" w:rsidRDefault="00323662" w:rsidP="00323662">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pojistná nebezpečí</w:t>
      </w:r>
      <w:r w:rsidRPr="001C312F">
        <w:rPr>
          <w:rFonts w:cs="Arial"/>
          <w:color w:val="auto"/>
          <w:sz w:val="20"/>
          <w:szCs w:val="20"/>
          <w:lang w:val="cs-CZ" w:eastAsia="cs-CZ"/>
        </w:rPr>
        <w:tab/>
        <w:t xml:space="preserve"> tíha sněhu a námrazy, lavina, pád stromu, sesuv půdy, zřícení skal, výbuch sopky, zemětřesení</w:t>
      </w:r>
      <w:r w:rsidRPr="001C312F">
        <w:rPr>
          <w:rFonts w:cs="Arial"/>
          <w:color w:val="auto"/>
          <w:sz w:val="20"/>
          <w:szCs w:val="20"/>
          <w:lang w:val="cs-CZ" w:eastAsia="cs-CZ"/>
        </w:rPr>
        <w:tab/>
      </w:r>
      <w:r w:rsidRPr="001C312F">
        <w:rPr>
          <w:rFonts w:cs="Arial"/>
          <w:color w:val="auto"/>
          <w:sz w:val="20"/>
          <w:szCs w:val="20"/>
          <w:lang w:val="cs-CZ" w:eastAsia="cs-CZ"/>
        </w:rPr>
        <w:tab/>
      </w:r>
      <w:r w:rsidRPr="001C312F">
        <w:rPr>
          <w:rFonts w:cs="Arial"/>
          <w:color w:val="auto"/>
          <w:sz w:val="20"/>
          <w:szCs w:val="20"/>
          <w:lang w:val="cs-CZ" w:eastAsia="cs-CZ"/>
        </w:rPr>
        <w:tab/>
      </w:r>
      <w:r w:rsidRPr="001C312F">
        <w:rPr>
          <w:rFonts w:cs="Arial"/>
          <w:color w:val="auto"/>
          <w:sz w:val="20"/>
          <w:szCs w:val="20"/>
          <w:lang w:val="cs-CZ" w:eastAsia="cs-CZ"/>
        </w:rPr>
        <w:tab/>
      </w:r>
      <w:r w:rsidRPr="001C312F">
        <w:rPr>
          <w:rFonts w:cs="Arial"/>
          <w:color w:val="auto"/>
          <w:sz w:val="20"/>
          <w:szCs w:val="20"/>
          <w:lang w:val="cs-CZ" w:eastAsia="cs-CZ"/>
        </w:rPr>
        <w:tab/>
      </w:r>
      <w:r>
        <w:rPr>
          <w:rFonts w:cs="Arial"/>
          <w:color w:val="auto"/>
          <w:sz w:val="20"/>
          <w:szCs w:val="20"/>
          <w:lang w:val="cs-CZ" w:eastAsia="cs-CZ"/>
        </w:rPr>
        <w:t>5</w:t>
      </w:r>
      <w:r w:rsidRPr="001C312F">
        <w:rPr>
          <w:rFonts w:cs="Arial"/>
          <w:color w:val="auto"/>
          <w:sz w:val="20"/>
          <w:szCs w:val="20"/>
          <w:lang w:val="cs-CZ" w:eastAsia="cs-CZ"/>
        </w:rPr>
        <w:t>0 mil. Kč</w:t>
      </w:r>
    </w:p>
    <w:p w:rsidR="00323662" w:rsidRPr="001C312F" w:rsidRDefault="00323662" w:rsidP="00323662">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pojistná nebezpečí</w:t>
      </w:r>
      <w:r w:rsidRPr="001C312F">
        <w:rPr>
          <w:rFonts w:cs="Arial"/>
          <w:color w:val="auto"/>
          <w:sz w:val="20"/>
          <w:szCs w:val="20"/>
          <w:lang w:val="cs-CZ" w:eastAsia="cs-CZ"/>
        </w:rPr>
        <w:tab/>
        <w:t xml:space="preserve"> </w:t>
      </w:r>
      <w:r w:rsidRPr="00450CDE">
        <w:rPr>
          <w:rFonts w:cs="Arial"/>
          <w:color w:val="auto"/>
          <w:sz w:val="20"/>
          <w:szCs w:val="20"/>
          <w:lang w:val="cs-CZ" w:eastAsia="cs-CZ"/>
        </w:rPr>
        <w:t>záplava / povodeň</w:t>
      </w:r>
      <w:r w:rsidRPr="001C312F">
        <w:rPr>
          <w:rFonts w:cs="Arial"/>
          <w:color w:val="auto"/>
          <w:sz w:val="20"/>
          <w:szCs w:val="20"/>
          <w:lang w:val="cs-CZ" w:eastAsia="cs-CZ"/>
        </w:rPr>
        <w:t xml:space="preserve"> </w:t>
      </w:r>
      <w:r w:rsidRPr="001C312F">
        <w:rPr>
          <w:rFonts w:cs="Arial"/>
          <w:color w:val="auto"/>
          <w:sz w:val="20"/>
          <w:szCs w:val="20"/>
          <w:lang w:val="cs-CZ" w:eastAsia="cs-CZ"/>
        </w:rPr>
        <w:tab/>
      </w:r>
      <w:r w:rsidRPr="001C312F">
        <w:rPr>
          <w:rFonts w:cs="Arial"/>
          <w:color w:val="auto"/>
          <w:sz w:val="20"/>
          <w:szCs w:val="20"/>
          <w:lang w:val="cs-CZ" w:eastAsia="cs-CZ"/>
        </w:rPr>
        <w:tab/>
        <w:t xml:space="preserve">                   </w:t>
      </w:r>
      <w:r>
        <w:rPr>
          <w:rFonts w:cs="Arial"/>
          <w:color w:val="auto"/>
          <w:sz w:val="20"/>
          <w:szCs w:val="20"/>
          <w:lang w:val="cs-CZ" w:eastAsia="cs-CZ"/>
        </w:rPr>
        <w:t>5</w:t>
      </w:r>
      <w:r w:rsidRPr="001C312F">
        <w:rPr>
          <w:rFonts w:cs="Arial"/>
          <w:color w:val="auto"/>
          <w:sz w:val="20"/>
          <w:szCs w:val="20"/>
          <w:lang w:val="cs-CZ" w:eastAsia="cs-CZ"/>
        </w:rPr>
        <w:t>0 mil. Kč</w:t>
      </w:r>
    </w:p>
    <w:p w:rsidR="00323662" w:rsidRPr="001C312F" w:rsidRDefault="00323662" w:rsidP="00323662">
      <w:pPr>
        <w:widowControl/>
        <w:tabs>
          <w:tab w:val="right" w:pos="2268"/>
          <w:tab w:val="left" w:pos="2410"/>
          <w:tab w:val="left" w:pos="3969"/>
          <w:tab w:val="center" w:pos="4536"/>
          <w:tab w:val="right" w:pos="5670"/>
          <w:tab w:val="left" w:pos="6663"/>
          <w:tab w:val="right" w:pos="9639"/>
        </w:tabs>
        <w:spacing w:before="0" w:after="0" w:line="240" w:lineRule="auto"/>
        <w:contextualSpacing w:val="0"/>
        <w:rPr>
          <w:rFonts w:cs="Arial"/>
          <w:color w:val="auto"/>
          <w:sz w:val="20"/>
          <w:szCs w:val="20"/>
          <w:lang w:val="cs-CZ" w:eastAsia="cs-CZ"/>
        </w:rPr>
      </w:pPr>
      <w:r w:rsidRPr="001C312F">
        <w:rPr>
          <w:rFonts w:cs="Arial"/>
          <w:iCs/>
          <w:color w:val="auto"/>
          <w:sz w:val="20"/>
          <w:szCs w:val="20"/>
          <w:lang w:val="cs-CZ" w:eastAsia="cs-CZ"/>
        </w:rPr>
        <w:t xml:space="preserve">- společný </w:t>
      </w:r>
      <w:r w:rsidRPr="001C312F">
        <w:rPr>
          <w:rFonts w:cs="Arial"/>
          <w:color w:val="auto"/>
          <w:sz w:val="20"/>
          <w:szCs w:val="20"/>
          <w:lang w:val="cs-CZ" w:eastAsia="cs-CZ"/>
        </w:rPr>
        <w:t>roční limit plnění p</w:t>
      </w:r>
      <w:r w:rsidRPr="001C312F">
        <w:rPr>
          <w:rFonts w:cs="Arial"/>
          <w:iCs/>
          <w:color w:val="auto"/>
          <w:sz w:val="20"/>
          <w:szCs w:val="20"/>
          <w:lang w:val="cs-CZ" w:eastAsia="cs-CZ"/>
        </w:rPr>
        <w:t>ro pojistné nebezpečí</w:t>
      </w:r>
      <w:r w:rsidRPr="001C312F">
        <w:rPr>
          <w:rFonts w:cs="Arial"/>
          <w:color w:val="auto"/>
          <w:sz w:val="20"/>
          <w:szCs w:val="20"/>
          <w:lang w:val="cs-CZ" w:eastAsia="cs-CZ"/>
        </w:rPr>
        <w:tab/>
        <w:t xml:space="preserve"> voda z vodovodních zařízení činí </w:t>
      </w:r>
      <w:r w:rsidRPr="001C312F">
        <w:rPr>
          <w:rFonts w:cs="Arial"/>
          <w:color w:val="auto"/>
          <w:sz w:val="20"/>
          <w:szCs w:val="20"/>
          <w:lang w:val="cs-CZ" w:eastAsia="cs-CZ"/>
        </w:rPr>
        <w:tab/>
        <w:t xml:space="preserve">50 mil. Kč </w:t>
      </w:r>
    </w:p>
    <w:p w:rsidR="00323662"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275D5D" w:rsidRPr="001C312F" w:rsidRDefault="00275D5D"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323662" w:rsidRPr="00FF22DC"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FF22DC">
        <w:rPr>
          <w:rFonts w:cs="Arial"/>
          <w:b/>
          <w:bCs/>
          <w:color w:val="auto"/>
          <w:sz w:val="20"/>
          <w:lang w:val="cs-CZ" w:eastAsia="cs-CZ"/>
        </w:rPr>
        <w:t xml:space="preserve">Pojistné nebezpečí vandalismus </w:t>
      </w:r>
    </w:p>
    <w:p w:rsidR="00323662" w:rsidRPr="00C9376C" w:rsidRDefault="00323662" w:rsidP="00C9376C">
      <w:pPr>
        <w:widowControl/>
        <w:spacing w:before="0" w:after="0" w:line="240" w:lineRule="auto"/>
        <w:contextualSpacing w:val="0"/>
        <w:rPr>
          <w:rFonts w:ascii="Times New Roman" w:hAnsi="Times New Roman"/>
          <w:color w:val="auto"/>
          <w:sz w:val="10"/>
          <w:szCs w:val="10"/>
          <w:lang w:val="cs-CZ" w:eastAsia="cs-CZ"/>
        </w:rPr>
      </w:pPr>
    </w:p>
    <w:p w:rsidR="00323662" w:rsidRPr="001C312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Pojištění se sjednává pro všechny předměty pojištění pojištěné proti pojistnému nebezpečí FLEXA.</w:t>
      </w:r>
      <w:r w:rsidRPr="001C312F">
        <w:rPr>
          <w:rFonts w:cs="Arial"/>
          <w:b/>
          <w:i/>
          <w:iCs/>
          <w:color w:val="auto"/>
          <w:sz w:val="20"/>
          <w:szCs w:val="20"/>
          <w:lang w:val="cs-CZ" w:eastAsia="cs-CZ"/>
        </w:rPr>
        <w:t xml:space="preserve"> </w:t>
      </w:r>
      <w:r w:rsidRPr="001C312F">
        <w:rPr>
          <w:rFonts w:cs="Arial"/>
          <w:b/>
          <w:color w:val="auto"/>
          <w:sz w:val="20"/>
          <w:szCs w:val="20"/>
          <w:lang w:val="cs-CZ" w:eastAsia="cs-CZ"/>
        </w:rPr>
        <w:t>Pojištění se sjednává s limitem na první riziko.</w:t>
      </w:r>
    </w:p>
    <w:p w:rsidR="00323662" w:rsidRPr="001C312F" w:rsidRDefault="00323662" w:rsidP="00323662">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t>Pojistná částka:</w:t>
      </w:r>
      <w:r w:rsidRPr="001C312F">
        <w:rPr>
          <w:rFonts w:ascii="Arial_CE" w:hAnsi="Arial_CE"/>
          <w:iCs/>
          <w:color w:val="auto"/>
          <w:sz w:val="20"/>
          <w:szCs w:val="20"/>
          <w:lang w:val="cs-CZ" w:eastAsia="cs-CZ"/>
        </w:rPr>
        <w:tab/>
      </w:r>
      <w:r>
        <w:rPr>
          <w:rFonts w:ascii="Arial_CE" w:hAnsi="Arial_CE"/>
          <w:iCs/>
          <w:color w:val="auto"/>
          <w:sz w:val="20"/>
          <w:szCs w:val="20"/>
          <w:lang w:val="cs-CZ" w:eastAsia="cs-CZ"/>
        </w:rPr>
        <w:t>2</w:t>
      </w:r>
      <w:r w:rsidRPr="001C312F">
        <w:rPr>
          <w:rFonts w:ascii="Arial_CE" w:hAnsi="Arial_CE"/>
          <w:iCs/>
          <w:color w:val="auto"/>
          <w:sz w:val="20"/>
          <w:szCs w:val="20"/>
          <w:lang w:val="cs-CZ" w:eastAsia="cs-CZ"/>
        </w:rPr>
        <w:t>00 000,- Kč</w:t>
      </w:r>
      <w:r>
        <w:rPr>
          <w:rFonts w:ascii="Arial_CE" w:hAnsi="Arial_CE"/>
          <w:iCs/>
          <w:color w:val="auto"/>
          <w:sz w:val="20"/>
          <w:szCs w:val="20"/>
          <w:lang w:val="cs-CZ" w:eastAsia="cs-CZ"/>
        </w:rPr>
        <w:t xml:space="preserve"> *</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Pr>
          <w:rFonts w:ascii="Arial_CE" w:hAnsi="Arial_CE"/>
          <w:iCs/>
          <w:color w:val="auto"/>
          <w:sz w:val="20"/>
          <w:szCs w:val="20"/>
          <w:lang w:val="cs-CZ" w:eastAsia="cs-CZ"/>
        </w:rPr>
        <w:t>4 410</w:t>
      </w:r>
      <w:r w:rsidRPr="001C312F">
        <w:rPr>
          <w:rFonts w:ascii="Arial_CE" w:hAnsi="Arial_CE"/>
          <w:iCs/>
          <w:color w:val="auto"/>
          <w:sz w:val="20"/>
          <w:szCs w:val="20"/>
          <w:lang w:val="cs-CZ" w:eastAsia="cs-CZ"/>
        </w:rPr>
        <w:t>,- Kč</w:t>
      </w:r>
    </w:p>
    <w:p w:rsidR="00323662" w:rsidRDefault="00323662" w:rsidP="00323662">
      <w:pPr>
        <w:widowControl/>
        <w:spacing w:before="0" w:after="0" w:line="240" w:lineRule="auto"/>
        <w:contextualSpacing w:val="0"/>
        <w:rPr>
          <w:rFonts w:cs="Arial"/>
          <w:color w:val="auto"/>
          <w:sz w:val="20"/>
          <w:szCs w:val="20"/>
          <w:lang w:val="cs-CZ" w:eastAsia="cs-CZ"/>
        </w:rPr>
      </w:pPr>
      <w:r>
        <w:rPr>
          <w:rFonts w:cs="Arial"/>
          <w:color w:val="auto"/>
          <w:sz w:val="20"/>
          <w:szCs w:val="20"/>
          <w:lang w:val="cs-CZ" w:eastAsia="cs-CZ"/>
        </w:rPr>
        <w:t xml:space="preserve">* </w:t>
      </w:r>
      <w:proofErr w:type="spellStart"/>
      <w:r w:rsidRPr="00636BFA">
        <w:rPr>
          <w:rFonts w:cs="Arial"/>
          <w:color w:val="auto"/>
          <w:sz w:val="20"/>
          <w:szCs w:val="20"/>
          <w:lang w:val="cs-CZ" w:eastAsia="cs-CZ"/>
        </w:rPr>
        <w:t>Sublimit</w:t>
      </w:r>
      <w:proofErr w:type="spellEnd"/>
      <w:r w:rsidRPr="00636BFA">
        <w:rPr>
          <w:rFonts w:cs="Arial"/>
          <w:color w:val="auto"/>
          <w:sz w:val="20"/>
          <w:szCs w:val="20"/>
          <w:lang w:val="cs-CZ" w:eastAsia="cs-CZ"/>
        </w:rPr>
        <w:t xml:space="preserve"> pro škody způsobené sprejery: 100 000,- Kč</w:t>
      </w:r>
    </w:p>
    <w:p w:rsidR="00323662" w:rsidRPr="00C9376C" w:rsidRDefault="00323662" w:rsidP="00323662">
      <w:pPr>
        <w:widowControl/>
        <w:spacing w:before="0" w:after="0" w:line="240" w:lineRule="auto"/>
        <w:contextualSpacing w:val="0"/>
        <w:rPr>
          <w:rFonts w:cs="Arial"/>
          <w:color w:val="auto"/>
          <w:sz w:val="10"/>
          <w:szCs w:val="10"/>
          <w:lang w:val="cs-CZ" w:eastAsia="cs-CZ"/>
        </w:rPr>
      </w:pP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t>Celkové pojistné za pojistné nebezpečí vandalismus:</w:t>
      </w:r>
      <w:r w:rsidRPr="001C312F">
        <w:rPr>
          <w:rFonts w:cs="Arial"/>
          <w:b/>
          <w:color w:val="auto"/>
          <w:sz w:val="20"/>
          <w:szCs w:val="20"/>
          <w:lang w:val="cs-CZ" w:eastAsia="cs-CZ"/>
        </w:rPr>
        <w:tab/>
      </w:r>
      <w:r>
        <w:rPr>
          <w:rFonts w:cs="Arial"/>
          <w:b/>
          <w:color w:val="auto"/>
          <w:sz w:val="20"/>
          <w:szCs w:val="20"/>
          <w:lang w:val="cs-CZ" w:eastAsia="cs-CZ"/>
        </w:rPr>
        <w:t>4 410</w:t>
      </w:r>
      <w:r w:rsidRPr="001C312F">
        <w:rPr>
          <w:rFonts w:cs="Arial"/>
          <w:b/>
          <w:color w:val="auto"/>
          <w:sz w:val="20"/>
          <w:szCs w:val="20"/>
          <w:lang w:val="cs-CZ" w:eastAsia="cs-CZ"/>
        </w:rPr>
        <w:t>,- Kč</w:t>
      </w:r>
    </w:p>
    <w:p w:rsidR="00323662" w:rsidRDefault="00323662" w:rsidP="00323662">
      <w:pPr>
        <w:widowControl/>
        <w:spacing w:before="0" w:after="0" w:line="240" w:lineRule="auto"/>
        <w:contextualSpacing w:val="0"/>
        <w:rPr>
          <w:rFonts w:ascii="Times New Roman" w:hAnsi="Times New Roman"/>
          <w:color w:val="auto"/>
          <w:sz w:val="20"/>
          <w:szCs w:val="20"/>
          <w:lang w:val="cs-CZ" w:eastAsia="cs-CZ"/>
        </w:rPr>
      </w:pPr>
    </w:p>
    <w:p w:rsidR="00323662" w:rsidRPr="00D81FCF" w:rsidRDefault="00323662" w:rsidP="00323662">
      <w:pPr>
        <w:widowControl/>
        <w:spacing w:before="0" w:after="0" w:line="240" w:lineRule="auto"/>
        <w:contextualSpacing w:val="0"/>
        <w:rPr>
          <w:rFonts w:ascii="Times New Roman" w:hAnsi="Times New Roman"/>
          <w:color w:val="auto"/>
          <w:sz w:val="20"/>
          <w:szCs w:val="20"/>
          <w:lang w:val="cs-CZ" w:eastAsia="cs-CZ"/>
        </w:rPr>
      </w:pPr>
    </w:p>
    <w:p w:rsidR="00323662"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Pr>
          <w:rFonts w:cs="Arial"/>
          <w:b/>
          <w:bCs/>
          <w:color w:val="auto"/>
          <w:sz w:val="20"/>
          <w:lang w:val="cs-CZ" w:eastAsia="cs-CZ"/>
        </w:rPr>
        <w:t xml:space="preserve">Pojištění odcizení </w:t>
      </w:r>
    </w:p>
    <w:p w:rsidR="00323662"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p>
    <w:p w:rsidR="00323662" w:rsidRPr="00FF22DC"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FF22DC">
        <w:rPr>
          <w:rFonts w:cs="Arial"/>
          <w:b/>
          <w:bCs/>
          <w:color w:val="auto"/>
          <w:sz w:val="20"/>
          <w:lang w:val="cs-CZ" w:eastAsia="cs-CZ"/>
        </w:rPr>
        <w:t xml:space="preserve">Pojistná nebezpečí krádež vloupáním / loupež </w:t>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323662" w:rsidRDefault="00323662" w:rsidP="00323662">
      <w:pPr>
        <w:autoSpaceDE w:val="0"/>
        <w:autoSpaceDN w:val="0"/>
        <w:adjustRightInd w:val="0"/>
        <w:spacing w:before="0" w:after="0" w:line="180" w:lineRule="atLeast"/>
        <w:contextualSpacing w:val="0"/>
        <w:rPr>
          <w:rFonts w:cs="Arial"/>
          <w:b/>
          <w:color w:val="auto"/>
          <w:sz w:val="20"/>
          <w:szCs w:val="20"/>
          <w:lang w:val="cs-CZ" w:eastAsia="cs-CZ"/>
        </w:rPr>
      </w:pPr>
      <w:r w:rsidRPr="00017FB4">
        <w:rPr>
          <w:rFonts w:cs="Arial"/>
          <w:b/>
          <w:color w:val="auto"/>
          <w:sz w:val="20"/>
          <w:szCs w:val="20"/>
          <w:lang w:val="cs-CZ" w:eastAsia="cs-CZ"/>
        </w:rPr>
        <w:t>Soubor nemovitostí, vlastních i cizích – budovy a ostatní stavby vč. stavebních</w:t>
      </w:r>
      <w:r>
        <w:rPr>
          <w:rFonts w:cs="Arial"/>
          <w:b/>
          <w:color w:val="auto"/>
          <w:sz w:val="20"/>
          <w:szCs w:val="20"/>
          <w:lang w:val="cs-CZ" w:eastAsia="cs-CZ"/>
        </w:rPr>
        <w:t xml:space="preserve"> součástí (vnitřních i </w:t>
      </w:r>
      <w:r w:rsidRPr="00017FB4">
        <w:rPr>
          <w:rFonts w:cs="Arial"/>
          <w:b/>
          <w:color w:val="auto"/>
          <w:sz w:val="20"/>
          <w:szCs w:val="20"/>
          <w:lang w:val="cs-CZ" w:eastAsia="cs-CZ"/>
        </w:rPr>
        <w:t>vnějších), příslušenství, strojních a elektronických součástí budov</w:t>
      </w:r>
      <w:r>
        <w:rPr>
          <w:rFonts w:cs="Arial"/>
          <w:b/>
          <w:color w:val="auto"/>
          <w:sz w:val="20"/>
          <w:szCs w:val="20"/>
          <w:lang w:val="cs-CZ" w:eastAsia="cs-CZ"/>
        </w:rPr>
        <w:t xml:space="preserve"> </w:t>
      </w:r>
      <w:r w:rsidRPr="00017FB4">
        <w:rPr>
          <w:rFonts w:cs="Arial"/>
          <w:b/>
          <w:color w:val="auto"/>
          <w:sz w:val="20"/>
          <w:szCs w:val="20"/>
          <w:lang w:val="cs-CZ" w:eastAsia="cs-CZ"/>
        </w:rPr>
        <w:t>a staveb (např. instalace elektro, vody, topení, plynu, výtahů, EZS, EPS, vnější a</w:t>
      </w:r>
      <w:r>
        <w:rPr>
          <w:rFonts w:cs="Arial"/>
          <w:b/>
          <w:color w:val="auto"/>
          <w:sz w:val="20"/>
          <w:szCs w:val="20"/>
          <w:lang w:val="cs-CZ" w:eastAsia="cs-CZ"/>
        </w:rPr>
        <w:t xml:space="preserve"> </w:t>
      </w:r>
      <w:r w:rsidRPr="00017FB4">
        <w:rPr>
          <w:rFonts w:cs="Arial"/>
          <w:b/>
          <w:color w:val="auto"/>
          <w:sz w:val="20"/>
          <w:szCs w:val="20"/>
          <w:lang w:val="cs-CZ" w:eastAsia="cs-CZ"/>
        </w:rPr>
        <w:t>vnitřní kamerový systém, antény, dešťové svody, apod.), dřevostaveb, energetických</w:t>
      </w:r>
      <w:r>
        <w:rPr>
          <w:rFonts w:cs="Arial"/>
          <w:b/>
          <w:color w:val="auto"/>
          <w:sz w:val="20"/>
          <w:szCs w:val="20"/>
          <w:lang w:val="cs-CZ" w:eastAsia="cs-CZ"/>
        </w:rPr>
        <w:t xml:space="preserve"> </w:t>
      </w:r>
      <w:r w:rsidRPr="00017FB4">
        <w:rPr>
          <w:rFonts w:cs="Arial"/>
          <w:b/>
          <w:color w:val="auto"/>
          <w:sz w:val="20"/>
          <w:szCs w:val="20"/>
          <w:lang w:val="cs-CZ" w:eastAsia="cs-CZ"/>
        </w:rPr>
        <w:t xml:space="preserve">zařízení (trafostanice, výměníkové stanice), </w:t>
      </w:r>
      <w:proofErr w:type="spellStart"/>
      <w:r w:rsidRPr="00017FB4">
        <w:rPr>
          <w:rFonts w:cs="Arial"/>
          <w:b/>
          <w:color w:val="auto"/>
          <w:sz w:val="20"/>
          <w:szCs w:val="20"/>
          <w:lang w:val="cs-CZ" w:eastAsia="cs-CZ"/>
        </w:rPr>
        <w:t>termosolárních</w:t>
      </w:r>
      <w:proofErr w:type="spellEnd"/>
      <w:r w:rsidRPr="00017FB4">
        <w:rPr>
          <w:rFonts w:cs="Arial"/>
          <w:b/>
          <w:color w:val="auto"/>
          <w:sz w:val="20"/>
          <w:szCs w:val="20"/>
          <w:lang w:val="cs-CZ" w:eastAsia="cs-CZ"/>
        </w:rPr>
        <w:t xml:space="preserve"> a </w:t>
      </w:r>
      <w:proofErr w:type="spellStart"/>
      <w:r w:rsidRPr="00017FB4">
        <w:rPr>
          <w:rFonts w:cs="Arial"/>
          <w:b/>
          <w:color w:val="auto"/>
          <w:sz w:val="20"/>
          <w:szCs w:val="20"/>
          <w:lang w:val="cs-CZ" w:eastAsia="cs-CZ"/>
        </w:rPr>
        <w:t>fotovoltaických</w:t>
      </w:r>
      <w:proofErr w:type="spellEnd"/>
      <w:r w:rsidRPr="00017FB4">
        <w:rPr>
          <w:rFonts w:cs="Arial"/>
          <w:b/>
          <w:color w:val="auto"/>
          <w:sz w:val="20"/>
          <w:szCs w:val="20"/>
          <w:lang w:val="cs-CZ" w:eastAsia="cs-CZ"/>
        </w:rPr>
        <w:t xml:space="preserve"> systémů,</w:t>
      </w:r>
      <w:r>
        <w:rPr>
          <w:rFonts w:cs="Arial"/>
          <w:b/>
          <w:color w:val="auto"/>
          <w:sz w:val="20"/>
          <w:szCs w:val="20"/>
          <w:lang w:val="cs-CZ" w:eastAsia="cs-CZ"/>
        </w:rPr>
        <w:t xml:space="preserve"> </w:t>
      </w:r>
      <w:r w:rsidRPr="00017FB4">
        <w:rPr>
          <w:rFonts w:cs="Arial"/>
          <w:b/>
          <w:color w:val="auto"/>
          <w:sz w:val="20"/>
          <w:szCs w:val="20"/>
          <w:lang w:val="cs-CZ" w:eastAsia="cs-CZ"/>
        </w:rPr>
        <w:t>technického zhodnocení, zpevněné a umělé plochy, komunikace, stožáry, oplocení,</w:t>
      </w:r>
      <w:r>
        <w:rPr>
          <w:rFonts w:cs="Arial"/>
          <w:b/>
          <w:color w:val="auto"/>
          <w:sz w:val="20"/>
          <w:szCs w:val="20"/>
          <w:lang w:val="cs-CZ" w:eastAsia="cs-CZ"/>
        </w:rPr>
        <w:t xml:space="preserve"> </w:t>
      </w:r>
      <w:r w:rsidRPr="00017FB4">
        <w:rPr>
          <w:rFonts w:cs="Arial"/>
          <w:b/>
          <w:color w:val="auto"/>
          <w:sz w:val="20"/>
          <w:szCs w:val="20"/>
          <w:lang w:val="cs-CZ" w:eastAsia="cs-CZ"/>
        </w:rPr>
        <w:t>terénní úpravy, inženýrské sítě, rozvodné sítě, mosty, lavičky, veřejné osvětlení v</w:t>
      </w:r>
      <w:r>
        <w:rPr>
          <w:rFonts w:cs="Arial"/>
          <w:b/>
          <w:color w:val="auto"/>
          <w:sz w:val="20"/>
          <w:szCs w:val="20"/>
          <w:lang w:val="cs-CZ" w:eastAsia="cs-CZ"/>
        </w:rPr>
        <w:t> </w:t>
      </w:r>
      <w:r w:rsidRPr="00017FB4">
        <w:rPr>
          <w:rFonts w:cs="Arial"/>
          <w:b/>
          <w:color w:val="auto"/>
          <w:sz w:val="20"/>
          <w:szCs w:val="20"/>
          <w:lang w:val="cs-CZ" w:eastAsia="cs-CZ"/>
        </w:rPr>
        <w:t>rámci</w:t>
      </w:r>
      <w:r>
        <w:rPr>
          <w:rFonts w:cs="Arial"/>
          <w:b/>
          <w:color w:val="auto"/>
          <w:sz w:val="20"/>
          <w:szCs w:val="20"/>
          <w:lang w:val="cs-CZ" w:eastAsia="cs-CZ"/>
        </w:rPr>
        <w:t xml:space="preserve"> </w:t>
      </w:r>
      <w:r w:rsidRPr="00017FB4">
        <w:rPr>
          <w:rFonts w:cs="Arial"/>
          <w:b/>
          <w:color w:val="auto"/>
          <w:sz w:val="20"/>
          <w:szCs w:val="20"/>
          <w:lang w:val="cs-CZ" w:eastAsia="cs-CZ"/>
        </w:rPr>
        <w:t>areálu, soubor investic, apod.</w:t>
      </w:r>
      <w:r>
        <w:rPr>
          <w:rFonts w:cs="Arial"/>
          <w:b/>
          <w:color w:val="auto"/>
          <w:sz w:val="20"/>
          <w:szCs w:val="20"/>
          <w:lang w:val="cs-CZ" w:eastAsia="cs-CZ"/>
        </w:rPr>
        <w:t xml:space="preserve"> – </w:t>
      </w:r>
      <w:r w:rsidRPr="00D81FCF">
        <w:rPr>
          <w:rFonts w:cs="Arial"/>
          <w:b/>
          <w:color w:val="auto"/>
          <w:sz w:val="20"/>
          <w:szCs w:val="20"/>
          <w:lang w:val="cs-CZ" w:eastAsia="cs-CZ"/>
        </w:rPr>
        <w:t>s limitem na první riziko</w:t>
      </w:r>
      <w:r>
        <w:rPr>
          <w:rFonts w:cs="Arial"/>
          <w:b/>
          <w:color w:val="auto"/>
          <w:sz w:val="20"/>
          <w:szCs w:val="20"/>
          <w:lang w:val="cs-CZ" w:eastAsia="cs-CZ"/>
        </w:rPr>
        <w:t xml:space="preserve"> </w:t>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jc w:val="both"/>
        <w:rPr>
          <w:rFonts w:ascii="Arial_CE" w:hAnsi="Arial_CE"/>
          <w:i/>
          <w:color w:val="auto"/>
          <w:sz w:val="20"/>
          <w:szCs w:val="20"/>
          <w:lang w:val="cs-CZ" w:eastAsia="cs-CZ"/>
        </w:rPr>
      </w:pPr>
      <w:r w:rsidRPr="00D81FCF">
        <w:rPr>
          <w:rFonts w:ascii="Arial_CE" w:hAnsi="Arial_CE"/>
          <w:i/>
          <w:color w:val="auto"/>
          <w:sz w:val="20"/>
          <w:szCs w:val="20"/>
          <w:lang w:val="cs-CZ" w:eastAsia="cs-CZ"/>
        </w:rPr>
        <w:t xml:space="preserve">Zvláštní ujednání: pojištění se vztahuje také na škody, které nastanou na stavebních součástech pojištěných budov. Pojištěny jsou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upevnění). Všechny takto vzniklé škody musí být nahlášeny Policii ČR. Pojištění se nevztahuje na škody, které způsobí pojistník, pojištěný, osoby za něho jednající nebo jeho zaměstnanci. </w:t>
      </w:r>
    </w:p>
    <w:p w:rsidR="00323662" w:rsidRDefault="00323662" w:rsidP="00323662">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1</w:t>
      </w:r>
      <w:r w:rsidRPr="001C312F">
        <w:rPr>
          <w:rFonts w:ascii="Arial_CE" w:hAnsi="Arial_CE"/>
          <w:iCs/>
          <w:color w:val="auto"/>
          <w:sz w:val="20"/>
          <w:szCs w:val="20"/>
          <w:lang w:val="cs-CZ" w:eastAsia="cs-CZ"/>
        </w:rPr>
        <w:t>00 000,-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1 000,- Kč</w:t>
      </w:r>
      <w:r w:rsidRPr="001C312F">
        <w:rPr>
          <w:rFonts w:ascii="Arial_CE" w:hAnsi="Arial_CE"/>
          <w:iCs/>
          <w:color w:val="auto"/>
          <w:sz w:val="20"/>
          <w:szCs w:val="20"/>
          <w:lang w:val="cs-CZ" w:eastAsia="cs-CZ"/>
        </w:rPr>
        <w:tab/>
      </w:r>
      <w:r>
        <w:rPr>
          <w:rFonts w:ascii="Arial_CE" w:hAnsi="Arial_CE"/>
          <w:iCs/>
          <w:color w:val="auto"/>
          <w:sz w:val="20"/>
          <w:szCs w:val="20"/>
          <w:lang w:val="cs-CZ" w:eastAsia="cs-CZ"/>
        </w:rPr>
        <w:t>Pojistné:</w:t>
      </w:r>
      <w:r>
        <w:rPr>
          <w:rFonts w:ascii="Arial_CE" w:hAnsi="Arial_CE"/>
          <w:iCs/>
          <w:color w:val="auto"/>
          <w:sz w:val="20"/>
          <w:szCs w:val="20"/>
          <w:lang w:val="cs-CZ" w:eastAsia="cs-CZ"/>
        </w:rPr>
        <w:tab/>
        <w:t>800,- Kč</w:t>
      </w:r>
    </w:p>
    <w:p w:rsidR="00323662" w:rsidRPr="00D81FCF" w:rsidRDefault="00323662" w:rsidP="00323662">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p>
    <w:p w:rsidR="00323662" w:rsidRPr="001C312F" w:rsidRDefault="00323662" w:rsidP="00323662">
      <w:pPr>
        <w:widowControl/>
        <w:autoSpaceDE w:val="0"/>
        <w:autoSpaceDN w:val="0"/>
        <w:adjustRightInd w:val="0"/>
        <w:spacing w:before="0" w:after="0" w:line="240" w:lineRule="auto"/>
        <w:contextualSpacing w:val="0"/>
        <w:rPr>
          <w:rFonts w:cs="Arial"/>
          <w:b/>
          <w:color w:val="auto"/>
          <w:sz w:val="20"/>
          <w:szCs w:val="20"/>
          <w:lang w:val="cs-CZ" w:eastAsia="cs-CZ"/>
        </w:rPr>
      </w:pPr>
      <w:r w:rsidRPr="00017FB4">
        <w:rPr>
          <w:rFonts w:cs="Arial"/>
          <w:b/>
          <w:color w:val="auto"/>
          <w:sz w:val="20"/>
          <w:szCs w:val="20"/>
          <w:lang w:val="cs-CZ" w:eastAsia="cs-CZ"/>
        </w:rPr>
        <w:t>Soubor vlastních a cizích věcí movitých – přístroje, stroje, zařízení, elektronika,</w:t>
      </w:r>
      <w:r>
        <w:rPr>
          <w:rFonts w:cs="Arial"/>
          <w:b/>
          <w:color w:val="auto"/>
          <w:sz w:val="20"/>
          <w:szCs w:val="20"/>
          <w:lang w:val="cs-CZ" w:eastAsia="cs-CZ"/>
        </w:rPr>
        <w:t xml:space="preserve"> </w:t>
      </w:r>
      <w:r w:rsidRPr="00017FB4">
        <w:rPr>
          <w:rFonts w:cs="Arial"/>
          <w:b/>
          <w:color w:val="auto"/>
          <w:sz w:val="20"/>
          <w:szCs w:val="20"/>
          <w:lang w:val="cs-CZ" w:eastAsia="cs-CZ"/>
        </w:rPr>
        <w:t xml:space="preserve">vybavení, inventář (vč. </w:t>
      </w:r>
      <w:r>
        <w:rPr>
          <w:rFonts w:cs="Arial"/>
          <w:b/>
          <w:color w:val="auto"/>
          <w:sz w:val="20"/>
          <w:szCs w:val="20"/>
          <w:lang w:val="cs-CZ" w:eastAsia="cs-CZ"/>
        </w:rPr>
        <w:t xml:space="preserve">   </w:t>
      </w:r>
      <w:r w:rsidRPr="00017FB4">
        <w:rPr>
          <w:rFonts w:cs="Arial"/>
          <w:b/>
          <w:color w:val="auto"/>
          <w:sz w:val="20"/>
          <w:szCs w:val="20"/>
          <w:lang w:val="cs-CZ" w:eastAsia="cs-CZ"/>
        </w:rPr>
        <w:t>DDHM), věci umělecké a historické hodnoty, modely, vzorky,</w:t>
      </w:r>
      <w:r>
        <w:rPr>
          <w:rFonts w:cs="Arial"/>
          <w:b/>
          <w:color w:val="auto"/>
          <w:sz w:val="20"/>
          <w:szCs w:val="20"/>
          <w:lang w:val="cs-CZ" w:eastAsia="cs-CZ"/>
        </w:rPr>
        <w:t xml:space="preserve"> </w:t>
      </w:r>
      <w:r w:rsidRPr="00017FB4">
        <w:rPr>
          <w:rFonts w:cs="Arial"/>
          <w:b/>
          <w:color w:val="auto"/>
          <w:sz w:val="20"/>
          <w:szCs w:val="20"/>
          <w:lang w:val="cs-CZ" w:eastAsia="cs-CZ"/>
        </w:rPr>
        <w:t>prototypy, exponáty, písemnosti, plány, knihy a časopisy, nosiče dat, software, DHIM,</w:t>
      </w:r>
      <w:r>
        <w:rPr>
          <w:rFonts w:cs="Arial"/>
          <w:b/>
          <w:color w:val="auto"/>
          <w:sz w:val="20"/>
          <w:szCs w:val="20"/>
          <w:lang w:val="cs-CZ" w:eastAsia="cs-CZ"/>
        </w:rPr>
        <w:t xml:space="preserve"> </w:t>
      </w:r>
      <w:r w:rsidRPr="00017FB4">
        <w:rPr>
          <w:rFonts w:cs="Arial"/>
          <w:b/>
          <w:color w:val="auto"/>
          <w:sz w:val="20"/>
          <w:szCs w:val="20"/>
          <w:lang w:val="cs-CZ" w:eastAsia="cs-CZ"/>
        </w:rPr>
        <w:t>ostatní vlastní a cizí věci movité apod. veden</w:t>
      </w:r>
      <w:r>
        <w:rPr>
          <w:rFonts w:cs="Arial"/>
          <w:b/>
          <w:color w:val="auto"/>
          <w:sz w:val="20"/>
          <w:szCs w:val="20"/>
          <w:lang w:val="cs-CZ" w:eastAsia="cs-CZ"/>
        </w:rPr>
        <w:t>é</w:t>
      </w:r>
      <w:r w:rsidRPr="00017FB4">
        <w:rPr>
          <w:rFonts w:cs="Arial"/>
          <w:b/>
          <w:color w:val="auto"/>
          <w:sz w:val="20"/>
          <w:szCs w:val="20"/>
          <w:lang w:val="cs-CZ" w:eastAsia="cs-CZ"/>
        </w:rPr>
        <w:t xml:space="preserve"> v účetní, operativní či jiné evidenci</w:t>
      </w:r>
      <w:r>
        <w:rPr>
          <w:rFonts w:cs="Arial"/>
          <w:b/>
          <w:color w:val="auto"/>
          <w:sz w:val="20"/>
          <w:szCs w:val="20"/>
          <w:lang w:val="cs-CZ" w:eastAsia="cs-CZ"/>
        </w:rPr>
        <w:t xml:space="preserve">, </w:t>
      </w:r>
      <w:r w:rsidRPr="00017FB4">
        <w:rPr>
          <w:rFonts w:cs="Arial"/>
          <w:b/>
          <w:color w:val="auto"/>
          <w:sz w:val="20"/>
          <w:szCs w:val="20"/>
          <w:lang w:val="cs-CZ" w:eastAsia="cs-CZ"/>
        </w:rPr>
        <w:t>zařízení pro rádiové spojení umístěné na střeše a věci na volném prostranství</w:t>
      </w:r>
      <w:r>
        <w:rPr>
          <w:rFonts w:cs="Arial"/>
          <w:b/>
          <w:color w:val="auto"/>
          <w:sz w:val="20"/>
          <w:szCs w:val="20"/>
          <w:lang w:val="cs-CZ" w:eastAsia="cs-CZ"/>
        </w:rPr>
        <w:t xml:space="preserve"> – </w:t>
      </w:r>
      <w:r w:rsidRPr="001C312F">
        <w:rPr>
          <w:rFonts w:cs="Arial"/>
          <w:b/>
          <w:color w:val="auto"/>
          <w:sz w:val="20"/>
          <w:szCs w:val="20"/>
          <w:lang w:val="cs-CZ" w:eastAsia="cs-CZ"/>
        </w:rPr>
        <w:t>s limitem na první riziko</w:t>
      </w:r>
    </w:p>
    <w:p w:rsidR="00323662" w:rsidRPr="001C312F"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1C312F">
        <w:rPr>
          <w:rFonts w:ascii="Arial_CE" w:hAnsi="Arial_CE"/>
          <w:iCs/>
          <w:color w:val="auto"/>
          <w:sz w:val="20"/>
          <w:szCs w:val="20"/>
          <w:lang w:val="cs-CZ" w:eastAsia="cs-CZ"/>
        </w:rPr>
        <w:lastRenderedPageBreak/>
        <w:t>Pojistná částka:</w:t>
      </w:r>
      <w:r w:rsidRPr="001C312F">
        <w:rPr>
          <w:rFonts w:ascii="Arial_CE" w:hAnsi="Arial_CE"/>
          <w:iCs/>
          <w:color w:val="auto"/>
          <w:sz w:val="20"/>
          <w:szCs w:val="20"/>
          <w:lang w:val="cs-CZ" w:eastAsia="cs-CZ"/>
        </w:rPr>
        <w:tab/>
      </w:r>
      <w:r w:rsidR="00275D5D">
        <w:rPr>
          <w:rFonts w:ascii="Arial_CE" w:hAnsi="Arial_CE"/>
          <w:iCs/>
          <w:color w:val="auto"/>
          <w:sz w:val="20"/>
          <w:szCs w:val="20"/>
          <w:lang w:val="cs-CZ" w:eastAsia="cs-CZ"/>
        </w:rPr>
        <w:t>2</w:t>
      </w:r>
      <w:r w:rsidRPr="001C312F">
        <w:rPr>
          <w:rFonts w:ascii="Arial_CE" w:hAnsi="Arial_CE"/>
          <w:iCs/>
          <w:color w:val="auto"/>
          <w:sz w:val="20"/>
          <w:szCs w:val="20"/>
          <w:lang w:val="cs-CZ" w:eastAsia="cs-CZ"/>
        </w:rPr>
        <w:t> 000 000,-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 xml:space="preserve"> 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275D5D">
        <w:rPr>
          <w:rFonts w:ascii="Arial_CE" w:hAnsi="Arial_CE"/>
          <w:iCs/>
          <w:color w:val="auto"/>
          <w:sz w:val="20"/>
          <w:szCs w:val="20"/>
          <w:lang w:val="cs-CZ" w:eastAsia="cs-CZ"/>
        </w:rPr>
        <w:t>8</w:t>
      </w:r>
      <w:r w:rsidRPr="001C312F">
        <w:rPr>
          <w:rFonts w:ascii="Arial_CE" w:hAnsi="Arial_CE"/>
          <w:iCs/>
          <w:color w:val="auto"/>
          <w:sz w:val="20"/>
          <w:szCs w:val="20"/>
          <w:lang w:val="cs-CZ" w:eastAsia="cs-CZ"/>
        </w:rPr>
        <w:t xml:space="preserve"> 000,- Kč</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Pr>
          <w:rFonts w:ascii="Arial_CE" w:hAnsi="Arial_CE"/>
          <w:iCs/>
          <w:color w:val="auto"/>
          <w:sz w:val="20"/>
          <w:szCs w:val="20"/>
          <w:lang w:val="cs-CZ" w:eastAsia="cs-CZ"/>
        </w:rPr>
        <w:t>*Zabezpečení – odchylně se ujednává pro předmět pojištění Zařízení pro rádiové spojení toto zabezpečení:</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Pr>
          <w:rFonts w:ascii="Arial_CE" w:hAnsi="Arial_CE"/>
          <w:i/>
          <w:iCs/>
          <w:color w:val="auto"/>
          <w:sz w:val="20"/>
          <w:szCs w:val="20"/>
          <w:lang w:val="cs-CZ" w:eastAsia="cs-CZ"/>
        </w:rPr>
        <w:t xml:space="preserve">Antény jsou umístěny na střeše, a to ve výšce min. 5m nad úrovní okolního terénu. Vstup na střechu je </w:t>
      </w:r>
      <w:proofErr w:type="spellStart"/>
      <w:r>
        <w:rPr>
          <w:rFonts w:ascii="Arial_CE" w:hAnsi="Arial_CE"/>
          <w:i/>
          <w:iCs/>
          <w:color w:val="auto"/>
          <w:sz w:val="20"/>
          <w:szCs w:val="20"/>
          <w:lang w:val="cs-CZ" w:eastAsia="cs-CZ"/>
        </w:rPr>
        <w:t>uzamřen</w:t>
      </w:r>
      <w:proofErr w:type="spellEnd"/>
      <w:r>
        <w:rPr>
          <w:rFonts w:ascii="Arial_CE" w:hAnsi="Arial_CE"/>
          <w:i/>
          <w:iCs/>
          <w:color w:val="auto"/>
          <w:sz w:val="20"/>
          <w:szCs w:val="20"/>
          <w:lang w:val="cs-CZ" w:eastAsia="cs-CZ"/>
        </w:rPr>
        <w:t xml:space="preserve"> min. jedním zámkem a antény jsou ke střešní konstrukci ukotveny standardním způsobem, resp. dle instrukcí výrobce.</w:t>
      </w:r>
    </w:p>
    <w:p w:rsidR="00323662" w:rsidRPr="00C9376C"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C9376C"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843D73" w:rsidRDefault="00323662" w:rsidP="00323662">
      <w:pPr>
        <w:tabs>
          <w:tab w:val="left" w:pos="2268"/>
          <w:tab w:val="left" w:pos="2410"/>
          <w:tab w:val="left" w:pos="2694"/>
          <w:tab w:val="left" w:pos="3969"/>
          <w:tab w:val="left" w:pos="5670"/>
          <w:tab w:val="left" w:pos="6663"/>
          <w:tab w:val="left" w:pos="9072"/>
        </w:tabs>
        <w:autoSpaceDE w:val="0"/>
        <w:autoSpaceDN w:val="0"/>
        <w:adjustRightInd w:val="0"/>
        <w:jc w:val="both"/>
        <w:rPr>
          <w:rFonts w:cs="Arial"/>
          <w:b/>
          <w:bCs/>
          <w:color w:val="000000"/>
          <w:sz w:val="20"/>
          <w:szCs w:val="20"/>
          <w:lang w:val="cs-CZ" w:eastAsia="cs-CZ"/>
        </w:rPr>
      </w:pPr>
      <w:r>
        <w:rPr>
          <w:rFonts w:cs="Arial"/>
          <w:b/>
          <w:bCs/>
          <w:color w:val="000000"/>
          <w:sz w:val="20"/>
          <w:szCs w:val="20"/>
          <w:lang w:val="cs-CZ" w:eastAsia="cs-CZ"/>
        </w:rPr>
        <w:t>Pojistné nebezpečí prostá krádež</w:t>
      </w:r>
    </w:p>
    <w:p w:rsidR="00323662" w:rsidRPr="00843D73" w:rsidRDefault="00323662" w:rsidP="00323662">
      <w:pPr>
        <w:widowControl/>
        <w:autoSpaceDE w:val="0"/>
        <w:autoSpaceDN w:val="0"/>
        <w:adjustRightInd w:val="0"/>
        <w:spacing w:before="0" w:after="0" w:line="240" w:lineRule="auto"/>
        <w:contextualSpacing w:val="0"/>
        <w:jc w:val="both"/>
        <w:rPr>
          <w:rFonts w:cs="Arial"/>
          <w:color w:val="000000"/>
          <w:sz w:val="20"/>
          <w:szCs w:val="20"/>
          <w:lang w:val="cs-CZ" w:eastAsia="cs-CZ"/>
        </w:rPr>
      </w:pPr>
      <w:r w:rsidRPr="00843D73">
        <w:rPr>
          <w:rFonts w:cs="Arial"/>
          <w:color w:val="000000"/>
          <w:sz w:val="20"/>
          <w:szCs w:val="20"/>
          <w:lang w:val="cs-CZ" w:eastAsia="cs-CZ"/>
        </w:rPr>
        <w:t xml:space="preserve">Prostou krádeží se </w:t>
      </w:r>
      <w:r w:rsidRPr="00843D73">
        <w:rPr>
          <w:rFonts w:cs="Arial"/>
          <w:color w:val="auto"/>
          <w:sz w:val="20"/>
          <w:szCs w:val="20"/>
          <w:lang w:val="cs-CZ" w:eastAsia="cs-CZ"/>
        </w:rPr>
        <w:t xml:space="preserve">rozumí přivlastnění si věci pachatelem bez překonání ochranného </w:t>
      </w:r>
      <w:proofErr w:type="gramStart"/>
      <w:r w:rsidRPr="00843D73">
        <w:rPr>
          <w:rFonts w:cs="Arial"/>
          <w:color w:val="auto"/>
          <w:sz w:val="20"/>
          <w:szCs w:val="20"/>
          <w:lang w:val="cs-CZ" w:eastAsia="cs-CZ"/>
        </w:rPr>
        <w:t>zabezpečení nebo</w:t>
      </w:r>
      <w:proofErr w:type="gramEnd"/>
      <w:r w:rsidRPr="00843D73">
        <w:rPr>
          <w:rFonts w:cs="Arial"/>
          <w:color w:val="auto"/>
          <w:sz w:val="20"/>
          <w:szCs w:val="20"/>
          <w:lang w:val="cs-CZ" w:eastAsia="cs-CZ"/>
        </w:rPr>
        <w:t xml:space="preserve"> pokud nedošlo k použití násilí nebo pohrůžky bezprostředního násilí.</w:t>
      </w:r>
      <w:r w:rsidRPr="00843D73">
        <w:rPr>
          <w:rFonts w:cs="Arial"/>
          <w:color w:val="000000"/>
          <w:sz w:val="20"/>
          <w:szCs w:val="20"/>
          <w:lang w:val="cs-CZ" w:eastAsia="cs-CZ"/>
        </w:rPr>
        <w:t xml:space="preserve"> Pojištění se vztahuje na věci ve, které jsou pojištěné proti pojistnému nebezpečí FLEXA. Pojistitel v žádném případě neposkytne plnění za škody způsobené prostou krádeží, které nebyly oznámeny policii a nebyly předmětem policejního šetření. Pojištění se sjednává s limitem na první riziko ve výši </w:t>
      </w:r>
      <w:r w:rsidRPr="00843D73">
        <w:rPr>
          <w:rFonts w:cs="Arial"/>
          <w:b/>
          <w:color w:val="000000"/>
          <w:sz w:val="20"/>
          <w:szCs w:val="20"/>
          <w:lang w:val="cs-CZ" w:eastAsia="cs-CZ"/>
        </w:rPr>
        <w:t>50 000,- Kč</w:t>
      </w:r>
      <w:r w:rsidRPr="00843D73">
        <w:rPr>
          <w:rFonts w:cs="Arial"/>
          <w:color w:val="000000"/>
          <w:sz w:val="20"/>
          <w:szCs w:val="20"/>
          <w:lang w:val="cs-CZ" w:eastAsia="cs-CZ"/>
        </w:rPr>
        <w:t xml:space="preserve"> a spoluúčastí </w:t>
      </w:r>
      <w:r w:rsidRPr="00843D73">
        <w:rPr>
          <w:rFonts w:cs="Arial"/>
          <w:b/>
          <w:color w:val="000000"/>
          <w:sz w:val="20"/>
          <w:szCs w:val="20"/>
          <w:lang w:val="cs-CZ" w:eastAsia="cs-CZ"/>
        </w:rPr>
        <w:t>1 000,- Kč</w:t>
      </w:r>
      <w:r w:rsidRPr="00843D73">
        <w:rPr>
          <w:rFonts w:cs="Arial"/>
          <w:color w:val="000000"/>
          <w:sz w:val="20"/>
          <w:szCs w:val="20"/>
          <w:lang w:val="cs-CZ" w:eastAsia="cs-CZ"/>
        </w:rPr>
        <w:t>.</w:t>
      </w:r>
      <w:r>
        <w:rPr>
          <w:rFonts w:cs="Arial"/>
          <w:color w:val="000000"/>
          <w:sz w:val="20"/>
          <w:szCs w:val="20"/>
          <w:lang w:val="cs-CZ" w:eastAsia="cs-CZ"/>
        </w:rPr>
        <w:tab/>
      </w:r>
      <w:r>
        <w:rPr>
          <w:rFonts w:cs="Arial"/>
          <w:color w:val="000000"/>
          <w:sz w:val="20"/>
          <w:szCs w:val="20"/>
          <w:lang w:val="cs-CZ" w:eastAsia="cs-CZ"/>
        </w:rPr>
        <w:tab/>
      </w:r>
      <w:r>
        <w:rPr>
          <w:rFonts w:cs="Arial"/>
          <w:color w:val="000000"/>
          <w:sz w:val="20"/>
          <w:szCs w:val="20"/>
          <w:lang w:val="cs-CZ" w:eastAsia="cs-CZ"/>
        </w:rPr>
        <w:tab/>
      </w:r>
      <w:r>
        <w:rPr>
          <w:rFonts w:cs="Arial"/>
          <w:color w:val="000000"/>
          <w:sz w:val="20"/>
          <w:szCs w:val="20"/>
          <w:lang w:val="cs-CZ" w:eastAsia="cs-CZ"/>
        </w:rPr>
        <w:tab/>
        <w:t xml:space="preserve">    Pojistné:</w:t>
      </w:r>
      <w:r>
        <w:rPr>
          <w:rFonts w:cs="Arial"/>
          <w:color w:val="000000"/>
          <w:sz w:val="20"/>
          <w:szCs w:val="20"/>
          <w:lang w:val="cs-CZ" w:eastAsia="cs-CZ"/>
        </w:rPr>
        <w:tab/>
        <w:t xml:space="preserve">    800,- Kč</w:t>
      </w: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12"/>
          <w:szCs w:val="12"/>
          <w:lang w:val="cs-CZ" w:eastAsia="cs-CZ"/>
        </w:rPr>
      </w:pP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 xml:space="preserve">Náklady na odstranění škod vzniklých na stavebních součástech pojištěné budovy v důsledku pojistné události a náklady na výměnu zámků vynaložené v důsledku pojistné události </w:t>
      </w:r>
      <w:r w:rsidRPr="00D81FCF">
        <w:rPr>
          <w:rFonts w:cs="Arial"/>
          <w:b/>
          <w:i/>
          <w:iCs/>
          <w:color w:val="auto"/>
          <w:sz w:val="20"/>
          <w:szCs w:val="20"/>
          <w:lang w:val="cs-CZ" w:eastAsia="cs-CZ"/>
        </w:rPr>
        <w:t xml:space="preserve">– </w:t>
      </w:r>
      <w:r w:rsidRPr="00D81FCF">
        <w:rPr>
          <w:rFonts w:cs="Arial"/>
          <w:b/>
          <w:color w:val="auto"/>
          <w:sz w:val="20"/>
          <w:szCs w:val="20"/>
          <w:lang w:val="cs-CZ" w:eastAsia="cs-CZ"/>
        </w:rPr>
        <w:t>s limitem na první riziko</w:t>
      </w: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10</w:t>
      </w:r>
      <w:r w:rsidRPr="00D81FCF">
        <w:rPr>
          <w:rFonts w:ascii="Arial_CE" w:hAnsi="Arial_CE"/>
          <w:iCs/>
          <w:color w:val="auto"/>
          <w:sz w:val="20"/>
          <w:szCs w:val="20"/>
          <w:lang w:val="cs-CZ" w:eastAsia="cs-CZ"/>
        </w:rPr>
        <w:t>0 000,-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t>Pojistné:</w:t>
      </w:r>
      <w:r w:rsidRPr="00D81FCF">
        <w:rPr>
          <w:rFonts w:ascii="Arial_CE" w:hAnsi="Arial_CE"/>
          <w:iCs/>
          <w:color w:val="auto"/>
          <w:sz w:val="20"/>
          <w:szCs w:val="20"/>
          <w:lang w:val="cs-CZ" w:eastAsia="cs-CZ"/>
        </w:rPr>
        <w:tab/>
        <w:t>0,- Kč</w:t>
      </w:r>
    </w:p>
    <w:p w:rsidR="00323662" w:rsidRPr="00C9376C"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12"/>
          <w:szCs w:val="12"/>
          <w:lang w:val="cs-CZ" w:eastAsia="cs-CZ"/>
        </w:rPr>
      </w:pPr>
    </w:p>
    <w:p w:rsidR="00323662" w:rsidRDefault="00323662" w:rsidP="00323662">
      <w:pPr>
        <w:widowControl/>
        <w:autoSpaceDE w:val="0"/>
        <w:autoSpaceDN w:val="0"/>
        <w:adjustRightInd w:val="0"/>
        <w:spacing w:before="0" w:after="0" w:line="240" w:lineRule="auto"/>
        <w:contextualSpacing w:val="0"/>
        <w:rPr>
          <w:rFonts w:ascii="Arial_CE" w:hAnsi="Arial_CE" w:cs="Generali"/>
          <w:iCs/>
          <w:color w:val="000000"/>
          <w:sz w:val="20"/>
          <w:lang w:val="cs-CZ" w:eastAsia="cs-CZ"/>
        </w:rPr>
      </w:pPr>
      <w:r>
        <w:rPr>
          <w:rFonts w:ascii="Arial_CE" w:hAnsi="Arial_CE" w:cs="Generali"/>
          <w:iCs/>
          <w:color w:val="000000"/>
          <w:sz w:val="20"/>
          <w:lang w:val="cs-CZ" w:eastAsia="cs-CZ"/>
        </w:rPr>
        <w:t xml:space="preserve">Není-li </w:t>
      </w:r>
      <w:r w:rsidRPr="00E50CFE">
        <w:rPr>
          <w:rFonts w:ascii="Arial_CE" w:hAnsi="Arial_CE" w:cs="Generali"/>
          <w:iCs/>
          <w:color w:val="auto"/>
          <w:sz w:val="20"/>
          <w:lang w:val="cs-CZ" w:eastAsia="cs-CZ"/>
        </w:rPr>
        <w:t xml:space="preserve">dodržen výše uvedený </w:t>
      </w:r>
      <w:r>
        <w:rPr>
          <w:rFonts w:ascii="Arial_CE" w:hAnsi="Arial_CE" w:cs="Generali"/>
          <w:iCs/>
          <w:color w:val="000000"/>
          <w:sz w:val="20"/>
          <w:lang w:val="cs-CZ" w:eastAsia="cs-CZ"/>
        </w:rPr>
        <w:t>způsob zabezpečení a pro případy, pro které není zvláštní způsob zabezpečení ujednán, platí způsob zabezpečení dle TBP 2014 v plném rozsahu.</w:t>
      </w:r>
      <w:r w:rsidRPr="00D81FCF">
        <w:rPr>
          <w:rFonts w:ascii="Arial_CE" w:hAnsi="Arial_CE" w:cs="Generali"/>
          <w:iCs/>
          <w:color w:val="000000"/>
          <w:sz w:val="20"/>
          <w:lang w:val="cs-CZ" w:eastAsia="cs-CZ"/>
        </w:rPr>
        <w:t xml:space="preserve"> </w:t>
      </w:r>
    </w:p>
    <w:p w:rsidR="00323662" w:rsidRPr="00C9376C" w:rsidRDefault="00323662" w:rsidP="00323662">
      <w:pPr>
        <w:widowControl/>
        <w:autoSpaceDE w:val="0"/>
        <w:autoSpaceDN w:val="0"/>
        <w:adjustRightInd w:val="0"/>
        <w:spacing w:before="0" w:after="0" w:line="240" w:lineRule="auto"/>
        <w:contextualSpacing w:val="0"/>
        <w:rPr>
          <w:rFonts w:ascii="Arial_CE" w:hAnsi="Arial_CE" w:cs="Generali"/>
          <w:iCs/>
          <w:color w:val="000000"/>
          <w:sz w:val="6"/>
          <w:szCs w:val="6"/>
          <w:lang w:val="cs-CZ" w:eastAsia="cs-CZ"/>
        </w:rPr>
      </w:pP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iCs/>
          <w:color w:val="auto"/>
          <w:sz w:val="20"/>
          <w:szCs w:val="20"/>
          <w:lang w:val="cs-CZ" w:eastAsia="cs-CZ"/>
        </w:rPr>
      </w:pPr>
      <w:r w:rsidRPr="00D81FCF">
        <w:rPr>
          <w:rFonts w:cs="Arial"/>
          <w:color w:val="000000"/>
          <w:sz w:val="20"/>
          <w:szCs w:val="20"/>
          <w:lang w:val="cs-CZ" w:eastAsia="cs-CZ"/>
        </w:rPr>
        <w:t>Dojde-li ke ztrátě, zničení nebo poškození pojištěných věcí v důsledku krádeže vloupáním nebo loupeže, řídí se limit plnění z jedné pojistné události způsobem zabezpečení pojištěných věcí v době, kdy k pojistné události došlo.</w:t>
      </w:r>
      <w:r w:rsidRPr="00D81FCF">
        <w:rPr>
          <w:rFonts w:cs="Arial"/>
          <w:iCs/>
          <w:color w:val="auto"/>
          <w:sz w:val="20"/>
          <w:szCs w:val="20"/>
          <w:lang w:val="cs-CZ" w:eastAsia="cs-CZ"/>
        </w:rPr>
        <w:t xml:space="preserve"> </w:t>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 xml:space="preserve">Celkové pojistné za </w:t>
      </w:r>
      <w:r>
        <w:rPr>
          <w:rFonts w:cs="Arial"/>
          <w:b/>
          <w:color w:val="auto"/>
          <w:sz w:val="20"/>
          <w:szCs w:val="20"/>
          <w:lang w:val="cs-CZ" w:eastAsia="cs-CZ"/>
        </w:rPr>
        <w:t>pojištění odcizení</w:t>
      </w:r>
      <w:r w:rsidRPr="00D81FCF">
        <w:rPr>
          <w:rFonts w:cs="Arial"/>
          <w:b/>
          <w:color w:val="auto"/>
          <w:sz w:val="20"/>
          <w:szCs w:val="20"/>
          <w:lang w:val="cs-CZ" w:eastAsia="cs-CZ"/>
        </w:rPr>
        <w:t>:</w:t>
      </w:r>
      <w:r w:rsidRPr="00D81FCF">
        <w:rPr>
          <w:rFonts w:cs="Arial"/>
          <w:b/>
          <w:color w:val="auto"/>
          <w:sz w:val="20"/>
          <w:szCs w:val="20"/>
          <w:lang w:val="cs-CZ" w:eastAsia="cs-CZ"/>
        </w:rPr>
        <w:tab/>
      </w:r>
      <w:r w:rsidR="00275D5D">
        <w:rPr>
          <w:rFonts w:cs="Arial"/>
          <w:b/>
          <w:color w:val="auto"/>
          <w:sz w:val="20"/>
          <w:szCs w:val="20"/>
          <w:lang w:val="cs-CZ" w:eastAsia="cs-CZ"/>
        </w:rPr>
        <w:t>9</w:t>
      </w:r>
      <w:r>
        <w:rPr>
          <w:rFonts w:cs="Arial"/>
          <w:b/>
          <w:color w:val="auto"/>
          <w:sz w:val="20"/>
          <w:szCs w:val="20"/>
          <w:lang w:val="cs-CZ" w:eastAsia="cs-CZ"/>
        </w:rPr>
        <w:t xml:space="preserve"> 600</w:t>
      </w:r>
      <w:r w:rsidRPr="001C312F">
        <w:rPr>
          <w:rFonts w:cs="Arial"/>
          <w:b/>
          <w:color w:val="auto"/>
          <w:sz w:val="20"/>
          <w:szCs w:val="20"/>
          <w:lang w:val="cs-CZ" w:eastAsia="cs-CZ"/>
        </w:rPr>
        <w:t>,- Kč</w:t>
      </w: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FF22DC" w:rsidRDefault="00323662"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0"/>
          <w:szCs w:val="20"/>
          <w:lang w:val="cs-CZ" w:eastAsia="cs-CZ"/>
        </w:rPr>
      </w:pPr>
      <w:r w:rsidRPr="00FF22DC">
        <w:rPr>
          <w:rFonts w:cs="Arial"/>
          <w:b/>
          <w:color w:val="auto"/>
          <w:sz w:val="20"/>
          <w:szCs w:val="20"/>
          <w:lang w:val="cs-CZ" w:eastAsia="cs-CZ"/>
        </w:rPr>
        <w:t>Pojistné nebezpečí nepřímý úder blesku</w:t>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Generali"/>
          <w:bCs/>
          <w:color w:val="000000"/>
          <w:sz w:val="20"/>
          <w:szCs w:val="20"/>
          <w:lang w:val="cs-CZ" w:eastAsia="cs-CZ"/>
        </w:rPr>
        <w:t>Pojištění se vztahuje na elektrické a elektronické přístroje nebo zařízení, elektrické požární a zabezpečovací signalizace, elektrické stroje a motory, elektro</w:t>
      </w:r>
      <w:r w:rsidRPr="00D81FCF">
        <w:rPr>
          <w:rFonts w:cs="Generali"/>
          <w:bCs/>
          <w:color w:val="000000"/>
          <w:sz w:val="20"/>
          <w:szCs w:val="20"/>
          <w:lang w:val="cs-CZ" w:eastAsia="cs-CZ"/>
        </w:rPr>
        <w:softHyphen/>
        <w:t>nické prvky a součástky tvořící součást nebo příslušenství pojištěné budovy.</w:t>
      </w:r>
      <w:r w:rsidRPr="00D81FCF">
        <w:rPr>
          <w:rFonts w:cs="Arial"/>
          <w:b/>
          <w:color w:val="auto"/>
          <w:sz w:val="20"/>
          <w:szCs w:val="20"/>
          <w:lang w:val="cs-CZ" w:eastAsia="cs-CZ"/>
        </w:rPr>
        <w:t xml:space="preserve"> Pojištění se sjednává s limitem na první riziko.</w:t>
      </w:r>
    </w:p>
    <w:p w:rsidR="00323662" w:rsidRPr="001C312F" w:rsidRDefault="00323662" w:rsidP="00323662">
      <w:pPr>
        <w:widowControl/>
        <w:tabs>
          <w:tab w:val="right" w:pos="3261"/>
          <w:tab w:val="right" w:pos="5103"/>
          <w:tab w:val="right" w:pos="6521"/>
          <w:tab w:val="right" w:pos="8222"/>
          <w:tab w:val="right" w:pos="9639"/>
        </w:tabs>
        <w:spacing w:before="6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C73EC1">
        <w:rPr>
          <w:rFonts w:ascii="Arial_CE" w:hAnsi="Arial_CE"/>
          <w:iCs/>
          <w:color w:val="auto"/>
          <w:sz w:val="20"/>
          <w:szCs w:val="20"/>
          <w:lang w:val="cs-CZ" w:eastAsia="cs-CZ"/>
        </w:rPr>
        <w:t>1 0</w:t>
      </w:r>
      <w:r w:rsidRPr="001C312F">
        <w:rPr>
          <w:rFonts w:ascii="Arial_CE" w:hAnsi="Arial_CE"/>
          <w:iCs/>
          <w:color w:val="auto"/>
          <w:sz w:val="20"/>
          <w:szCs w:val="20"/>
          <w:lang w:val="cs-CZ" w:eastAsia="cs-CZ"/>
        </w:rPr>
        <w:t>00 000,-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C73EC1">
        <w:rPr>
          <w:rFonts w:ascii="Arial_CE" w:hAnsi="Arial_CE"/>
          <w:iCs/>
          <w:color w:val="auto"/>
          <w:sz w:val="20"/>
          <w:szCs w:val="20"/>
          <w:lang w:val="cs-CZ" w:eastAsia="cs-CZ"/>
        </w:rPr>
        <w:t>4 800</w:t>
      </w:r>
      <w:r w:rsidRPr="001C312F">
        <w:rPr>
          <w:rFonts w:ascii="Arial_CE" w:hAnsi="Arial_CE"/>
          <w:iCs/>
          <w:color w:val="auto"/>
          <w:sz w:val="20"/>
          <w:szCs w:val="20"/>
          <w:lang w:val="cs-CZ" w:eastAsia="cs-CZ"/>
        </w:rPr>
        <w:t>,- Kč</w:t>
      </w:r>
    </w:p>
    <w:p w:rsidR="00323662" w:rsidRPr="001C312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1C312F">
        <w:rPr>
          <w:rFonts w:cs="Arial"/>
          <w:b/>
          <w:color w:val="auto"/>
          <w:sz w:val="20"/>
          <w:szCs w:val="20"/>
          <w:lang w:val="cs-CZ" w:eastAsia="cs-CZ"/>
        </w:rPr>
        <w:tab/>
        <w:t>Celkové pojistné za pojistné nebezpečí nepřímý úder blesku:</w:t>
      </w:r>
      <w:r w:rsidRPr="001C312F">
        <w:rPr>
          <w:rFonts w:cs="Arial"/>
          <w:b/>
          <w:color w:val="auto"/>
          <w:sz w:val="20"/>
          <w:szCs w:val="20"/>
          <w:lang w:val="cs-CZ" w:eastAsia="cs-CZ"/>
        </w:rPr>
        <w:tab/>
      </w:r>
      <w:r w:rsidR="00C73EC1">
        <w:rPr>
          <w:rFonts w:cs="Arial"/>
          <w:b/>
          <w:color w:val="auto"/>
          <w:sz w:val="20"/>
          <w:szCs w:val="20"/>
          <w:lang w:val="cs-CZ" w:eastAsia="cs-CZ"/>
        </w:rPr>
        <w:t>4 800</w:t>
      </w:r>
      <w:r w:rsidRPr="001C312F">
        <w:rPr>
          <w:rFonts w:cs="Arial"/>
          <w:b/>
          <w:color w:val="auto"/>
          <w:sz w:val="20"/>
          <w:szCs w:val="20"/>
          <w:lang w:val="cs-CZ" w:eastAsia="cs-CZ"/>
        </w:rPr>
        <w:t>,- Kč</w:t>
      </w: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FF22DC"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FF22DC">
        <w:rPr>
          <w:rFonts w:cs="Arial"/>
          <w:b/>
          <w:bCs/>
          <w:color w:val="auto"/>
          <w:sz w:val="20"/>
          <w:lang w:val="cs-CZ" w:eastAsia="cs-CZ"/>
        </w:rPr>
        <w:t xml:space="preserve">Pojistné nebezpečí srážková voda </w:t>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Pojištění se sjednává s limitem na první riziko.</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sidR="00190E73">
        <w:rPr>
          <w:rFonts w:ascii="Arial_CE" w:hAnsi="Arial_CE"/>
          <w:iCs/>
          <w:color w:val="auto"/>
          <w:sz w:val="20"/>
          <w:szCs w:val="20"/>
          <w:lang w:val="cs-CZ" w:eastAsia="cs-CZ"/>
        </w:rPr>
        <w:t>1 0</w:t>
      </w:r>
      <w:r>
        <w:rPr>
          <w:rFonts w:ascii="Arial_CE" w:hAnsi="Arial_CE"/>
          <w:iCs/>
          <w:color w:val="auto"/>
          <w:sz w:val="20"/>
          <w:szCs w:val="20"/>
          <w:lang w:val="cs-CZ" w:eastAsia="cs-CZ"/>
        </w:rPr>
        <w:t xml:space="preserve">00 </w:t>
      </w:r>
      <w:r w:rsidRPr="001C312F">
        <w:rPr>
          <w:rFonts w:ascii="Arial_CE" w:hAnsi="Arial_CE"/>
          <w:iCs/>
          <w:color w:val="auto"/>
          <w:sz w:val="20"/>
          <w:szCs w:val="20"/>
          <w:lang w:val="cs-CZ" w:eastAsia="cs-CZ"/>
        </w:rPr>
        <w:t>000,- Kč</w:t>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t>1 000,- Kč</w:t>
      </w:r>
      <w:r w:rsidRPr="001C312F">
        <w:rPr>
          <w:rFonts w:ascii="Arial_CE" w:hAnsi="Arial_CE"/>
          <w:iCs/>
          <w:color w:val="auto"/>
          <w:sz w:val="20"/>
          <w:szCs w:val="20"/>
          <w:lang w:val="cs-CZ" w:eastAsia="cs-CZ"/>
        </w:rPr>
        <w:tab/>
        <w:t>Pojistné:</w:t>
      </w:r>
      <w:r w:rsidRPr="001C312F">
        <w:rPr>
          <w:rFonts w:ascii="Arial_CE" w:hAnsi="Arial_CE"/>
          <w:iCs/>
          <w:color w:val="auto"/>
          <w:sz w:val="20"/>
          <w:szCs w:val="20"/>
          <w:lang w:val="cs-CZ" w:eastAsia="cs-CZ"/>
        </w:rPr>
        <w:tab/>
      </w:r>
      <w:r w:rsidR="00C73EC1">
        <w:rPr>
          <w:rFonts w:ascii="Arial_CE" w:hAnsi="Arial_CE"/>
          <w:iCs/>
          <w:color w:val="auto"/>
          <w:sz w:val="20"/>
          <w:szCs w:val="20"/>
          <w:lang w:val="cs-CZ" w:eastAsia="cs-CZ"/>
        </w:rPr>
        <w:t>8 0</w:t>
      </w:r>
      <w:r w:rsidRPr="001C312F">
        <w:rPr>
          <w:rFonts w:ascii="Arial_CE" w:hAnsi="Arial_CE"/>
          <w:iCs/>
          <w:color w:val="auto"/>
          <w:sz w:val="20"/>
          <w:szCs w:val="20"/>
          <w:lang w:val="cs-CZ" w:eastAsia="cs-CZ"/>
        </w:rPr>
        <w:t>00,- Kč</w:t>
      </w: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p>
    <w:p w:rsidR="00323662" w:rsidRPr="00D81FCF" w:rsidRDefault="00323662" w:rsidP="00323662">
      <w:pPr>
        <w:widowControl/>
        <w:spacing w:before="0" w:after="0" w:line="240" w:lineRule="auto"/>
        <w:ind w:left="2880"/>
        <w:contextualSpacing w:val="0"/>
        <w:rPr>
          <w:rFonts w:ascii="Times New Roman" w:hAnsi="Times New Roman"/>
          <w:color w:val="auto"/>
          <w:sz w:val="20"/>
          <w:szCs w:val="20"/>
          <w:lang w:val="cs-CZ" w:eastAsia="cs-CZ"/>
        </w:rPr>
      </w:pPr>
      <w:r w:rsidRPr="00D81FCF">
        <w:rPr>
          <w:rFonts w:cs="Arial"/>
          <w:b/>
          <w:color w:val="auto"/>
          <w:sz w:val="20"/>
          <w:szCs w:val="20"/>
          <w:lang w:val="cs-CZ" w:eastAsia="cs-CZ"/>
        </w:rPr>
        <w:t xml:space="preserve">Celkové pojistné za pojistné nebezpečí </w:t>
      </w:r>
      <w:r>
        <w:rPr>
          <w:rFonts w:cs="Arial"/>
          <w:b/>
          <w:color w:val="auto"/>
          <w:sz w:val="20"/>
          <w:szCs w:val="20"/>
          <w:lang w:val="cs-CZ" w:eastAsia="cs-CZ"/>
        </w:rPr>
        <w:t>srážková voda</w:t>
      </w:r>
      <w:r w:rsidRPr="00D81FCF">
        <w:rPr>
          <w:rFonts w:cs="Arial"/>
          <w:b/>
          <w:color w:val="auto"/>
          <w:sz w:val="20"/>
          <w:szCs w:val="20"/>
          <w:lang w:val="cs-CZ" w:eastAsia="cs-CZ"/>
        </w:rPr>
        <w:t>:</w:t>
      </w:r>
      <w:r w:rsidRPr="00D81FCF">
        <w:rPr>
          <w:rFonts w:cs="Arial"/>
          <w:b/>
          <w:color w:val="auto"/>
          <w:sz w:val="20"/>
          <w:szCs w:val="20"/>
          <w:lang w:val="cs-CZ" w:eastAsia="cs-CZ"/>
        </w:rPr>
        <w:tab/>
      </w:r>
      <w:r>
        <w:rPr>
          <w:rFonts w:cs="Arial"/>
          <w:b/>
          <w:color w:val="auto"/>
          <w:sz w:val="20"/>
          <w:szCs w:val="20"/>
          <w:lang w:val="cs-CZ" w:eastAsia="cs-CZ"/>
        </w:rPr>
        <w:t xml:space="preserve">  </w:t>
      </w:r>
      <w:r w:rsidR="00C73EC1">
        <w:rPr>
          <w:rFonts w:cs="Arial"/>
          <w:b/>
          <w:color w:val="auto"/>
          <w:sz w:val="20"/>
          <w:szCs w:val="20"/>
          <w:lang w:val="cs-CZ" w:eastAsia="cs-CZ"/>
        </w:rPr>
        <w:t>8 0</w:t>
      </w:r>
      <w:r>
        <w:rPr>
          <w:rFonts w:cs="Arial"/>
          <w:b/>
          <w:color w:val="auto"/>
          <w:sz w:val="20"/>
          <w:szCs w:val="20"/>
          <w:lang w:val="cs-CZ" w:eastAsia="cs-CZ"/>
        </w:rPr>
        <w:t>00</w:t>
      </w:r>
      <w:r w:rsidRPr="00D81FCF">
        <w:rPr>
          <w:rFonts w:cs="Arial"/>
          <w:b/>
          <w:color w:val="auto"/>
          <w:sz w:val="20"/>
          <w:szCs w:val="20"/>
          <w:lang w:val="cs-CZ" w:eastAsia="cs-CZ"/>
        </w:rPr>
        <w:t>,- Kč</w:t>
      </w: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Cs w:val="18"/>
          <w:lang w:val="cs-CZ" w:eastAsia="cs-CZ"/>
        </w:rPr>
      </w:pPr>
    </w:p>
    <w:p w:rsidR="00323662" w:rsidRPr="00FF22DC"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FF22DC">
        <w:rPr>
          <w:rFonts w:cs="Arial"/>
          <w:b/>
          <w:bCs/>
          <w:color w:val="auto"/>
          <w:sz w:val="20"/>
          <w:lang w:val="cs-CZ" w:eastAsia="cs-CZ"/>
        </w:rPr>
        <w:t>Pojistné nebezpečí rozbití skla</w:t>
      </w:r>
    </w:p>
    <w:p w:rsidR="00323662" w:rsidRDefault="00323662" w:rsidP="00323662">
      <w:pPr>
        <w:widowControl/>
        <w:tabs>
          <w:tab w:val="left" w:pos="2835"/>
        </w:tabs>
        <w:spacing w:before="120" w:after="0" w:line="240" w:lineRule="auto"/>
        <w:contextualSpacing w:val="0"/>
        <w:rPr>
          <w:rFonts w:cs="Arial"/>
          <w:color w:val="auto"/>
          <w:sz w:val="20"/>
          <w:szCs w:val="20"/>
          <w:lang w:val="cs-CZ" w:eastAsia="cs-CZ"/>
        </w:rPr>
      </w:pPr>
      <w:r w:rsidRPr="00D81FCF">
        <w:rPr>
          <w:rFonts w:cs="Arial"/>
          <w:b/>
          <w:color w:val="auto"/>
          <w:sz w:val="20"/>
          <w:szCs w:val="20"/>
          <w:lang w:val="cs-CZ" w:eastAsia="cs-CZ"/>
        </w:rPr>
        <w:t xml:space="preserve">Pojištění skla </w:t>
      </w:r>
      <w:r w:rsidRPr="00D81FCF">
        <w:rPr>
          <w:rFonts w:cs="Arial"/>
          <w:i/>
          <w:iCs/>
          <w:color w:val="auto"/>
          <w:sz w:val="20"/>
          <w:szCs w:val="20"/>
          <w:lang w:val="cs-CZ" w:eastAsia="cs-CZ"/>
        </w:rPr>
        <w:t xml:space="preserve">– </w:t>
      </w:r>
      <w:r w:rsidRPr="00D81FCF">
        <w:rPr>
          <w:rFonts w:cs="Arial"/>
          <w:color w:val="auto"/>
          <w:sz w:val="20"/>
          <w:szCs w:val="20"/>
          <w:lang w:val="cs-CZ" w:eastAsia="cs-CZ"/>
        </w:rPr>
        <w:t>s limitem na první riziko</w:t>
      </w:r>
    </w:p>
    <w:p w:rsidR="00323662" w:rsidRDefault="00323662" w:rsidP="00323662">
      <w:pPr>
        <w:widowControl/>
        <w:autoSpaceDE w:val="0"/>
        <w:autoSpaceDN w:val="0"/>
        <w:adjustRightInd w:val="0"/>
        <w:spacing w:before="0" w:after="0" w:line="240" w:lineRule="auto"/>
        <w:contextualSpacing w:val="0"/>
        <w:rPr>
          <w:rFonts w:ascii="Arial_CE" w:hAnsi="Arial_CE"/>
          <w:iCs/>
          <w:color w:val="auto"/>
          <w:sz w:val="20"/>
          <w:szCs w:val="20"/>
          <w:lang w:val="cs-CZ" w:eastAsia="cs-CZ"/>
        </w:rPr>
      </w:pPr>
      <w:r>
        <w:rPr>
          <w:rFonts w:cs="Arial"/>
          <w:color w:val="auto"/>
          <w:sz w:val="20"/>
          <w:szCs w:val="20"/>
          <w:lang w:val="cs-CZ" w:eastAsia="cs-CZ"/>
        </w:rPr>
        <w:t>Za soubor vnitřních i vnějších skel se považuje soubor skel oken, výloh, zrcadel, světlíků, vitrín, pultů, markýz, světelných reklam a nápisů včetně jejich elektrické instalace a nosné konstrukce, vnitřních stěn, vstupních dveří a případné provizorní zasklení, ve všech případech bez ohledu na tloušťku jednotlivého skla / celého zasklení, včetně nalepených folií, nápisů a čidel elektrické zabezpečovací signalizace příp. jiné signalizace na těchto sklech, soubor sanitární keramiky, laboratorního skla, zastřešení bazénů, nášlapného/</w:t>
      </w:r>
      <w:proofErr w:type="spellStart"/>
      <w:r>
        <w:rPr>
          <w:rFonts w:cs="Arial"/>
          <w:color w:val="auto"/>
          <w:sz w:val="20"/>
          <w:szCs w:val="20"/>
          <w:lang w:val="cs-CZ" w:eastAsia="cs-CZ"/>
        </w:rPr>
        <w:t>pochozího</w:t>
      </w:r>
      <w:proofErr w:type="spellEnd"/>
      <w:r>
        <w:rPr>
          <w:rFonts w:cs="Arial"/>
          <w:color w:val="auto"/>
          <w:sz w:val="20"/>
          <w:szCs w:val="20"/>
          <w:lang w:val="cs-CZ" w:eastAsia="cs-CZ"/>
        </w:rPr>
        <w:t xml:space="preserve"> skla apod.</w:t>
      </w:r>
      <w:r w:rsidRPr="00D81FCF">
        <w:rPr>
          <w:rFonts w:ascii="Arial_CE" w:hAnsi="Arial_CE"/>
          <w:iCs/>
          <w:color w:val="auto"/>
          <w:sz w:val="20"/>
          <w:szCs w:val="20"/>
          <w:lang w:val="cs-CZ" w:eastAsia="cs-CZ"/>
        </w:rPr>
        <w:t xml:space="preserve"> </w:t>
      </w:r>
    </w:p>
    <w:p w:rsidR="00323662" w:rsidRPr="00D81FCF" w:rsidRDefault="00323662" w:rsidP="00323662">
      <w:pPr>
        <w:widowControl/>
        <w:autoSpaceDE w:val="0"/>
        <w:autoSpaceDN w:val="0"/>
        <w:adjustRightInd w:val="0"/>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ab/>
      </w:r>
      <w:r w:rsidRPr="001C312F">
        <w:rPr>
          <w:rFonts w:ascii="Arial_CE" w:hAnsi="Arial_CE"/>
          <w:iCs/>
          <w:color w:val="auto"/>
          <w:sz w:val="20"/>
          <w:szCs w:val="20"/>
          <w:lang w:val="cs-CZ" w:eastAsia="cs-CZ"/>
        </w:rPr>
        <w:t>100 000,- Kč</w:t>
      </w:r>
      <w:r w:rsidRPr="001C312F">
        <w:rPr>
          <w:rFonts w:ascii="Arial_CE" w:hAnsi="Arial_CE"/>
          <w:iCs/>
          <w:color w:val="auto"/>
          <w:sz w:val="20"/>
          <w:szCs w:val="20"/>
          <w:lang w:val="cs-CZ" w:eastAsia="cs-CZ"/>
        </w:rPr>
        <w:tab/>
      </w:r>
      <w:r w:rsidRPr="001C312F">
        <w:rPr>
          <w:rFonts w:ascii="Arial_CE" w:hAnsi="Arial_CE"/>
          <w:iCs/>
          <w:color w:val="auto"/>
          <w:sz w:val="20"/>
          <w:szCs w:val="20"/>
          <w:lang w:val="cs-CZ" w:eastAsia="cs-CZ"/>
        </w:rPr>
        <w:tab/>
        <w:t>Spoluúčast:</w:t>
      </w:r>
      <w:r w:rsidRPr="001C312F">
        <w:rPr>
          <w:rFonts w:ascii="Arial_CE" w:hAnsi="Arial_CE"/>
          <w:iCs/>
          <w:color w:val="auto"/>
          <w:sz w:val="20"/>
          <w:szCs w:val="20"/>
          <w:lang w:val="cs-CZ" w:eastAsia="cs-CZ"/>
        </w:rPr>
        <w:tab/>
      </w:r>
      <w:r>
        <w:rPr>
          <w:rFonts w:ascii="Arial_CE" w:hAnsi="Arial_CE"/>
          <w:iCs/>
          <w:color w:val="auto"/>
          <w:sz w:val="20"/>
          <w:szCs w:val="20"/>
          <w:lang w:val="cs-CZ" w:eastAsia="cs-CZ"/>
        </w:rPr>
        <w:t>1 000</w:t>
      </w:r>
      <w:r w:rsidRPr="001C312F">
        <w:rPr>
          <w:rFonts w:ascii="Arial_CE" w:hAnsi="Arial_CE"/>
          <w:iCs/>
          <w:color w:val="auto"/>
          <w:sz w:val="20"/>
          <w:szCs w:val="20"/>
          <w:lang w:val="cs-CZ" w:eastAsia="cs-CZ"/>
        </w:rPr>
        <w:t>,- Kč</w:t>
      </w:r>
      <w:r w:rsidRPr="001C312F">
        <w:rPr>
          <w:rFonts w:ascii="Arial_CE" w:hAnsi="Arial_CE"/>
          <w:iCs/>
          <w:color w:val="auto"/>
          <w:sz w:val="20"/>
          <w:szCs w:val="20"/>
          <w:lang w:val="cs-CZ" w:eastAsia="cs-CZ"/>
        </w:rPr>
        <w:tab/>
        <w:t xml:space="preserve">Pojistné:            </w:t>
      </w:r>
      <w:r>
        <w:rPr>
          <w:rFonts w:ascii="Arial_CE" w:hAnsi="Arial_CE"/>
          <w:iCs/>
          <w:color w:val="auto"/>
          <w:sz w:val="20"/>
          <w:szCs w:val="20"/>
          <w:lang w:val="cs-CZ" w:eastAsia="cs-CZ"/>
        </w:rPr>
        <w:t>1</w:t>
      </w:r>
      <w:r w:rsidRPr="001C312F">
        <w:rPr>
          <w:rFonts w:ascii="Arial_CE" w:hAnsi="Arial_CE"/>
          <w:iCs/>
          <w:color w:val="auto"/>
          <w:sz w:val="20"/>
          <w:szCs w:val="20"/>
          <w:lang w:val="cs-CZ" w:eastAsia="cs-CZ"/>
        </w:rPr>
        <w:t xml:space="preserve"> </w:t>
      </w:r>
      <w:r w:rsidR="003076AC">
        <w:rPr>
          <w:rFonts w:ascii="Arial_CE" w:hAnsi="Arial_CE"/>
          <w:iCs/>
          <w:color w:val="auto"/>
          <w:sz w:val="20"/>
          <w:szCs w:val="20"/>
          <w:lang w:val="cs-CZ" w:eastAsia="cs-CZ"/>
        </w:rPr>
        <w:t>6</w:t>
      </w:r>
      <w:r w:rsidRPr="001C312F">
        <w:rPr>
          <w:rFonts w:ascii="Arial_CE" w:hAnsi="Arial_CE"/>
          <w:iCs/>
          <w:color w:val="auto"/>
          <w:sz w:val="20"/>
          <w:szCs w:val="20"/>
          <w:lang w:val="cs-CZ" w:eastAsia="cs-CZ"/>
        </w:rPr>
        <w:t>00,- Kč</w:t>
      </w:r>
    </w:p>
    <w:p w:rsidR="00C9376C" w:rsidRDefault="00C9376C"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12"/>
          <w:szCs w:val="12"/>
          <w:lang w:val="cs-CZ" w:eastAsia="cs-CZ"/>
        </w:rPr>
      </w:pPr>
    </w:p>
    <w:p w:rsidR="00323662" w:rsidRPr="00D81FCF" w:rsidRDefault="00323662" w:rsidP="00323662">
      <w:pPr>
        <w:widowControl/>
        <w:tabs>
          <w:tab w:val="right" w:pos="3261"/>
          <w:tab w:val="right" w:pos="5103"/>
          <w:tab w:val="right" w:pos="6521"/>
          <w:tab w:val="right" w:pos="8222"/>
          <w:tab w:val="right" w:pos="9639"/>
        </w:tabs>
        <w:spacing w:before="0" w:after="0" w:line="240" w:lineRule="auto"/>
        <w:contextualSpacing w:val="0"/>
        <w:rPr>
          <w:rFonts w:cs="Arial"/>
          <w:color w:val="auto"/>
          <w:sz w:val="20"/>
          <w:szCs w:val="20"/>
          <w:lang w:val="cs-CZ" w:eastAsia="cs-CZ"/>
        </w:rPr>
      </w:pPr>
      <w:r w:rsidRPr="00D81FCF">
        <w:rPr>
          <w:rFonts w:cs="Arial"/>
          <w:color w:val="auto"/>
          <w:sz w:val="20"/>
          <w:szCs w:val="20"/>
          <w:lang w:val="cs-CZ" w:eastAsia="cs-CZ"/>
        </w:rPr>
        <w:t xml:space="preserve">Náklady </w:t>
      </w:r>
      <w:r w:rsidRPr="00D81FCF">
        <w:rPr>
          <w:rFonts w:cs="Arial"/>
          <w:b/>
          <w:bCs/>
          <w:color w:val="000000"/>
          <w:sz w:val="20"/>
          <w:szCs w:val="20"/>
          <w:lang w:val="cs-CZ" w:eastAsia="cs-CZ"/>
        </w:rPr>
        <w:t>na speciální povrchovou úpravu skla, náklady na lešení, náklady na demontáž a montáž stavebních součástí, náklady na provizorní opravu rozbitého skla,</w:t>
      </w:r>
      <w:r w:rsidRPr="00D81FCF">
        <w:rPr>
          <w:rFonts w:cs="Arial"/>
          <w:color w:val="auto"/>
          <w:sz w:val="20"/>
          <w:szCs w:val="20"/>
          <w:lang w:val="cs-CZ" w:eastAsia="cs-CZ"/>
        </w:rPr>
        <w:t xml:space="preserve"> všechny tyto náklady vynaložené v důsledku pojistné události </w:t>
      </w:r>
      <w:r w:rsidRPr="00D81FCF">
        <w:rPr>
          <w:rFonts w:cs="Arial"/>
          <w:i/>
          <w:iCs/>
          <w:color w:val="auto"/>
          <w:sz w:val="20"/>
          <w:szCs w:val="20"/>
          <w:lang w:val="cs-CZ" w:eastAsia="cs-CZ"/>
        </w:rPr>
        <w:t xml:space="preserve">– </w:t>
      </w:r>
      <w:r w:rsidRPr="00D81FCF">
        <w:rPr>
          <w:rFonts w:cs="Arial"/>
          <w:color w:val="auto"/>
          <w:sz w:val="20"/>
          <w:szCs w:val="20"/>
          <w:lang w:val="cs-CZ" w:eastAsia="cs-CZ"/>
        </w:rPr>
        <w:t>s limitem na první riziko</w:t>
      </w:r>
    </w:p>
    <w:p w:rsidR="00323662" w:rsidRDefault="00323662" w:rsidP="00323662">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20"/>
          <w:szCs w:val="20"/>
          <w:lang w:val="cs-CZ" w:eastAsia="cs-CZ"/>
        </w:rPr>
      </w:pPr>
      <w:r w:rsidRPr="00D81FCF">
        <w:rPr>
          <w:rFonts w:ascii="Arial_CE" w:hAnsi="Arial_CE"/>
          <w:iCs/>
          <w:color w:val="auto"/>
          <w:sz w:val="20"/>
          <w:szCs w:val="20"/>
          <w:lang w:val="cs-CZ" w:eastAsia="cs-CZ"/>
        </w:rPr>
        <w:t>Pojistná částka:</w:t>
      </w:r>
      <w:r w:rsidRPr="00D81FCF">
        <w:rPr>
          <w:rFonts w:ascii="Arial_CE" w:hAnsi="Arial_CE"/>
          <w:iCs/>
          <w:color w:val="auto"/>
          <w:sz w:val="20"/>
          <w:szCs w:val="20"/>
          <w:lang w:val="cs-CZ" w:eastAsia="cs-CZ"/>
        </w:rPr>
        <w:tab/>
      </w:r>
      <w:r>
        <w:rPr>
          <w:rFonts w:ascii="Arial_CE" w:hAnsi="Arial_CE"/>
          <w:iCs/>
          <w:color w:val="auto"/>
          <w:sz w:val="20"/>
          <w:szCs w:val="20"/>
          <w:lang w:val="cs-CZ" w:eastAsia="cs-CZ"/>
        </w:rPr>
        <w:t>10</w:t>
      </w:r>
      <w:r w:rsidRPr="00D81FCF">
        <w:rPr>
          <w:rFonts w:ascii="Arial_CE" w:hAnsi="Arial_CE"/>
          <w:iCs/>
          <w:color w:val="auto"/>
          <w:sz w:val="20"/>
          <w:szCs w:val="20"/>
          <w:lang w:val="cs-CZ" w:eastAsia="cs-CZ"/>
        </w:rPr>
        <w:t>0 000,- Kč</w:t>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r>
      <w:r w:rsidRPr="00D81FCF">
        <w:rPr>
          <w:rFonts w:ascii="Arial_CE" w:hAnsi="Arial_CE"/>
          <w:iCs/>
          <w:color w:val="auto"/>
          <w:sz w:val="20"/>
          <w:szCs w:val="20"/>
          <w:lang w:val="cs-CZ" w:eastAsia="cs-CZ"/>
        </w:rPr>
        <w:tab/>
        <w:t>Pojistné:</w:t>
      </w:r>
      <w:r w:rsidRPr="00D81FCF">
        <w:rPr>
          <w:rFonts w:ascii="Arial_CE" w:hAnsi="Arial_CE"/>
          <w:iCs/>
          <w:color w:val="auto"/>
          <w:sz w:val="20"/>
          <w:szCs w:val="20"/>
          <w:lang w:val="cs-CZ" w:eastAsia="cs-CZ"/>
        </w:rPr>
        <w:tab/>
        <w:t>0,- Kč</w:t>
      </w:r>
    </w:p>
    <w:p w:rsidR="00323662" w:rsidRPr="00C9376C" w:rsidRDefault="00323662" w:rsidP="00C9376C">
      <w:pPr>
        <w:widowControl/>
        <w:tabs>
          <w:tab w:val="right" w:pos="3261"/>
          <w:tab w:val="right" w:pos="5103"/>
          <w:tab w:val="right" w:pos="6521"/>
          <w:tab w:val="right" w:pos="8222"/>
          <w:tab w:val="right" w:pos="9639"/>
        </w:tabs>
        <w:spacing w:before="0" w:after="0" w:line="240" w:lineRule="auto"/>
        <w:contextualSpacing w:val="0"/>
        <w:rPr>
          <w:rFonts w:ascii="Arial_CE" w:hAnsi="Arial_CE"/>
          <w:iCs/>
          <w:color w:val="auto"/>
          <w:sz w:val="12"/>
          <w:szCs w:val="12"/>
          <w:lang w:val="cs-CZ" w:eastAsia="cs-CZ"/>
        </w:rPr>
      </w:pP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r w:rsidRPr="00C9376C">
        <w:rPr>
          <w:rFonts w:ascii="Arial_CE" w:hAnsi="Arial_CE"/>
          <w:iCs/>
          <w:color w:val="auto"/>
          <w:sz w:val="12"/>
          <w:szCs w:val="12"/>
          <w:lang w:val="cs-CZ" w:eastAsia="cs-CZ"/>
        </w:rPr>
        <w:softHyphen/>
      </w:r>
    </w:p>
    <w:p w:rsidR="00323662" w:rsidRPr="00D81FCF" w:rsidRDefault="00323662" w:rsidP="00323662">
      <w:pPr>
        <w:keepNext/>
        <w:widowControl/>
        <w:tabs>
          <w:tab w:val="right" w:pos="8222"/>
          <w:tab w:val="right" w:pos="9639"/>
        </w:tabs>
        <w:spacing w:before="0" w:after="0" w:line="240" w:lineRule="auto"/>
        <w:contextualSpacing w:val="0"/>
        <w:outlineLvl w:val="3"/>
        <w:rPr>
          <w:rFonts w:cs="Arial"/>
          <w:b/>
          <w:color w:val="auto"/>
          <w:sz w:val="20"/>
          <w:szCs w:val="20"/>
          <w:lang w:val="cs-CZ" w:eastAsia="cs-CZ"/>
        </w:rPr>
      </w:pPr>
      <w:r w:rsidRPr="00D81FCF">
        <w:rPr>
          <w:rFonts w:cs="Arial"/>
          <w:b/>
          <w:color w:val="auto"/>
          <w:sz w:val="20"/>
          <w:szCs w:val="20"/>
          <w:lang w:val="cs-CZ" w:eastAsia="cs-CZ"/>
        </w:rPr>
        <w:tab/>
        <w:t>Celkové pojistné za pojistné nebezpečí rozbití skla:</w:t>
      </w:r>
      <w:r w:rsidRPr="00D81FCF">
        <w:rPr>
          <w:rFonts w:cs="Arial"/>
          <w:b/>
          <w:color w:val="auto"/>
          <w:sz w:val="20"/>
          <w:szCs w:val="20"/>
          <w:lang w:val="cs-CZ" w:eastAsia="cs-CZ"/>
        </w:rPr>
        <w:tab/>
      </w:r>
      <w:r>
        <w:rPr>
          <w:rFonts w:cs="Arial"/>
          <w:b/>
          <w:color w:val="auto"/>
          <w:sz w:val="20"/>
          <w:szCs w:val="20"/>
          <w:lang w:val="cs-CZ" w:eastAsia="cs-CZ"/>
        </w:rPr>
        <w:t xml:space="preserve">1 </w:t>
      </w:r>
      <w:r w:rsidR="003076AC">
        <w:rPr>
          <w:rFonts w:cs="Arial"/>
          <w:b/>
          <w:color w:val="auto"/>
          <w:sz w:val="20"/>
          <w:szCs w:val="20"/>
          <w:lang w:val="cs-CZ" w:eastAsia="cs-CZ"/>
        </w:rPr>
        <w:t>6</w:t>
      </w:r>
      <w:r>
        <w:rPr>
          <w:rFonts w:cs="Arial"/>
          <w:b/>
          <w:color w:val="auto"/>
          <w:sz w:val="20"/>
          <w:szCs w:val="20"/>
          <w:lang w:val="cs-CZ" w:eastAsia="cs-CZ"/>
        </w:rPr>
        <w:t>00</w:t>
      </w:r>
      <w:r w:rsidRPr="00D81FCF">
        <w:rPr>
          <w:rFonts w:cs="Arial"/>
          <w:b/>
          <w:color w:val="auto"/>
          <w:sz w:val="20"/>
          <w:szCs w:val="20"/>
          <w:lang w:val="cs-CZ" w:eastAsia="cs-CZ"/>
        </w:rPr>
        <w:t>,- Kč</w:t>
      </w:r>
    </w:p>
    <w:p w:rsidR="00323662" w:rsidRPr="00C9376C" w:rsidRDefault="00323662"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b/>
          <w:color w:val="auto"/>
          <w:sz w:val="2"/>
          <w:szCs w:val="2"/>
          <w:lang w:val="cs-CZ" w:eastAsia="cs-CZ"/>
        </w:rPr>
      </w:pPr>
    </w:p>
    <w:p w:rsidR="00323662" w:rsidRPr="00FF22DC"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FF22DC">
        <w:rPr>
          <w:rFonts w:cs="Arial"/>
          <w:b/>
          <w:bCs/>
          <w:color w:val="auto"/>
          <w:sz w:val="20"/>
          <w:lang w:val="cs-CZ" w:eastAsia="cs-CZ"/>
        </w:rPr>
        <w:lastRenderedPageBreak/>
        <w:t>Pojištění elektroniky</w:t>
      </w:r>
      <w:r w:rsidR="009C30B9">
        <w:rPr>
          <w:rFonts w:cs="Arial"/>
          <w:b/>
          <w:bCs/>
          <w:color w:val="auto"/>
          <w:sz w:val="20"/>
          <w:lang w:val="cs-CZ" w:eastAsia="cs-CZ"/>
        </w:rPr>
        <w:t xml:space="preserve"> a strojních zařízení</w:t>
      </w:r>
    </w:p>
    <w:p w:rsidR="00323662" w:rsidRPr="00D81FCF"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1D0566">
        <w:rPr>
          <w:rFonts w:cs="Arial"/>
          <w:b/>
          <w:bCs/>
          <w:color w:val="auto"/>
          <w:sz w:val="20"/>
          <w:lang w:val="cs-CZ" w:eastAsia="cs-CZ"/>
        </w:rPr>
        <w:t xml:space="preserve">v rozsahu </w:t>
      </w:r>
      <w:r w:rsidRPr="00FC5671">
        <w:rPr>
          <w:b/>
          <w:sz w:val="20"/>
        </w:rPr>
        <w:t xml:space="preserve">VPP M 2014/01, ZPP E 2014/01, </w:t>
      </w:r>
      <w:r w:rsidR="009C30B9">
        <w:rPr>
          <w:b/>
          <w:sz w:val="20"/>
        </w:rPr>
        <w:t>ZPP S 2014/0</w:t>
      </w:r>
      <w:r w:rsidR="001C46C7">
        <w:rPr>
          <w:b/>
          <w:sz w:val="20"/>
        </w:rPr>
        <w:t>1</w:t>
      </w:r>
      <w:r w:rsidR="009C30B9">
        <w:rPr>
          <w:b/>
          <w:sz w:val="20"/>
        </w:rPr>
        <w:t xml:space="preserve">, </w:t>
      </w:r>
      <w:r>
        <w:rPr>
          <w:rFonts w:cs="Arial"/>
          <w:b/>
          <w:bCs/>
          <w:sz w:val="20"/>
        </w:rPr>
        <w:t>DOLOŽKA 1061-2014</w:t>
      </w:r>
      <w:r w:rsidRPr="00A51F84">
        <w:rPr>
          <w:rFonts w:cs="Arial"/>
          <w:b/>
          <w:bCs/>
          <w:sz w:val="20"/>
        </w:rPr>
        <w:t xml:space="preserve"> Připojištění dopravních rizik (</w:t>
      </w:r>
      <w:r>
        <w:rPr>
          <w:rFonts w:cs="Arial"/>
          <w:b/>
          <w:bCs/>
          <w:sz w:val="20"/>
        </w:rPr>
        <w:t>ČR</w:t>
      </w:r>
      <w:r w:rsidRPr="00A51F84">
        <w:rPr>
          <w:rFonts w:cs="Arial"/>
          <w:b/>
          <w:bCs/>
          <w:sz w:val="20"/>
        </w:rPr>
        <w:t>)</w:t>
      </w:r>
      <w:r>
        <w:rPr>
          <w:b/>
          <w:sz w:val="20"/>
        </w:rPr>
        <w:t xml:space="preserve"> </w:t>
      </w:r>
    </w:p>
    <w:p w:rsidR="00323662" w:rsidRPr="00C3375C" w:rsidRDefault="00323662" w:rsidP="00323662">
      <w:pPr>
        <w:widowControl/>
        <w:spacing w:before="0" w:after="0" w:line="240" w:lineRule="auto"/>
        <w:contextualSpacing w:val="0"/>
        <w:rPr>
          <w:rFonts w:ascii="Times New Roman" w:hAnsi="Times New Roman"/>
          <w:color w:val="auto"/>
          <w:sz w:val="10"/>
          <w:szCs w:val="10"/>
          <w:lang w:val="cs-CZ" w:eastAsia="cs-CZ"/>
        </w:rPr>
      </w:pPr>
    </w:p>
    <w:p w:rsidR="00323662" w:rsidRDefault="00323662" w:rsidP="00323662">
      <w:pPr>
        <w:widowControl/>
        <w:spacing w:before="0" w:after="0" w:line="240" w:lineRule="auto"/>
        <w:contextualSpacing w:val="0"/>
        <w:rPr>
          <w:rFonts w:cs="Arial"/>
          <w:color w:val="auto"/>
          <w:sz w:val="20"/>
          <w:szCs w:val="20"/>
          <w:lang w:val="cs-CZ" w:eastAsia="cs-CZ"/>
        </w:rPr>
      </w:pPr>
      <w:r w:rsidRPr="001D0566">
        <w:rPr>
          <w:rFonts w:cs="Arial"/>
          <w:color w:val="auto"/>
          <w:sz w:val="20"/>
          <w:szCs w:val="20"/>
          <w:lang w:val="cs-CZ" w:eastAsia="cs-CZ"/>
        </w:rPr>
        <w:t>Pojištění se sjednává na první riziko.</w:t>
      </w:r>
    </w:p>
    <w:p w:rsidR="00323662"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Cs w:val="18"/>
          <w:lang w:val="cs-CZ" w:eastAsia="cs-CZ"/>
        </w:rPr>
      </w:pPr>
      <w:r w:rsidRPr="003540D8">
        <w:rPr>
          <w:rFonts w:ascii="Arial_CE" w:hAnsi="Arial_CE"/>
          <w:iCs/>
          <w:color w:val="auto"/>
          <w:szCs w:val="18"/>
          <w:lang w:val="cs-CZ" w:eastAsia="cs-CZ"/>
        </w:rPr>
        <w:t>Ujednává se, že pro</w:t>
      </w:r>
      <w:r w:rsidR="001C46C7">
        <w:rPr>
          <w:rFonts w:ascii="Arial_CE" w:hAnsi="Arial_CE"/>
          <w:iCs/>
          <w:color w:val="auto"/>
          <w:szCs w:val="18"/>
          <w:lang w:val="cs-CZ" w:eastAsia="cs-CZ"/>
        </w:rPr>
        <w:t xml:space="preserve"> všechna</w:t>
      </w:r>
      <w:r w:rsidRPr="003540D8">
        <w:rPr>
          <w:rFonts w:ascii="Arial_CE" w:hAnsi="Arial_CE"/>
          <w:iCs/>
          <w:color w:val="auto"/>
          <w:szCs w:val="18"/>
          <w:lang w:val="cs-CZ" w:eastAsia="cs-CZ"/>
        </w:rPr>
        <w:t xml:space="preserve"> pojištěná zařízení</w:t>
      </w:r>
      <w:r w:rsidR="001C46C7">
        <w:rPr>
          <w:rFonts w:ascii="Arial_CE" w:hAnsi="Arial_CE"/>
          <w:iCs/>
          <w:color w:val="auto"/>
          <w:szCs w:val="18"/>
          <w:lang w:val="cs-CZ" w:eastAsia="cs-CZ"/>
        </w:rPr>
        <w:t xml:space="preserve"> </w:t>
      </w:r>
      <w:r w:rsidRPr="003540D8">
        <w:rPr>
          <w:rFonts w:ascii="Arial_CE" w:hAnsi="Arial_CE"/>
          <w:iCs/>
          <w:color w:val="auto"/>
          <w:szCs w:val="18"/>
          <w:lang w:val="cs-CZ" w:eastAsia="cs-CZ"/>
        </w:rPr>
        <w:t>bude pojistné plnění poskytnuto v nových cenách, bez odpočtu opotřebení</w:t>
      </w:r>
      <w:r w:rsidR="0073422C">
        <w:rPr>
          <w:rFonts w:ascii="Arial_CE" w:hAnsi="Arial_CE"/>
          <w:iCs/>
          <w:color w:val="auto"/>
          <w:szCs w:val="18"/>
          <w:lang w:val="cs-CZ" w:eastAsia="cs-CZ"/>
        </w:rPr>
        <w:t>.</w:t>
      </w:r>
    </w:p>
    <w:p w:rsidR="00B134ED" w:rsidRDefault="00323662" w:rsidP="00323662">
      <w:pPr>
        <w:keepNext/>
        <w:widowControl/>
        <w:tabs>
          <w:tab w:val="right" w:pos="8222"/>
          <w:tab w:val="right" w:pos="9639"/>
        </w:tabs>
        <w:spacing w:before="0" w:after="0" w:line="240" w:lineRule="auto"/>
        <w:contextualSpacing w:val="0"/>
        <w:outlineLvl w:val="3"/>
        <w:rPr>
          <w:rFonts w:ascii="Arial_CE" w:hAnsi="Arial_CE"/>
          <w:iCs/>
          <w:color w:val="auto"/>
          <w:szCs w:val="18"/>
          <w:lang w:val="cs-CZ" w:eastAsia="cs-CZ"/>
        </w:rPr>
      </w:pPr>
      <w:r>
        <w:rPr>
          <w:rFonts w:ascii="Arial_CE" w:hAnsi="Arial_CE"/>
          <w:iCs/>
          <w:color w:val="auto"/>
          <w:szCs w:val="18"/>
          <w:lang w:val="cs-CZ" w:eastAsia="cs-CZ"/>
        </w:rPr>
        <w:t xml:space="preserve">Ruší se výluka v Oddílu I. ZPP E 2014/01, Čl. 4, </w:t>
      </w:r>
      <w:proofErr w:type="gramStart"/>
      <w:r>
        <w:rPr>
          <w:rFonts w:ascii="Arial_CE" w:hAnsi="Arial_CE"/>
          <w:iCs/>
          <w:color w:val="auto"/>
          <w:szCs w:val="18"/>
          <w:lang w:val="cs-CZ" w:eastAsia="cs-CZ"/>
        </w:rPr>
        <w:t>odst. 1.f), tzn.</w:t>
      </w:r>
      <w:proofErr w:type="gramEnd"/>
      <w:r>
        <w:rPr>
          <w:rFonts w:ascii="Arial_CE" w:hAnsi="Arial_CE"/>
          <w:iCs/>
          <w:color w:val="auto"/>
          <w:szCs w:val="18"/>
          <w:lang w:val="cs-CZ" w:eastAsia="cs-CZ"/>
        </w:rPr>
        <w:t xml:space="preserve"> součástí pojistného krytí jsou i škody na skleněných součástech, trubicích (elektronkách, obrazovkách, laserových trubicích), lékařských sondách</w:t>
      </w:r>
      <w:r w:rsidR="00B134ED">
        <w:rPr>
          <w:rFonts w:ascii="Arial_CE" w:hAnsi="Arial_CE"/>
          <w:iCs/>
          <w:color w:val="auto"/>
          <w:szCs w:val="18"/>
          <w:lang w:val="cs-CZ" w:eastAsia="cs-CZ"/>
        </w:rPr>
        <w:t>.</w:t>
      </w:r>
    </w:p>
    <w:p w:rsidR="00323662" w:rsidRDefault="00B134ED" w:rsidP="00323662">
      <w:pPr>
        <w:keepNext/>
        <w:widowControl/>
        <w:tabs>
          <w:tab w:val="right" w:pos="8222"/>
          <w:tab w:val="right" w:pos="9639"/>
        </w:tabs>
        <w:spacing w:before="0" w:after="0" w:line="240" w:lineRule="auto"/>
        <w:contextualSpacing w:val="0"/>
        <w:outlineLvl w:val="3"/>
        <w:rPr>
          <w:rFonts w:ascii="Arial_CE" w:hAnsi="Arial_CE"/>
          <w:iCs/>
          <w:color w:val="auto"/>
          <w:szCs w:val="18"/>
          <w:lang w:val="cs-CZ" w:eastAsia="cs-CZ"/>
        </w:rPr>
      </w:pPr>
      <w:r>
        <w:rPr>
          <w:rFonts w:ascii="Arial_CE" w:hAnsi="Arial_CE"/>
          <w:iCs/>
          <w:color w:val="auto"/>
          <w:szCs w:val="18"/>
          <w:lang w:val="cs-CZ" w:eastAsia="cs-CZ"/>
        </w:rPr>
        <w:t>Odchylně od Oddílu I. ZPP S 2014/0</w:t>
      </w:r>
      <w:r w:rsidR="001C46C7">
        <w:rPr>
          <w:rFonts w:ascii="Arial_CE" w:hAnsi="Arial_CE"/>
          <w:iCs/>
          <w:color w:val="auto"/>
          <w:szCs w:val="18"/>
          <w:lang w:val="cs-CZ" w:eastAsia="cs-CZ"/>
        </w:rPr>
        <w:t>1</w:t>
      </w:r>
      <w:r>
        <w:rPr>
          <w:rFonts w:ascii="Arial_CE" w:hAnsi="Arial_CE"/>
          <w:iCs/>
          <w:color w:val="auto"/>
          <w:szCs w:val="18"/>
          <w:lang w:val="cs-CZ" w:eastAsia="cs-CZ"/>
        </w:rPr>
        <w:t xml:space="preserve">, Čl. 4, odst. 1 b) se pojištění vztahuje i na předměty ze skla, i když nedošlo současně k poškození či zničení pojištěné věci. </w:t>
      </w:r>
    </w:p>
    <w:p w:rsidR="00323662" w:rsidRPr="00FF22DC" w:rsidRDefault="00323662" w:rsidP="00323662">
      <w:pPr>
        <w:autoSpaceDE w:val="0"/>
        <w:autoSpaceDN w:val="0"/>
        <w:adjustRightInd w:val="0"/>
        <w:spacing w:before="0" w:after="0" w:line="180" w:lineRule="atLeast"/>
        <w:contextualSpacing w:val="0"/>
        <w:rPr>
          <w:b/>
          <w:color w:val="auto"/>
          <w:sz w:val="16"/>
          <w:szCs w:val="16"/>
          <w:lang w:val="cs-CZ" w:eastAsia="cs-CZ"/>
        </w:rPr>
      </w:pPr>
    </w:p>
    <w:tbl>
      <w:tblPr>
        <w:tblStyle w:val="Mkatabulky2"/>
        <w:tblW w:w="10278"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39"/>
        <w:gridCol w:w="2423"/>
        <w:gridCol w:w="2410"/>
        <w:gridCol w:w="1242"/>
        <w:gridCol w:w="66"/>
        <w:gridCol w:w="926"/>
        <w:gridCol w:w="72"/>
      </w:tblGrid>
      <w:tr w:rsidR="00323662" w:rsidRPr="00CC5695" w:rsidTr="009C30B9">
        <w:trPr>
          <w:trHeight w:val="442"/>
        </w:trPr>
        <w:tc>
          <w:tcPr>
            <w:tcW w:w="3139" w:type="dxa"/>
            <w:tcBorders>
              <w:top w:val="single" w:sz="12" w:space="0" w:color="C21B17"/>
              <w:bottom w:val="nil"/>
            </w:tcBorders>
            <w:shd w:val="clear" w:color="auto" w:fill="auto"/>
            <w:vAlign w:val="center"/>
          </w:tcPr>
          <w:p w:rsidR="00323662" w:rsidRPr="00E758FE" w:rsidRDefault="00323662" w:rsidP="00111A29">
            <w:pPr>
              <w:rPr>
                <w:rFonts w:cs="Arial"/>
                <w:b/>
                <w:color w:val="C21B17"/>
                <w:szCs w:val="18"/>
                <w:lang w:val="cs-CZ"/>
              </w:rPr>
            </w:pPr>
            <w:r>
              <w:rPr>
                <w:rFonts w:cs="Arial"/>
                <w:b/>
                <w:color w:val="C21B17"/>
                <w:szCs w:val="18"/>
                <w:lang w:val="cs-CZ"/>
              </w:rPr>
              <w:t xml:space="preserve">Název předmětu pojištění </w:t>
            </w:r>
            <w:r w:rsidRPr="006623BD">
              <w:rPr>
                <w:rFonts w:cs="Arial"/>
                <w:b/>
                <w:color w:val="C21B17"/>
                <w:szCs w:val="18"/>
                <w:lang w:val="cs-CZ"/>
              </w:rPr>
              <w:t>vč. výrobního čísla a rok výroby:</w:t>
            </w:r>
          </w:p>
        </w:tc>
        <w:tc>
          <w:tcPr>
            <w:tcW w:w="2423" w:type="dxa"/>
            <w:tcBorders>
              <w:top w:val="single" w:sz="12" w:space="0" w:color="C21B17"/>
              <w:bottom w:val="nil"/>
            </w:tcBorders>
            <w:shd w:val="clear" w:color="auto" w:fill="auto"/>
            <w:vAlign w:val="center"/>
          </w:tcPr>
          <w:p w:rsidR="00323662" w:rsidRPr="00CC5695" w:rsidRDefault="00323662" w:rsidP="00111A29">
            <w:pPr>
              <w:rPr>
                <w:rFonts w:cs="Arial"/>
                <w:b/>
                <w:szCs w:val="18"/>
              </w:rPr>
            </w:pPr>
            <w:r>
              <w:rPr>
                <w:rFonts w:cs="Arial"/>
                <w:b/>
                <w:color w:val="C21B17"/>
                <w:szCs w:val="18"/>
              </w:rPr>
              <w:t>Místo pojištění</w:t>
            </w:r>
          </w:p>
        </w:tc>
        <w:tc>
          <w:tcPr>
            <w:tcW w:w="2410" w:type="dxa"/>
            <w:tcBorders>
              <w:top w:val="single" w:sz="12" w:space="0" w:color="C21B17"/>
              <w:bottom w:val="nil"/>
            </w:tcBorders>
            <w:shd w:val="clear" w:color="auto" w:fill="auto"/>
            <w:vAlign w:val="center"/>
          </w:tcPr>
          <w:p w:rsidR="00323662" w:rsidRDefault="00323662" w:rsidP="00111A29">
            <w:pPr>
              <w:rPr>
                <w:rFonts w:cs="Arial"/>
                <w:b/>
                <w:color w:val="C21B17"/>
                <w:szCs w:val="18"/>
              </w:rPr>
            </w:pPr>
            <w:r>
              <w:rPr>
                <w:rFonts w:cs="Arial"/>
                <w:b/>
                <w:color w:val="C21B17"/>
                <w:szCs w:val="18"/>
              </w:rPr>
              <w:t>Pojistná částka</w:t>
            </w:r>
          </w:p>
          <w:p w:rsidR="00323662" w:rsidRPr="00CC5695" w:rsidRDefault="00323662" w:rsidP="00111A29">
            <w:pPr>
              <w:rPr>
                <w:rFonts w:cs="Arial"/>
                <w:szCs w:val="18"/>
                <w:lang w:val="en-US"/>
              </w:rPr>
            </w:pPr>
            <w:r>
              <w:rPr>
                <w:rFonts w:cs="Arial"/>
                <w:b/>
                <w:color w:val="C21B17"/>
                <w:szCs w:val="18"/>
              </w:rPr>
              <w:t>Spoluúčast</w:t>
            </w:r>
          </w:p>
        </w:tc>
        <w:tc>
          <w:tcPr>
            <w:tcW w:w="2306" w:type="dxa"/>
            <w:gridSpan w:val="4"/>
            <w:tcBorders>
              <w:top w:val="single" w:sz="12" w:space="0" w:color="C21B17"/>
              <w:bottom w:val="nil"/>
            </w:tcBorders>
            <w:shd w:val="clear" w:color="auto" w:fill="auto"/>
            <w:vAlign w:val="center"/>
          </w:tcPr>
          <w:p w:rsidR="00323662" w:rsidRPr="00CC5695" w:rsidRDefault="00323662" w:rsidP="00111A29">
            <w:pPr>
              <w:rPr>
                <w:rFonts w:cs="Arial"/>
                <w:szCs w:val="18"/>
              </w:rPr>
            </w:pPr>
            <w:r>
              <w:rPr>
                <w:rFonts w:cs="Arial"/>
                <w:b/>
                <w:color w:val="C21B17"/>
                <w:szCs w:val="18"/>
              </w:rPr>
              <w:t>Roční pojistné</w:t>
            </w:r>
          </w:p>
        </w:tc>
      </w:tr>
      <w:tr w:rsidR="00323662" w:rsidRPr="00CC5695" w:rsidTr="009C30B9">
        <w:trPr>
          <w:trHeight w:val="132"/>
        </w:trPr>
        <w:tc>
          <w:tcPr>
            <w:tcW w:w="3139" w:type="dxa"/>
            <w:tcBorders>
              <w:top w:val="nil"/>
              <w:bottom w:val="single" w:sz="4" w:space="0" w:color="auto"/>
            </w:tcBorders>
            <w:shd w:val="clear" w:color="auto" w:fill="auto"/>
            <w:vAlign w:val="center"/>
          </w:tcPr>
          <w:p w:rsidR="00323662" w:rsidRDefault="00323662" w:rsidP="00111A29">
            <w:pPr>
              <w:rPr>
                <w:rFonts w:cs="Arial"/>
                <w:szCs w:val="18"/>
              </w:rPr>
            </w:pPr>
          </w:p>
          <w:p w:rsidR="00323662" w:rsidRPr="00E37C12" w:rsidRDefault="00323662" w:rsidP="00111A29">
            <w:pPr>
              <w:rPr>
                <w:rFonts w:cs="Arial"/>
                <w:sz w:val="20"/>
                <w:szCs w:val="20"/>
              </w:rPr>
            </w:pPr>
            <w:r w:rsidRPr="00E37C12">
              <w:rPr>
                <w:rFonts w:cs="Arial"/>
                <w:sz w:val="20"/>
                <w:szCs w:val="20"/>
              </w:rPr>
              <w:t xml:space="preserve">Soubor vlastních a cizích stacionárních a přenosných (mobilnich) elektronických zařízení </w:t>
            </w:r>
            <w:r w:rsidR="009C30B9">
              <w:rPr>
                <w:rFonts w:cs="Arial"/>
                <w:sz w:val="20"/>
                <w:szCs w:val="20"/>
              </w:rPr>
              <w:t>a přístrojů vč. příslušenství, stacionárních a mobilní</w:t>
            </w:r>
            <w:r w:rsidR="00B06989">
              <w:rPr>
                <w:rFonts w:cs="Arial"/>
                <w:sz w:val="20"/>
                <w:szCs w:val="20"/>
              </w:rPr>
              <w:t>c</w:t>
            </w:r>
            <w:r w:rsidR="009C30B9">
              <w:rPr>
                <w:rFonts w:cs="Arial"/>
                <w:sz w:val="20"/>
                <w:szCs w:val="20"/>
              </w:rPr>
              <w:t>h strojů a strojních zařízení vč. příslušenství, laboratorní přístroje</w:t>
            </w:r>
            <w:r w:rsidRPr="00E37C12">
              <w:rPr>
                <w:rFonts w:cs="Arial"/>
                <w:sz w:val="20"/>
                <w:szCs w:val="20"/>
              </w:rPr>
              <w:t>, zařízení pro radiové spojení umístěné na střeše – na první riziko</w:t>
            </w:r>
          </w:p>
          <w:p w:rsidR="00323662" w:rsidRPr="00E37C12" w:rsidRDefault="000F1D89" w:rsidP="00111A29">
            <w:pPr>
              <w:rPr>
                <w:rFonts w:cs="Arial"/>
                <w:szCs w:val="18"/>
              </w:rPr>
            </w:pPr>
            <w:r>
              <w:rPr>
                <w:rFonts w:cs="Arial"/>
                <w:szCs w:val="18"/>
              </w:rPr>
              <w:t xml:space="preserve">-  </w:t>
            </w:r>
            <w:r w:rsidR="00323662" w:rsidRPr="00E37C12">
              <w:rPr>
                <w:rFonts w:cs="Arial"/>
                <w:szCs w:val="18"/>
              </w:rPr>
              <w:t xml:space="preserve">Odchylně od ZPP E 2014/01 se pojištění nevztahuje na sdružený živel pojištěný v Pojištění majetku a na </w:t>
            </w:r>
            <w:r w:rsidR="00323662">
              <w:rPr>
                <w:rFonts w:cs="Arial"/>
                <w:szCs w:val="18"/>
              </w:rPr>
              <w:t xml:space="preserve">pojištění </w:t>
            </w:r>
            <w:r w:rsidR="00323662" w:rsidRPr="00E37C12">
              <w:rPr>
                <w:rFonts w:cs="Arial"/>
                <w:szCs w:val="18"/>
              </w:rPr>
              <w:t xml:space="preserve">odcizení a vandalismus pojištěné </w:t>
            </w:r>
            <w:r w:rsidR="00323662">
              <w:rPr>
                <w:rFonts w:cs="Arial"/>
                <w:szCs w:val="18"/>
              </w:rPr>
              <w:t xml:space="preserve"> v </w:t>
            </w:r>
            <w:r w:rsidR="00323662" w:rsidRPr="00E37C12">
              <w:rPr>
                <w:rFonts w:cs="Arial"/>
                <w:szCs w:val="18"/>
              </w:rPr>
              <w:t>této poj. smlouv</w:t>
            </w:r>
            <w:r w:rsidR="00323662">
              <w:rPr>
                <w:rFonts w:cs="Arial"/>
                <w:szCs w:val="18"/>
              </w:rPr>
              <w:t>ě</w:t>
            </w:r>
            <w:r w:rsidR="00323662" w:rsidRPr="00E37C12">
              <w:rPr>
                <w:rFonts w:cs="Arial"/>
                <w:szCs w:val="18"/>
              </w:rPr>
              <w:t xml:space="preserve"> (kromě pojištění dle Doložky 1061-2014, dle kt</w:t>
            </w:r>
            <w:r w:rsidR="00323662">
              <w:rPr>
                <w:rFonts w:cs="Arial"/>
                <w:szCs w:val="18"/>
              </w:rPr>
              <w:t>e</w:t>
            </w:r>
            <w:r w:rsidR="00323662" w:rsidRPr="00E37C12">
              <w:rPr>
                <w:rFonts w:cs="Arial"/>
                <w:szCs w:val="18"/>
              </w:rPr>
              <w:t>ré jsou pojištěna všechna poj. nebezpečí nevyloučená v ZPP E 2014/01)</w:t>
            </w:r>
          </w:p>
          <w:p w:rsidR="00323662" w:rsidRPr="00CC5695" w:rsidRDefault="00323662" w:rsidP="00111A29">
            <w:pPr>
              <w:rPr>
                <w:rFonts w:cs="Arial"/>
                <w:color w:val="FFFFFF" w:themeColor="background1"/>
                <w:szCs w:val="18"/>
              </w:rPr>
            </w:pPr>
            <w:r>
              <w:rPr>
                <w:rFonts w:cs="Arial"/>
                <w:color w:val="FFFFFF" w:themeColor="background1"/>
                <w:szCs w:val="18"/>
              </w:rPr>
              <w:t>ssss</w:t>
            </w:r>
          </w:p>
        </w:tc>
        <w:tc>
          <w:tcPr>
            <w:tcW w:w="2423" w:type="dxa"/>
            <w:tcBorders>
              <w:top w:val="nil"/>
              <w:bottom w:val="single" w:sz="4" w:space="0" w:color="auto"/>
            </w:tcBorders>
            <w:shd w:val="clear" w:color="auto" w:fill="auto"/>
            <w:vAlign w:val="center"/>
          </w:tcPr>
          <w:p w:rsidR="00323662" w:rsidRPr="00CC5695" w:rsidRDefault="00323662" w:rsidP="00111A29">
            <w:pPr>
              <w:rPr>
                <w:rFonts w:cs="Arial"/>
                <w:szCs w:val="18"/>
              </w:rPr>
            </w:pPr>
            <w:r>
              <w:rPr>
                <w:rFonts w:cs="Arial"/>
                <w:color w:val="C21B17"/>
                <w:szCs w:val="18"/>
              </w:rPr>
              <w:t xml:space="preserve">dle pojistné smlouvy, </w:t>
            </w:r>
            <w:r w:rsidRPr="00966310">
              <w:rPr>
                <w:rFonts w:cs="Arial"/>
                <w:color w:val="C00000"/>
                <w:szCs w:val="18"/>
                <w:lang w:val="cs-CZ" w:eastAsia="cs-CZ"/>
              </w:rPr>
              <w:t xml:space="preserve">pro mobilní elektroniku je místem pojištění území </w:t>
            </w:r>
            <w:r>
              <w:rPr>
                <w:rFonts w:cs="Arial"/>
                <w:color w:val="C00000"/>
                <w:szCs w:val="18"/>
                <w:lang w:val="cs-CZ" w:eastAsia="cs-CZ"/>
              </w:rPr>
              <w:t>ČR</w:t>
            </w:r>
            <w:r w:rsidRPr="00966310">
              <w:rPr>
                <w:rFonts w:cs="Arial"/>
                <w:color w:val="C00000"/>
                <w:szCs w:val="18"/>
                <w:lang w:val="cs-CZ" w:eastAsia="cs-CZ"/>
              </w:rPr>
              <w:t xml:space="preserve"> </w:t>
            </w:r>
            <w:r>
              <w:rPr>
                <w:rFonts w:cs="Arial"/>
                <w:color w:val="C00000"/>
                <w:szCs w:val="18"/>
                <w:lang w:val="cs-CZ" w:eastAsia="cs-CZ"/>
              </w:rPr>
              <w:t xml:space="preserve">dle </w:t>
            </w:r>
            <w:r w:rsidRPr="00966310">
              <w:rPr>
                <w:rFonts w:cs="Arial"/>
                <w:color w:val="C00000"/>
                <w:szCs w:val="18"/>
                <w:lang w:val="cs-CZ" w:eastAsia="cs-CZ"/>
              </w:rPr>
              <w:t>doložky 106</w:t>
            </w:r>
            <w:r>
              <w:rPr>
                <w:rFonts w:cs="Arial"/>
                <w:color w:val="C00000"/>
                <w:szCs w:val="18"/>
                <w:lang w:val="cs-CZ" w:eastAsia="cs-CZ"/>
              </w:rPr>
              <w:t>1</w:t>
            </w:r>
            <w:r w:rsidRPr="00966310">
              <w:rPr>
                <w:rFonts w:cs="Arial"/>
                <w:color w:val="C00000"/>
                <w:szCs w:val="18"/>
                <w:lang w:val="cs-CZ" w:eastAsia="cs-CZ"/>
              </w:rPr>
              <w:t>-2014.</w:t>
            </w:r>
          </w:p>
        </w:tc>
        <w:tc>
          <w:tcPr>
            <w:tcW w:w="2410" w:type="dxa"/>
            <w:tcBorders>
              <w:top w:val="nil"/>
              <w:bottom w:val="single" w:sz="4" w:space="0" w:color="auto"/>
            </w:tcBorders>
            <w:shd w:val="clear" w:color="auto" w:fill="auto"/>
            <w:vAlign w:val="center"/>
          </w:tcPr>
          <w:p w:rsidR="00323662" w:rsidRPr="00E758FE" w:rsidRDefault="009C30B9" w:rsidP="00111A29">
            <w:pPr>
              <w:rPr>
                <w:rFonts w:cs="Arial"/>
                <w:color w:val="C21B17"/>
                <w:szCs w:val="18"/>
              </w:rPr>
            </w:pPr>
            <w:r>
              <w:rPr>
                <w:rFonts w:cs="Arial"/>
                <w:color w:val="C21B17"/>
                <w:szCs w:val="18"/>
              </w:rPr>
              <w:t>5</w:t>
            </w:r>
            <w:r w:rsidR="00323662">
              <w:rPr>
                <w:rFonts w:cs="Arial"/>
                <w:color w:val="C21B17"/>
                <w:szCs w:val="18"/>
              </w:rPr>
              <w:t xml:space="preserve"> 000</w:t>
            </w:r>
            <w:r w:rsidR="00323662" w:rsidRPr="00E758FE">
              <w:rPr>
                <w:rFonts w:cs="Arial"/>
                <w:color w:val="C21B17"/>
                <w:szCs w:val="18"/>
              </w:rPr>
              <w:t xml:space="preserve"> 000,- </w:t>
            </w:r>
            <w:r w:rsidR="00323662">
              <w:rPr>
                <w:rFonts w:cs="Arial"/>
                <w:color w:val="C21B17"/>
                <w:szCs w:val="18"/>
              </w:rPr>
              <w:t>K</w:t>
            </w:r>
            <w:r w:rsidR="00323662" w:rsidRPr="00E758FE">
              <w:rPr>
                <w:rFonts w:cs="Arial"/>
                <w:color w:val="C21B17"/>
                <w:szCs w:val="18"/>
              </w:rPr>
              <w:t>č</w:t>
            </w:r>
          </w:p>
          <w:p w:rsidR="00323662" w:rsidRPr="00CC5695" w:rsidRDefault="00323662" w:rsidP="00111A29">
            <w:pPr>
              <w:rPr>
                <w:rFonts w:cs="Arial"/>
                <w:szCs w:val="18"/>
              </w:rPr>
            </w:pPr>
            <w:r>
              <w:rPr>
                <w:rFonts w:cs="Arial"/>
                <w:color w:val="C21B17"/>
                <w:szCs w:val="18"/>
              </w:rPr>
              <w:t xml:space="preserve">       1</w:t>
            </w:r>
            <w:r w:rsidRPr="00E758FE">
              <w:rPr>
                <w:rFonts w:cs="Arial"/>
                <w:color w:val="C21B17"/>
                <w:szCs w:val="18"/>
              </w:rPr>
              <w:t xml:space="preserve"> 000,- Kč</w:t>
            </w:r>
          </w:p>
        </w:tc>
        <w:tc>
          <w:tcPr>
            <w:tcW w:w="1308" w:type="dxa"/>
            <w:gridSpan w:val="2"/>
            <w:tcBorders>
              <w:top w:val="nil"/>
              <w:bottom w:val="single" w:sz="4" w:space="0" w:color="auto"/>
            </w:tcBorders>
            <w:shd w:val="clear" w:color="auto" w:fill="auto"/>
            <w:vAlign w:val="center"/>
          </w:tcPr>
          <w:p w:rsidR="00323662" w:rsidRPr="00CC5695" w:rsidRDefault="009C30B9" w:rsidP="009C30B9">
            <w:pPr>
              <w:rPr>
                <w:rFonts w:cs="Arial"/>
              </w:rPr>
            </w:pPr>
            <w:r>
              <w:rPr>
                <w:rFonts w:cs="Arial"/>
                <w:color w:val="C21B17"/>
                <w:szCs w:val="18"/>
              </w:rPr>
              <w:t>180</w:t>
            </w:r>
            <w:r w:rsidR="00323662">
              <w:rPr>
                <w:rFonts w:cs="Arial"/>
                <w:color w:val="C21B17"/>
                <w:szCs w:val="18"/>
              </w:rPr>
              <w:t xml:space="preserve"> 000</w:t>
            </w:r>
            <w:r w:rsidR="00323662" w:rsidRPr="00E758FE">
              <w:rPr>
                <w:rFonts w:cs="Arial"/>
                <w:color w:val="C21B17"/>
                <w:szCs w:val="18"/>
              </w:rPr>
              <w:t>,- Kč</w:t>
            </w:r>
            <w:r w:rsidR="00323662" w:rsidRPr="00CC5695">
              <w:rPr>
                <w:rFonts w:cs="Arial"/>
                <w:color w:val="C21B17"/>
                <w:szCs w:val="18"/>
              </w:rPr>
              <w:t xml:space="preserve"> </w:t>
            </w:r>
          </w:p>
        </w:tc>
        <w:tc>
          <w:tcPr>
            <w:tcW w:w="998" w:type="dxa"/>
            <w:gridSpan w:val="2"/>
            <w:tcBorders>
              <w:top w:val="nil"/>
              <w:bottom w:val="single" w:sz="4" w:space="0" w:color="auto"/>
            </w:tcBorders>
            <w:shd w:val="clear" w:color="auto" w:fill="auto"/>
            <w:vAlign w:val="center"/>
          </w:tcPr>
          <w:p w:rsidR="00323662" w:rsidRDefault="00323662" w:rsidP="00111A29">
            <w:pPr>
              <w:rPr>
                <w:rFonts w:cs="Arial"/>
                <w:szCs w:val="18"/>
              </w:rPr>
            </w:pPr>
          </w:p>
          <w:p w:rsidR="00323662" w:rsidRPr="00CC5695" w:rsidRDefault="00323662" w:rsidP="00111A29">
            <w:pPr>
              <w:rPr>
                <w:rFonts w:cs="Arial"/>
                <w:szCs w:val="18"/>
              </w:rPr>
            </w:pPr>
          </w:p>
        </w:tc>
      </w:tr>
      <w:tr w:rsidR="00323662" w:rsidRPr="00CC5695" w:rsidTr="00AA1068">
        <w:trPr>
          <w:trHeight w:val="1158"/>
        </w:trPr>
        <w:tc>
          <w:tcPr>
            <w:tcW w:w="3139" w:type="dxa"/>
            <w:tcBorders>
              <w:top w:val="single" w:sz="4" w:space="0" w:color="auto"/>
            </w:tcBorders>
            <w:shd w:val="clear" w:color="auto" w:fill="auto"/>
            <w:vAlign w:val="center"/>
          </w:tcPr>
          <w:p w:rsidR="00323662" w:rsidRPr="00E37C12" w:rsidRDefault="00323662" w:rsidP="00111A29">
            <w:pPr>
              <w:rPr>
                <w:rFonts w:cs="Arial"/>
                <w:sz w:val="20"/>
                <w:szCs w:val="20"/>
              </w:rPr>
            </w:pPr>
            <w:r w:rsidRPr="00E37C12">
              <w:rPr>
                <w:rFonts w:cs="Arial"/>
                <w:sz w:val="20"/>
                <w:szCs w:val="20"/>
              </w:rPr>
              <w:t>Kompletní sestava pro kvantitativní proteomiku - na novou cenu</w:t>
            </w:r>
          </w:p>
          <w:p w:rsidR="00323662" w:rsidRDefault="00B06989" w:rsidP="001C46C7">
            <w:pPr>
              <w:rPr>
                <w:rFonts w:cs="Arial"/>
                <w:szCs w:val="18"/>
              </w:rPr>
            </w:pPr>
            <w:r>
              <w:rPr>
                <w:rFonts w:cs="Arial"/>
                <w:szCs w:val="18"/>
              </w:rPr>
              <w:t xml:space="preserve">- pro stroje a strojní části sestavy se </w:t>
            </w:r>
            <w:r w:rsidR="00E73634">
              <w:rPr>
                <w:rFonts w:cs="Arial"/>
                <w:szCs w:val="18"/>
              </w:rPr>
              <w:t xml:space="preserve">ruší výluka dle </w:t>
            </w:r>
            <w:r w:rsidR="00E73634" w:rsidRPr="00E73634">
              <w:rPr>
                <w:rFonts w:cs="Arial"/>
                <w:szCs w:val="18"/>
              </w:rPr>
              <w:t xml:space="preserve">Oddílu </w:t>
            </w:r>
            <w:r w:rsidR="001C46C7">
              <w:rPr>
                <w:rFonts w:cs="Arial"/>
                <w:szCs w:val="18"/>
              </w:rPr>
              <w:t>I. ZPP S 2014/01</w:t>
            </w:r>
            <w:r w:rsidR="00E73634">
              <w:rPr>
                <w:rFonts w:cs="Arial"/>
                <w:szCs w:val="18"/>
              </w:rPr>
              <w:t>, Čl. 4, odst. 2. e</w:t>
            </w:r>
            <w:r w:rsidR="00E73634" w:rsidRPr="00E73634">
              <w:rPr>
                <w:rFonts w:cs="Arial"/>
                <w:szCs w:val="18"/>
              </w:rPr>
              <w:t>)</w:t>
            </w:r>
          </w:p>
        </w:tc>
        <w:tc>
          <w:tcPr>
            <w:tcW w:w="2423" w:type="dxa"/>
            <w:tcBorders>
              <w:top w:val="single" w:sz="4" w:space="0" w:color="auto"/>
            </w:tcBorders>
            <w:shd w:val="clear" w:color="auto" w:fill="auto"/>
            <w:vAlign w:val="center"/>
          </w:tcPr>
          <w:p w:rsidR="00323662" w:rsidRDefault="00323662" w:rsidP="00111A29">
            <w:pPr>
              <w:rPr>
                <w:rFonts w:cs="Arial"/>
                <w:color w:val="C21B17"/>
                <w:szCs w:val="18"/>
              </w:rPr>
            </w:pPr>
            <w:r>
              <w:rPr>
                <w:rFonts w:cs="Arial"/>
                <w:color w:val="C21B17"/>
                <w:szCs w:val="18"/>
              </w:rPr>
              <w:t>Rumburská 89,               277 21 Liběchov</w:t>
            </w:r>
          </w:p>
        </w:tc>
        <w:tc>
          <w:tcPr>
            <w:tcW w:w="2410" w:type="dxa"/>
            <w:tcBorders>
              <w:top w:val="single" w:sz="4" w:space="0" w:color="auto"/>
            </w:tcBorders>
            <w:shd w:val="clear" w:color="auto" w:fill="auto"/>
            <w:vAlign w:val="center"/>
          </w:tcPr>
          <w:p w:rsidR="00323662" w:rsidRDefault="00323662" w:rsidP="00111A29">
            <w:pPr>
              <w:rPr>
                <w:rFonts w:cs="Arial"/>
                <w:color w:val="C21B17"/>
                <w:szCs w:val="18"/>
              </w:rPr>
            </w:pPr>
            <w:r>
              <w:rPr>
                <w:rFonts w:cs="Arial"/>
                <w:color w:val="C21B17"/>
                <w:szCs w:val="18"/>
              </w:rPr>
              <w:t>20 971 500,- Kč</w:t>
            </w:r>
          </w:p>
          <w:p w:rsidR="00323662" w:rsidRDefault="00323662" w:rsidP="00111A29">
            <w:pPr>
              <w:rPr>
                <w:rFonts w:cs="Arial"/>
                <w:color w:val="C21B17"/>
                <w:szCs w:val="18"/>
              </w:rPr>
            </w:pPr>
            <w:r>
              <w:rPr>
                <w:rFonts w:cs="Arial"/>
                <w:color w:val="C21B17"/>
                <w:szCs w:val="18"/>
              </w:rPr>
              <w:t xml:space="preserve">        10 000,- Kč</w:t>
            </w:r>
          </w:p>
        </w:tc>
        <w:tc>
          <w:tcPr>
            <w:tcW w:w="1308" w:type="dxa"/>
            <w:gridSpan w:val="2"/>
            <w:tcBorders>
              <w:top w:val="single" w:sz="4" w:space="0" w:color="auto"/>
            </w:tcBorders>
            <w:shd w:val="clear" w:color="auto" w:fill="auto"/>
            <w:vAlign w:val="center"/>
          </w:tcPr>
          <w:p w:rsidR="00323662" w:rsidRDefault="00323662" w:rsidP="00111A29">
            <w:pPr>
              <w:rPr>
                <w:rFonts w:cs="Arial"/>
                <w:color w:val="C21B17"/>
                <w:szCs w:val="18"/>
              </w:rPr>
            </w:pPr>
            <w:r>
              <w:rPr>
                <w:rFonts w:cs="Arial"/>
                <w:color w:val="C21B17"/>
                <w:szCs w:val="18"/>
              </w:rPr>
              <w:t>67 948,- Kč</w:t>
            </w:r>
          </w:p>
        </w:tc>
        <w:tc>
          <w:tcPr>
            <w:tcW w:w="998" w:type="dxa"/>
            <w:gridSpan w:val="2"/>
            <w:tcBorders>
              <w:top w:val="single" w:sz="4" w:space="0" w:color="auto"/>
            </w:tcBorders>
            <w:shd w:val="clear" w:color="auto" w:fill="auto"/>
            <w:vAlign w:val="center"/>
          </w:tcPr>
          <w:p w:rsidR="00323662" w:rsidRDefault="00323662" w:rsidP="00111A29">
            <w:pPr>
              <w:rPr>
                <w:rFonts w:cs="Arial"/>
                <w:szCs w:val="18"/>
              </w:rPr>
            </w:pPr>
          </w:p>
        </w:tc>
      </w:tr>
      <w:tr w:rsidR="00323662" w:rsidRPr="00CC5695" w:rsidTr="00111A29">
        <w:trPr>
          <w:gridAfter w:val="1"/>
          <w:wAfter w:w="72" w:type="dxa"/>
          <w:trHeight w:val="397"/>
        </w:trPr>
        <w:tc>
          <w:tcPr>
            <w:tcW w:w="9214" w:type="dxa"/>
            <w:gridSpan w:val="4"/>
            <w:tcBorders>
              <w:top w:val="single" w:sz="4" w:space="0" w:color="000000" w:themeColor="text1"/>
              <w:bottom w:val="single" w:sz="4" w:space="0" w:color="auto"/>
            </w:tcBorders>
            <w:shd w:val="clear" w:color="auto" w:fill="auto"/>
            <w:vAlign w:val="center"/>
          </w:tcPr>
          <w:p w:rsidR="00323662" w:rsidRPr="00CC5695" w:rsidRDefault="00323662" w:rsidP="003076AC">
            <w:pPr>
              <w:jc w:val="both"/>
              <w:rPr>
                <w:rFonts w:cs="Arial"/>
                <w:b/>
                <w:color w:val="auto"/>
                <w:szCs w:val="18"/>
              </w:rPr>
            </w:pPr>
            <w:r w:rsidRPr="00CC5695">
              <w:rPr>
                <w:rFonts w:cs="Arial"/>
                <w:b/>
                <w:color w:val="auto"/>
                <w:szCs w:val="18"/>
              </w:rPr>
              <w:t xml:space="preserve">CELKEM                                                                          </w:t>
            </w:r>
            <w:r>
              <w:rPr>
                <w:rFonts w:cs="Arial"/>
                <w:b/>
                <w:color w:val="auto"/>
                <w:szCs w:val="18"/>
              </w:rPr>
              <w:t xml:space="preserve">                   </w:t>
            </w:r>
            <w:r w:rsidRPr="00CC5695">
              <w:rPr>
                <w:rFonts w:cs="Arial"/>
                <w:b/>
                <w:color w:val="auto"/>
                <w:szCs w:val="18"/>
              </w:rPr>
              <w:t xml:space="preserve">                              </w:t>
            </w:r>
            <w:r>
              <w:rPr>
                <w:rFonts w:cs="Arial"/>
                <w:b/>
                <w:color w:val="auto"/>
                <w:szCs w:val="18"/>
              </w:rPr>
              <w:t xml:space="preserve">                     </w:t>
            </w:r>
            <w:r w:rsidRPr="00CC5695">
              <w:rPr>
                <w:rFonts w:cs="Arial"/>
                <w:b/>
                <w:color w:val="auto"/>
                <w:szCs w:val="18"/>
              </w:rPr>
              <w:t xml:space="preserve"> </w:t>
            </w:r>
            <w:r w:rsidR="003076AC">
              <w:rPr>
                <w:rFonts w:cs="Arial"/>
                <w:b/>
                <w:color w:val="auto"/>
                <w:szCs w:val="18"/>
              </w:rPr>
              <w:t>247 948</w:t>
            </w:r>
            <w:r w:rsidRPr="00045F30">
              <w:rPr>
                <w:rFonts w:cs="Arial"/>
                <w:b/>
                <w:color w:val="auto"/>
                <w:szCs w:val="18"/>
              </w:rPr>
              <w:t>,- Kč</w:t>
            </w:r>
          </w:p>
        </w:tc>
        <w:tc>
          <w:tcPr>
            <w:tcW w:w="992" w:type="dxa"/>
            <w:gridSpan w:val="2"/>
            <w:tcBorders>
              <w:top w:val="single" w:sz="4" w:space="0" w:color="000000" w:themeColor="text1"/>
              <w:bottom w:val="single" w:sz="4" w:space="0" w:color="auto"/>
            </w:tcBorders>
            <w:shd w:val="clear" w:color="auto" w:fill="auto"/>
            <w:vAlign w:val="center"/>
          </w:tcPr>
          <w:p w:rsidR="00323662" w:rsidRPr="00CC5695" w:rsidRDefault="00323662" w:rsidP="00111A29">
            <w:pPr>
              <w:jc w:val="both"/>
              <w:rPr>
                <w:rFonts w:cs="Arial"/>
                <w:b/>
                <w:szCs w:val="18"/>
              </w:rPr>
            </w:pPr>
          </w:p>
        </w:tc>
      </w:tr>
      <w:tr w:rsidR="00323662" w:rsidRPr="00D92223" w:rsidTr="00111A29">
        <w:trPr>
          <w:trHeight w:val="442"/>
        </w:trPr>
        <w:tc>
          <w:tcPr>
            <w:tcW w:w="9280" w:type="dxa"/>
            <w:gridSpan w:val="5"/>
            <w:shd w:val="clear" w:color="auto" w:fill="auto"/>
            <w:vAlign w:val="center"/>
          </w:tcPr>
          <w:p w:rsidR="00323662" w:rsidRDefault="00323662" w:rsidP="00111A29">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Cs w:val="18"/>
                <w:lang w:val="cs-CZ" w:eastAsia="cs-CZ"/>
              </w:rPr>
            </w:pPr>
          </w:p>
          <w:p w:rsidR="00323662" w:rsidRPr="00E37C12" w:rsidRDefault="00323662" w:rsidP="00111A29">
            <w:pPr>
              <w:rPr>
                <w:rFonts w:cs="Arial"/>
                <w:b/>
                <w:szCs w:val="18"/>
              </w:rPr>
            </w:pPr>
            <w:r w:rsidRPr="00E37C12">
              <w:rPr>
                <w:rFonts w:cs="Arial"/>
                <w:b/>
                <w:szCs w:val="18"/>
              </w:rPr>
              <w:t>Pojištění programového vybavení</w:t>
            </w:r>
          </w:p>
          <w:p w:rsidR="00323662" w:rsidRPr="00E37C12" w:rsidRDefault="00323662" w:rsidP="00111A29">
            <w:pPr>
              <w:rPr>
                <w:rFonts w:cs="Arial"/>
                <w:szCs w:val="18"/>
              </w:rPr>
            </w:pPr>
            <w:r w:rsidRPr="00E37C12">
              <w:rPr>
                <w:rFonts w:cs="Arial"/>
                <w:szCs w:val="18"/>
              </w:rPr>
              <w:t>Pojištění se vztahuje také na programové vybavení pojištěné věci /software/, jestiže došlo k jeho zničení v souvislosti s poškozením nebo zničením pojištěného majetku.</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szCs w:val="18"/>
              </w:rPr>
            </w:pP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b/>
                <w:szCs w:val="18"/>
              </w:rPr>
            </w:pPr>
            <w:r w:rsidRPr="00E37C12">
              <w:rPr>
                <w:rFonts w:cs="Arial"/>
                <w:b/>
                <w:szCs w:val="18"/>
              </w:rPr>
              <w:t>Škody způsobené hmyzem či hlodavci</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Cs w:val="18"/>
                <w:lang w:val="cs-CZ" w:eastAsia="cs-CZ"/>
              </w:rPr>
            </w:pPr>
            <w:r w:rsidRPr="00E37C12">
              <w:rPr>
                <w:rFonts w:cs="Arial"/>
                <w:szCs w:val="18"/>
              </w:rPr>
              <w:t>Ujednává se, že se pojištění vztahuje také na škody způsobené hmyzem či hlodavci.</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Cs w:val="18"/>
                <w:lang w:val="cs-CZ" w:eastAsia="cs-CZ"/>
              </w:rPr>
            </w:pPr>
            <w:r w:rsidRPr="00E37C12">
              <w:rPr>
                <w:rFonts w:ascii="Arial_CE" w:hAnsi="Arial_CE"/>
                <w:b/>
                <w:iCs/>
                <w:color w:val="auto"/>
                <w:szCs w:val="18"/>
                <w:lang w:val="cs-CZ" w:eastAsia="cs-CZ"/>
              </w:rPr>
              <w:t>Ujednání o zabezpečení proti odcizení věcí z motorového vozidla</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 xml:space="preserve">Odchylně od Doložky 1061-2014 se ujednává následující způsob zabezpečení. </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Pojistitel poskytne pojistné plnění pouze v případě, pokud: škoda vznikla v době od 6:00 do 22:00 hod., motorové vozidlo, z něhož bylo zařízení odcizeno, mělo pevnou střechu, odcizené zařízení bylo v době vzniku</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škody umístěno v zavazadlovém prostoru a nebylo z vnějšku viditelné. Časové omezení se však netýká případů, kdy bylo motorové vozidlo v době vzniku pojistné události umístěno v uzamčené garáži nebo na hlídaném</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color w:val="auto"/>
                <w:szCs w:val="18"/>
                <w:lang w:val="cs-CZ" w:eastAsia="cs-CZ"/>
              </w:rPr>
            </w:pPr>
            <w:r w:rsidRPr="00E37C12">
              <w:rPr>
                <w:rFonts w:cs="Arial"/>
                <w:color w:val="auto"/>
                <w:szCs w:val="18"/>
                <w:lang w:val="cs-CZ" w:eastAsia="cs-CZ"/>
              </w:rPr>
              <w:t>parkovišti.</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b/>
                <w:color w:val="auto"/>
                <w:szCs w:val="18"/>
                <w:lang w:val="cs-CZ" w:eastAsia="cs-CZ"/>
              </w:rPr>
            </w:pPr>
            <w:r w:rsidRPr="00E37C12">
              <w:rPr>
                <w:rFonts w:cs="Arial"/>
                <w:b/>
                <w:color w:val="auto"/>
                <w:szCs w:val="18"/>
                <w:lang w:val="cs-CZ" w:eastAsia="cs-CZ"/>
              </w:rPr>
              <w:t xml:space="preserve">Odchylné ujednání o zabezpečení pro předmět pojištění Komplexní sestava pro kvantitativní </w:t>
            </w:r>
            <w:proofErr w:type="spellStart"/>
            <w:r w:rsidRPr="00E37C12">
              <w:rPr>
                <w:rFonts w:cs="Arial"/>
                <w:b/>
                <w:color w:val="auto"/>
                <w:szCs w:val="18"/>
                <w:lang w:val="cs-CZ" w:eastAsia="cs-CZ"/>
              </w:rPr>
              <w:t>proteomiku</w:t>
            </w:r>
            <w:proofErr w:type="spellEnd"/>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Pojistitel poskytne pojistné plnění za škody, které vznikly, byly způsobeny nebo se zvětšily v důsledku pojistného nebezpečí krádež vloupáním, pokud byly splněny následující technické a bezpečnostní podmínky.</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V době nepřítomnosti obsluhy musí být veškeré dveře do místnosti, kde se nachází pojištěná věc, řádně uzamčeny, okna a balkónové dveře řádně uzavřeny a zevnitř zajištěny minimálně kličkou a níže</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lastRenderedPageBreak/>
              <w:t>uvedená bezpečnostní zařízení funkční a v aktivním stavu.</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Veškeré dveře do budovy (případně místnosti) musí být vybaveny bezpečnostním zámkem nebo dvěma</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bezpečnostními visacími zámky. Pokud se jedná o dvoukřídlé dveře, musí být jedno křídlo zabezpečeno tak, aby</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bylo pevně zajištěno proti otevírání a odolné proti vyháčkování. Pokud se jedná o prosklené dveře (plocha skla</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větší než 600 cm2), musí být vybavené bezpečnostní fólií nebo funkční mříží.</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Zámky musí být uzamčeny na dva západy.</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Pokud je ve vchodu do budovy zřízena fyzická ostraha, nemusí být tento vchod uzamčen.</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Dále veškeré otvory (okna, šachty apod.) o rozměrech větších 600 cm2 umístěné níže než 3,5 m nad úrovní</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okolního terénu nebo méně než 7,2 m od přístupové trasy (např. požárního žebříku) musí být opatřeny funkční</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mříží nebo funkční roletou nebo funkční okenicí nebo bezpečnostním vrstveným sklem nebo bezpečnostní fólií</w:t>
            </w:r>
          </w:p>
          <w:p w:rsidR="00323662" w:rsidRPr="00E37C12" w:rsidRDefault="00323662" w:rsidP="00111A29">
            <w:pPr>
              <w:widowControl/>
              <w:autoSpaceDE w:val="0"/>
              <w:autoSpaceDN w:val="0"/>
              <w:adjustRightInd w:val="0"/>
              <w:spacing w:before="0" w:after="0" w:line="240" w:lineRule="auto"/>
              <w:contextualSpacing w:val="0"/>
              <w:rPr>
                <w:rFonts w:cs="Arial"/>
                <w:color w:val="auto"/>
                <w:szCs w:val="18"/>
                <w:lang w:val="cs-CZ" w:eastAsia="cs-CZ"/>
              </w:rPr>
            </w:pPr>
            <w:r w:rsidRPr="00E37C12">
              <w:rPr>
                <w:rFonts w:cs="Arial"/>
                <w:color w:val="auto"/>
                <w:szCs w:val="18"/>
                <w:lang w:val="cs-CZ" w:eastAsia="cs-CZ"/>
              </w:rPr>
              <w:t>nebo musí být budova vybavena funkční elektronickou zabezpečovací signalizací s prostorovými čidly a vývodem</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color w:val="auto"/>
                <w:szCs w:val="18"/>
                <w:lang w:val="cs-CZ" w:eastAsia="cs-CZ"/>
              </w:rPr>
            </w:pPr>
            <w:r w:rsidRPr="00E37C12">
              <w:rPr>
                <w:rFonts w:cs="Arial"/>
                <w:color w:val="auto"/>
                <w:szCs w:val="18"/>
                <w:lang w:val="cs-CZ" w:eastAsia="cs-CZ"/>
              </w:rPr>
              <w:t>signálu na pult centrální ochrany koncesované bezpečnostní agentury nebo policie.</w:t>
            </w:r>
          </w:p>
          <w:p w:rsidR="00323662" w:rsidRPr="00E37C12" w:rsidRDefault="00323662" w:rsidP="00111A29">
            <w:pPr>
              <w:widowControl/>
              <w:tabs>
                <w:tab w:val="right" w:pos="3261"/>
                <w:tab w:val="right" w:pos="5103"/>
                <w:tab w:val="right" w:pos="6521"/>
                <w:tab w:val="right" w:pos="8222"/>
                <w:tab w:val="right" w:pos="9639"/>
              </w:tabs>
              <w:spacing w:before="0" w:after="0" w:line="240" w:lineRule="auto"/>
              <w:contextualSpacing w:val="0"/>
              <w:rPr>
                <w:rFonts w:cs="Arial"/>
                <w:color w:val="auto"/>
                <w:sz w:val="6"/>
                <w:szCs w:val="6"/>
                <w:lang w:val="cs-CZ" w:eastAsia="cs-CZ"/>
              </w:rPr>
            </w:pPr>
          </w:p>
          <w:p w:rsidR="00323662" w:rsidRPr="00190E73" w:rsidRDefault="00323662" w:rsidP="00B07A5D">
            <w:pPr>
              <w:keepNext/>
              <w:widowControl/>
              <w:tabs>
                <w:tab w:val="right" w:pos="8222"/>
                <w:tab w:val="right" w:pos="9639"/>
              </w:tabs>
              <w:spacing w:before="0" w:after="0" w:line="240" w:lineRule="auto"/>
              <w:contextualSpacing w:val="0"/>
              <w:outlineLvl w:val="3"/>
              <w:rPr>
                <w:rFonts w:ascii="Arial_CE" w:hAnsi="Arial_CE"/>
                <w:iCs/>
                <w:color w:val="auto"/>
                <w:szCs w:val="18"/>
                <w:lang w:val="cs-CZ" w:eastAsia="cs-CZ"/>
              </w:rPr>
            </w:pPr>
            <w:r w:rsidRPr="00E37C12">
              <w:rPr>
                <w:rFonts w:ascii="Arial_CE" w:hAnsi="Arial_CE"/>
                <w:iCs/>
                <w:color w:val="auto"/>
                <w:szCs w:val="18"/>
                <w:lang w:val="cs-CZ" w:eastAsia="cs-CZ"/>
              </w:rPr>
              <w:t>Ujednává se, že pro pojištěná zařízení bude pojistné plnění poskytnuto v nových cenách, bez odpočtu opotřebení.</w:t>
            </w:r>
          </w:p>
        </w:tc>
        <w:tc>
          <w:tcPr>
            <w:tcW w:w="998" w:type="dxa"/>
            <w:gridSpan w:val="2"/>
            <w:shd w:val="clear" w:color="auto" w:fill="auto"/>
            <w:vAlign w:val="center"/>
          </w:tcPr>
          <w:p w:rsidR="00323662" w:rsidRPr="00D92223" w:rsidRDefault="00323662" w:rsidP="00111A29">
            <w:pPr>
              <w:jc w:val="both"/>
              <w:rPr>
                <w:rFonts w:cs="Arial"/>
                <w:b/>
                <w:szCs w:val="18"/>
              </w:rPr>
            </w:pPr>
          </w:p>
        </w:tc>
      </w:tr>
      <w:tr w:rsidR="00323662" w:rsidRPr="00D92223" w:rsidTr="00111A29">
        <w:trPr>
          <w:trHeight w:val="70"/>
        </w:trPr>
        <w:tc>
          <w:tcPr>
            <w:tcW w:w="9280" w:type="dxa"/>
            <w:gridSpan w:val="5"/>
            <w:tcBorders>
              <w:bottom w:val="single" w:sz="12" w:space="0" w:color="C21B17"/>
            </w:tcBorders>
            <w:shd w:val="clear" w:color="auto" w:fill="auto"/>
            <w:vAlign w:val="center"/>
          </w:tcPr>
          <w:p w:rsidR="00323662" w:rsidRDefault="00323662" w:rsidP="00111A29">
            <w:pPr>
              <w:widowControl/>
              <w:tabs>
                <w:tab w:val="right" w:pos="3261"/>
                <w:tab w:val="right" w:pos="5103"/>
                <w:tab w:val="right" w:pos="6521"/>
                <w:tab w:val="right" w:pos="8222"/>
                <w:tab w:val="right" w:pos="9639"/>
              </w:tabs>
              <w:spacing w:before="0" w:after="0" w:line="240" w:lineRule="auto"/>
              <w:contextualSpacing w:val="0"/>
              <w:rPr>
                <w:rFonts w:ascii="Arial_CE" w:hAnsi="Arial_CE"/>
                <w:b/>
                <w:iCs/>
                <w:color w:val="auto"/>
                <w:szCs w:val="18"/>
                <w:lang w:val="cs-CZ" w:eastAsia="cs-CZ"/>
              </w:rPr>
            </w:pPr>
          </w:p>
        </w:tc>
        <w:tc>
          <w:tcPr>
            <w:tcW w:w="998" w:type="dxa"/>
            <w:gridSpan w:val="2"/>
            <w:tcBorders>
              <w:bottom w:val="single" w:sz="12" w:space="0" w:color="C21B17"/>
            </w:tcBorders>
            <w:shd w:val="clear" w:color="auto" w:fill="auto"/>
            <w:vAlign w:val="center"/>
          </w:tcPr>
          <w:p w:rsidR="00323662" w:rsidRPr="00D92223" w:rsidRDefault="00323662" w:rsidP="00111A29">
            <w:pPr>
              <w:jc w:val="both"/>
              <w:rPr>
                <w:rFonts w:cs="Arial"/>
                <w:b/>
                <w:szCs w:val="18"/>
              </w:rPr>
            </w:pPr>
          </w:p>
        </w:tc>
      </w:tr>
    </w:tbl>
    <w:p w:rsidR="00323662" w:rsidRPr="00824492" w:rsidRDefault="00323662" w:rsidP="00323662">
      <w:pPr>
        <w:widowControl/>
        <w:spacing w:before="0" w:after="0" w:line="240" w:lineRule="auto"/>
        <w:ind w:left="720"/>
        <w:contextualSpacing w:val="0"/>
        <w:jc w:val="both"/>
        <w:rPr>
          <w:rFonts w:cs="Arial"/>
          <w:b/>
          <w:color w:val="FFFFFF" w:themeColor="background1"/>
          <w:sz w:val="20"/>
          <w:szCs w:val="20"/>
        </w:rPr>
      </w:pPr>
      <w:r w:rsidRPr="00824492">
        <w:rPr>
          <w:rFonts w:cs="Arial"/>
          <w:b/>
          <w:color w:val="FFFFFF" w:themeColor="background1"/>
          <w:sz w:val="20"/>
          <w:szCs w:val="20"/>
        </w:rPr>
        <w:t>Pojistné nebezpečí, pojistná událost</w:t>
      </w:r>
    </w:p>
    <w:p w:rsidR="00323662" w:rsidRDefault="00323662" w:rsidP="00323662">
      <w:pPr>
        <w:pStyle w:val="Zkladntext"/>
        <w:rPr>
          <w:rFonts w:ascii="Arial" w:hAnsi="Arial" w:cs="Arial"/>
          <w:b/>
          <w:color w:val="C21B17"/>
          <w:sz w:val="20"/>
        </w:rPr>
      </w:pPr>
    </w:p>
    <w:p w:rsidR="00323662" w:rsidRDefault="00323662" w:rsidP="00323662">
      <w:pPr>
        <w:keepNext/>
        <w:widowControl/>
        <w:tabs>
          <w:tab w:val="left" w:pos="567"/>
        </w:tabs>
        <w:spacing w:before="0" w:after="0" w:line="240" w:lineRule="auto"/>
        <w:outlineLvl w:val="2"/>
        <w:rPr>
          <w:rFonts w:cs="Arial"/>
          <w:b/>
          <w:bCs/>
          <w:color w:val="auto"/>
          <w:sz w:val="20"/>
          <w:szCs w:val="20"/>
          <w:lang w:val="cs-CZ" w:eastAsia="cs-CZ"/>
        </w:rPr>
      </w:pPr>
      <w:r>
        <w:rPr>
          <w:rFonts w:cs="Arial"/>
          <w:b/>
          <w:bCs/>
          <w:color w:val="auto"/>
          <w:sz w:val="20"/>
          <w:szCs w:val="20"/>
          <w:lang w:val="cs-CZ" w:eastAsia="cs-CZ"/>
        </w:rPr>
        <w:t xml:space="preserve">ODDÍL B – POJIŠTĚNÍ ODPOVĚDNOSTI </w:t>
      </w:r>
    </w:p>
    <w:p w:rsidR="00323662" w:rsidRPr="00190E73" w:rsidRDefault="00323662" w:rsidP="00323662">
      <w:pPr>
        <w:widowControl/>
        <w:autoSpaceDE w:val="0"/>
        <w:autoSpaceDN w:val="0"/>
        <w:adjustRightInd w:val="0"/>
        <w:spacing w:before="0" w:after="0" w:line="240" w:lineRule="auto"/>
        <w:contextualSpacing w:val="0"/>
        <w:rPr>
          <w:rFonts w:cs="Arial"/>
          <w:sz w:val="16"/>
          <w:szCs w:val="16"/>
        </w:rPr>
      </w:pPr>
    </w:p>
    <w:p w:rsidR="00323662" w:rsidRPr="00001C8F"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sz w:val="20"/>
          <w:szCs w:val="20"/>
        </w:rPr>
      </w:pPr>
      <w:r w:rsidRPr="008979CC">
        <w:rPr>
          <w:rFonts w:cs="Arial"/>
          <w:b/>
          <w:sz w:val="20"/>
          <w:szCs w:val="20"/>
        </w:rPr>
        <w:t>Pojistné nebezpečí, pojistná událost</w:t>
      </w:r>
    </w:p>
    <w:p w:rsidR="00323662" w:rsidRPr="00001C8F" w:rsidRDefault="00323662" w:rsidP="00323662">
      <w:pPr>
        <w:widowControl/>
        <w:numPr>
          <w:ilvl w:val="1"/>
          <w:numId w:val="14"/>
        </w:numPr>
        <w:tabs>
          <w:tab w:val="num" w:pos="851"/>
        </w:tabs>
        <w:autoSpaceDE w:val="0"/>
        <w:autoSpaceDN w:val="0"/>
        <w:adjustRightInd w:val="0"/>
        <w:spacing w:before="0" w:after="120" w:line="240" w:lineRule="auto"/>
        <w:ind w:left="851" w:hanging="851"/>
        <w:contextualSpacing w:val="0"/>
        <w:rPr>
          <w:rFonts w:cs="Arial"/>
          <w:sz w:val="20"/>
          <w:szCs w:val="20"/>
        </w:rPr>
      </w:pPr>
      <w:r w:rsidRPr="008979CC">
        <w:rPr>
          <w:rFonts w:cs="Arial"/>
          <w:sz w:val="20"/>
          <w:szCs w:val="20"/>
        </w:rPr>
        <w:t>Pojištění se podle této smlouvy sjednává pro případ povinnosti pojištěného k náhradě škody nebo jiné újmy způsobené poškozenému. Pojištění se vztahuje pouze na povinnost pojištěného nahradit škodu nebo jinou újmu, pokud byla způsobena jinému konáním nebo opomenutím nebo protiprávním stavem v důsledku činnosti nebo právního vztahu pojištěného, které jsou uvedeny v pojistné smlouvě, a k nimž je na základě platných právních předpisů oprávněn.</w:t>
      </w:r>
    </w:p>
    <w:p w:rsidR="00323662" w:rsidRPr="008979CC" w:rsidRDefault="00323662" w:rsidP="00323662">
      <w:pPr>
        <w:widowControl/>
        <w:numPr>
          <w:ilvl w:val="1"/>
          <w:numId w:val="14"/>
        </w:numPr>
        <w:tabs>
          <w:tab w:val="num" w:pos="851"/>
        </w:tabs>
        <w:autoSpaceDE w:val="0"/>
        <w:autoSpaceDN w:val="0"/>
        <w:adjustRightInd w:val="0"/>
        <w:spacing w:before="0" w:after="0" w:line="240" w:lineRule="auto"/>
        <w:ind w:left="851" w:hanging="851"/>
        <w:contextualSpacing w:val="0"/>
        <w:rPr>
          <w:rFonts w:cs="Arial"/>
          <w:sz w:val="20"/>
          <w:szCs w:val="20"/>
        </w:rPr>
      </w:pPr>
      <w:r w:rsidRPr="008979CC">
        <w:rPr>
          <w:rFonts w:cs="Arial"/>
          <w:sz w:val="20"/>
          <w:szCs w:val="20"/>
        </w:rPr>
        <w:t>Pojistnou událostí je vznik povinnosti pojištěného nahradit škodu nebo jinou újmu, je-li zároveň spojen se vznikem povinnosti pojistitele poskytnout pojistné plnění.</w:t>
      </w:r>
    </w:p>
    <w:p w:rsidR="00323662" w:rsidRPr="00190E73" w:rsidRDefault="00323662" w:rsidP="00323662">
      <w:pPr>
        <w:widowControl/>
        <w:tabs>
          <w:tab w:val="num" w:pos="851"/>
        </w:tabs>
        <w:autoSpaceDE w:val="0"/>
        <w:autoSpaceDN w:val="0"/>
        <w:adjustRightInd w:val="0"/>
        <w:spacing w:before="0" w:after="0" w:line="240" w:lineRule="auto"/>
        <w:ind w:left="851" w:hanging="851"/>
        <w:contextualSpacing w:val="0"/>
        <w:rPr>
          <w:rFonts w:cs="Arial"/>
          <w:sz w:val="16"/>
          <w:szCs w:val="16"/>
        </w:rPr>
      </w:pPr>
    </w:p>
    <w:p w:rsidR="00323662" w:rsidRPr="00001C8F"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sz w:val="20"/>
          <w:szCs w:val="20"/>
        </w:rPr>
      </w:pPr>
      <w:r>
        <w:rPr>
          <w:rFonts w:cs="Arial"/>
          <w:b/>
          <w:sz w:val="20"/>
          <w:szCs w:val="20"/>
        </w:rPr>
        <w:t>Rozsah pojištění</w:t>
      </w:r>
    </w:p>
    <w:p w:rsidR="00323662" w:rsidRPr="00001C8F" w:rsidRDefault="00323662" w:rsidP="00323662">
      <w:pPr>
        <w:widowControl/>
        <w:numPr>
          <w:ilvl w:val="1"/>
          <w:numId w:val="14"/>
        </w:numPr>
        <w:tabs>
          <w:tab w:val="num" w:pos="851"/>
        </w:tabs>
        <w:autoSpaceDE w:val="0"/>
        <w:autoSpaceDN w:val="0"/>
        <w:adjustRightInd w:val="0"/>
        <w:spacing w:before="0" w:after="120" w:line="240" w:lineRule="auto"/>
        <w:ind w:left="851" w:hanging="851"/>
        <w:contextualSpacing w:val="0"/>
        <w:rPr>
          <w:rFonts w:cs="Arial"/>
          <w:sz w:val="20"/>
          <w:szCs w:val="20"/>
        </w:rPr>
      </w:pPr>
      <w:r w:rsidRPr="008979CC">
        <w:rPr>
          <w:rFonts w:cs="Arial"/>
          <w:sz w:val="20"/>
          <w:szCs w:val="20"/>
        </w:rPr>
        <w:t>Pojištění se řídí pojistnou smlouvou, Všeobecnými pojistnými podmínkami pro pojištění odpovědnosti VPP O 2014/01, Zvláštními pojistnými podmínkami pro poji</w:t>
      </w:r>
      <w:r>
        <w:rPr>
          <w:rFonts w:cs="Arial"/>
          <w:sz w:val="20"/>
          <w:szCs w:val="20"/>
        </w:rPr>
        <w:t>štění odpovědnosti ZPP O 2014/02</w:t>
      </w:r>
      <w:r w:rsidRPr="008979CC">
        <w:rPr>
          <w:rFonts w:cs="Arial"/>
          <w:sz w:val="20"/>
          <w:szCs w:val="20"/>
        </w:rPr>
        <w:t>, doplňkovými pojistnými podmínkami</w:t>
      </w:r>
      <w:r w:rsidRPr="00AB1A99">
        <w:rPr>
          <w:rFonts w:cs="Arial"/>
          <w:sz w:val="20"/>
          <w:szCs w:val="20"/>
        </w:rPr>
        <w:t xml:space="preserve">: </w:t>
      </w:r>
      <w:r w:rsidRPr="00306A09">
        <w:rPr>
          <w:rFonts w:cs="Arial"/>
          <w:sz w:val="20"/>
          <w:szCs w:val="20"/>
        </w:rPr>
        <w:t>Zahraniční pojistné krytí – Evropa (DPP O 01), Věci</w:t>
      </w:r>
      <w:r w:rsidRPr="00AB1A99">
        <w:rPr>
          <w:rFonts w:cs="Arial"/>
          <w:sz w:val="20"/>
          <w:szCs w:val="20"/>
        </w:rPr>
        <w:t xml:space="preserve"> třetích osob (DPP O 03), Věci vnesené a odložené</w:t>
      </w:r>
      <w:r>
        <w:rPr>
          <w:rFonts w:cs="Arial"/>
          <w:sz w:val="20"/>
          <w:szCs w:val="20"/>
        </w:rPr>
        <w:t xml:space="preserve"> </w:t>
      </w:r>
      <w:r w:rsidRPr="00AB1A99">
        <w:rPr>
          <w:rFonts w:cs="Arial"/>
          <w:sz w:val="20"/>
          <w:szCs w:val="20"/>
        </w:rPr>
        <w:t>(DPP O 04), Věci zaměstnanců / návštěvníků (DPP O 05), Nemajetková újma na přirozených právech člověka (DPP O 11), sazebníkem administrativních poplatků, zákonem č. 89/2012 Sb., občanským zákoníkem a ostatními obecně záva</w:t>
      </w:r>
      <w:r w:rsidRPr="008979CC">
        <w:rPr>
          <w:rFonts w:cs="Arial"/>
          <w:sz w:val="20"/>
          <w:szCs w:val="20"/>
        </w:rPr>
        <w:t>znými právními předpisy České republiky.</w:t>
      </w:r>
    </w:p>
    <w:p w:rsidR="00323662" w:rsidRDefault="00323662" w:rsidP="00323662">
      <w:pPr>
        <w:widowControl/>
        <w:numPr>
          <w:ilvl w:val="1"/>
          <w:numId w:val="14"/>
        </w:numPr>
        <w:tabs>
          <w:tab w:val="num" w:pos="851"/>
        </w:tabs>
        <w:autoSpaceDE w:val="0"/>
        <w:autoSpaceDN w:val="0"/>
        <w:adjustRightInd w:val="0"/>
        <w:spacing w:before="0" w:after="120" w:line="240" w:lineRule="auto"/>
        <w:ind w:left="851" w:hanging="851"/>
        <w:contextualSpacing w:val="0"/>
        <w:rPr>
          <w:rFonts w:cs="Arial"/>
          <w:sz w:val="20"/>
        </w:rPr>
      </w:pPr>
      <w:r w:rsidRPr="008979CC">
        <w:rPr>
          <w:rFonts w:cs="Arial"/>
          <w:sz w:val="20"/>
        </w:rPr>
        <w:t>Základní rozsah pojištění je vymezen čl. 3 ZPP O 201</w:t>
      </w:r>
      <w:r>
        <w:rPr>
          <w:rFonts w:cs="Arial"/>
          <w:sz w:val="20"/>
        </w:rPr>
        <w:t>4/02 a následujícím smluvním ujednáním:</w:t>
      </w:r>
    </w:p>
    <w:p w:rsidR="00323662" w:rsidRPr="00AB1A9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AB1A99">
        <w:rPr>
          <w:rFonts w:cs="Arial"/>
          <w:sz w:val="20"/>
        </w:rPr>
        <w:t>Pojištěný má rovněž právo, aby za něj pojistitel zaplatil částku, kterou je pojištěný jako vlastník pozemní komunikace povinen uhradit z důvodu ručení za splnění povinnosti k náhradě škody nebo jiné újmy za správce této komunikace. Tato úhrada bude poskytnuta pouze v rozsahu, v jakém by vzniklo právo na pojistné plnění v případě, že by pojištěný nepoužil služeb správce a předmětnou škodu nebo jinou újmu by způsobil sám.</w:t>
      </w:r>
    </w:p>
    <w:p w:rsidR="00323662" w:rsidRPr="008979CC" w:rsidRDefault="00323662" w:rsidP="00323662">
      <w:pPr>
        <w:widowControl/>
        <w:numPr>
          <w:ilvl w:val="1"/>
          <w:numId w:val="14"/>
        </w:numPr>
        <w:tabs>
          <w:tab w:val="num" w:pos="851"/>
        </w:tabs>
        <w:autoSpaceDE w:val="0"/>
        <w:autoSpaceDN w:val="0"/>
        <w:adjustRightInd w:val="0"/>
        <w:spacing w:before="0" w:after="120" w:line="240" w:lineRule="auto"/>
        <w:ind w:left="851" w:hanging="851"/>
        <w:contextualSpacing w:val="0"/>
        <w:rPr>
          <w:rFonts w:cs="Arial"/>
          <w:sz w:val="20"/>
        </w:rPr>
      </w:pPr>
      <w:r w:rsidRPr="008979CC">
        <w:rPr>
          <w:rFonts w:cs="Arial"/>
          <w:sz w:val="20"/>
        </w:rPr>
        <w:t>Rozšíření základního věcného rozsahu p</w:t>
      </w:r>
      <w:r>
        <w:rPr>
          <w:rFonts w:cs="Arial"/>
          <w:sz w:val="20"/>
        </w:rPr>
        <w:t>ojištění dle čl. 4 ZPP O 2014/02</w:t>
      </w:r>
      <w:r w:rsidRPr="008979CC">
        <w:rPr>
          <w:rFonts w:cs="Arial"/>
          <w:sz w:val="20"/>
        </w:rPr>
        <w:t xml:space="preserve"> je sjednáno pro tato pojistná nebezpečí:</w:t>
      </w:r>
    </w:p>
    <w:p w:rsidR="00323662" w:rsidRPr="00E76DF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E76DF9">
        <w:rPr>
          <w:rFonts w:cs="Arial"/>
          <w:sz w:val="20"/>
        </w:rPr>
        <w:t xml:space="preserve">Škoda nebo jiná újma z vlastnických, nájemních a obdobných vztahů </w:t>
      </w:r>
    </w:p>
    <w:p w:rsidR="00323662" w:rsidRPr="00E76DF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E76DF9">
        <w:rPr>
          <w:rFonts w:cs="Arial"/>
          <w:sz w:val="20"/>
        </w:rPr>
        <w:t>Škoda nebo jiná újma způsobená vadou výrobku</w:t>
      </w:r>
    </w:p>
    <w:p w:rsidR="00323662" w:rsidRPr="00E76DF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E76DF9">
        <w:rPr>
          <w:rFonts w:cs="Arial"/>
          <w:sz w:val="20"/>
        </w:rPr>
        <w:t>Regresní náhrady ze zdravotního nebo nemocenského pojištění</w:t>
      </w:r>
    </w:p>
    <w:p w:rsidR="00323662" w:rsidRPr="00E76DF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E76DF9">
        <w:rPr>
          <w:rFonts w:cs="Arial"/>
          <w:sz w:val="20"/>
        </w:rPr>
        <w:t>Čistě finanční škoda</w:t>
      </w:r>
    </w:p>
    <w:p w:rsidR="00323662" w:rsidRPr="00E76DF9" w:rsidRDefault="00323662" w:rsidP="00323662">
      <w:pPr>
        <w:widowControl/>
        <w:numPr>
          <w:ilvl w:val="2"/>
          <w:numId w:val="14"/>
        </w:numPr>
        <w:tabs>
          <w:tab w:val="num" w:pos="851"/>
        </w:tabs>
        <w:autoSpaceDE w:val="0"/>
        <w:autoSpaceDN w:val="0"/>
        <w:adjustRightInd w:val="0"/>
        <w:spacing w:before="0" w:after="120" w:line="240" w:lineRule="auto"/>
        <w:ind w:left="851" w:hanging="851"/>
        <w:contextualSpacing w:val="0"/>
        <w:rPr>
          <w:rFonts w:cs="Arial"/>
          <w:sz w:val="20"/>
        </w:rPr>
      </w:pPr>
      <w:r w:rsidRPr="00E76DF9">
        <w:rPr>
          <w:rFonts w:cs="Arial"/>
          <w:sz w:val="20"/>
        </w:rPr>
        <w:t>Čistě finanční škoda – pokuty a penále</w:t>
      </w:r>
    </w:p>
    <w:p w:rsidR="00323662" w:rsidRPr="00E76DF9" w:rsidRDefault="00323662" w:rsidP="00323662">
      <w:pPr>
        <w:widowControl/>
        <w:numPr>
          <w:ilvl w:val="1"/>
          <w:numId w:val="14"/>
        </w:numPr>
        <w:tabs>
          <w:tab w:val="num" w:pos="851"/>
        </w:tabs>
        <w:autoSpaceDE w:val="0"/>
        <w:autoSpaceDN w:val="0"/>
        <w:adjustRightInd w:val="0"/>
        <w:spacing w:before="100" w:beforeAutospacing="1" w:after="120" w:line="240" w:lineRule="auto"/>
        <w:ind w:left="851" w:hanging="851"/>
        <w:contextualSpacing w:val="0"/>
        <w:rPr>
          <w:rFonts w:cs="Arial"/>
          <w:bCs/>
          <w:sz w:val="20"/>
          <w:szCs w:val="20"/>
        </w:rPr>
      </w:pPr>
      <w:r w:rsidRPr="00E76DF9">
        <w:rPr>
          <w:rFonts w:cs="Arial"/>
          <w:bCs/>
          <w:sz w:val="20"/>
          <w:szCs w:val="20"/>
        </w:rPr>
        <w:t xml:space="preserve">Zvláštní ustanovení pro pojištění vybraných činností a vztahů se sjednává pro tato pojistná nebezpečí: </w:t>
      </w:r>
    </w:p>
    <w:p w:rsidR="00323662" w:rsidRPr="00D7686F" w:rsidRDefault="00323662" w:rsidP="00323662">
      <w:pPr>
        <w:widowControl/>
        <w:numPr>
          <w:ilvl w:val="2"/>
          <w:numId w:val="14"/>
        </w:numPr>
        <w:tabs>
          <w:tab w:val="num" w:pos="851"/>
        </w:tabs>
        <w:autoSpaceDE w:val="0"/>
        <w:autoSpaceDN w:val="0"/>
        <w:adjustRightInd w:val="0"/>
        <w:spacing w:before="0" w:after="0" w:line="240" w:lineRule="auto"/>
        <w:ind w:left="851" w:hanging="851"/>
        <w:contextualSpacing w:val="0"/>
        <w:rPr>
          <w:bCs/>
          <w:sz w:val="20"/>
          <w:szCs w:val="20"/>
        </w:rPr>
      </w:pPr>
      <w:r w:rsidRPr="00E76DF9">
        <w:rPr>
          <w:bCs/>
          <w:sz w:val="20"/>
          <w:szCs w:val="20"/>
        </w:rPr>
        <w:t>Praktické vyučování dle čl. 5 odst. 1 ZPP O 2014/02</w:t>
      </w:r>
    </w:p>
    <w:p w:rsidR="00323662" w:rsidRPr="00C9376C" w:rsidRDefault="00323662" w:rsidP="00323662">
      <w:pPr>
        <w:tabs>
          <w:tab w:val="num" w:pos="851"/>
        </w:tabs>
        <w:ind w:left="851" w:hanging="851"/>
        <w:rPr>
          <w:rFonts w:cs="Arial"/>
          <w:sz w:val="10"/>
          <w:szCs w:val="10"/>
        </w:rPr>
      </w:pPr>
    </w:p>
    <w:p w:rsidR="00323662" w:rsidRPr="00001C8F"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i/>
          <w:sz w:val="20"/>
        </w:rPr>
      </w:pPr>
      <w:r w:rsidRPr="008979CC">
        <w:rPr>
          <w:rFonts w:cs="Arial"/>
          <w:b/>
          <w:sz w:val="20"/>
        </w:rPr>
        <w:t>Pojištěný předmět činnosti</w:t>
      </w:r>
    </w:p>
    <w:p w:rsidR="00323662" w:rsidRPr="00040E5D" w:rsidRDefault="00323662" w:rsidP="00323662">
      <w:pPr>
        <w:widowControl/>
        <w:numPr>
          <w:ilvl w:val="1"/>
          <w:numId w:val="14"/>
        </w:numPr>
        <w:tabs>
          <w:tab w:val="num" w:pos="851"/>
        </w:tabs>
        <w:autoSpaceDE w:val="0"/>
        <w:autoSpaceDN w:val="0"/>
        <w:adjustRightInd w:val="0"/>
        <w:spacing w:before="0" w:after="0" w:line="240" w:lineRule="auto"/>
        <w:ind w:left="851" w:hanging="851"/>
        <w:contextualSpacing w:val="0"/>
        <w:rPr>
          <w:rFonts w:cs="Arial"/>
          <w:sz w:val="20"/>
        </w:rPr>
      </w:pPr>
      <w:r w:rsidRPr="001A3DAB">
        <w:rPr>
          <w:rFonts w:cs="Arial"/>
          <w:sz w:val="20"/>
        </w:rPr>
        <w:t>Činnosti, ke</w:t>
      </w:r>
      <w:r>
        <w:rPr>
          <w:rFonts w:cs="Arial"/>
          <w:sz w:val="20"/>
        </w:rPr>
        <w:t xml:space="preserve"> kterým</w:t>
      </w:r>
      <w:r w:rsidRPr="008979CC">
        <w:rPr>
          <w:rFonts w:cs="Arial"/>
          <w:sz w:val="20"/>
        </w:rPr>
        <w:t xml:space="preserve"> je pojištěný oprávněn na </w:t>
      </w:r>
      <w:r>
        <w:rPr>
          <w:rFonts w:cs="Arial"/>
          <w:sz w:val="20"/>
        </w:rPr>
        <w:t xml:space="preserve">Zřizovací listiny Ústavu </w:t>
      </w:r>
      <w:r w:rsidRPr="00306A09">
        <w:rPr>
          <w:rFonts w:cs="Arial"/>
          <w:sz w:val="20"/>
          <w:szCs w:val="20"/>
        </w:rPr>
        <w:t>živočišné fyziologie a genetiky</w:t>
      </w:r>
      <w:r>
        <w:rPr>
          <w:rFonts w:cs="Arial"/>
          <w:sz w:val="20"/>
        </w:rPr>
        <w:t xml:space="preserve"> AV ČR, v. v. i.</w:t>
      </w:r>
      <w:r>
        <w:rPr>
          <w:rFonts w:cs="Arial"/>
          <w:sz w:val="20"/>
          <w:szCs w:val="20"/>
        </w:rPr>
        <w:t>, která je nedílnou součástí této pojistné smlouvy.</w:t>
      </w:r>
    </w:p>
    <w:p w:rsidR="00323662" w:rsidRDefault="00323662" w:rsidP="00323662">
      <w:pPr>
        <w:widowControl/>
        <w:autoSpaceDE w:val="0"/>
        <w:autoSpaceDN w:val="0"/>
        <w:adjustRightInd w:val="0"/>
        <w:spacing w:before="0" w:after="120" w:line="240" w:lineRule="auto"/>
        <w:rPr>
          <w:rFonts w:cs="Arial"/>
          <w:sz w:val="20"/>
        </w:rPr>
      </w:pPr>
      <w:r>
        <w:rPr>
          <w:rFonts w:cs="Arial"/>
          <w:sz w:val="20"/>
        </w:rPr>
        <w:t>3.2.</w:t>
      </w:r>
      <w:r>
        <w:rPr>
          <w:rFonts w:cs="Arial"/>
          <w:sz w:val="20"/>
        </w:rPr>
        <w:tab/>
        <w:t xml:space="preserve">  Pronájem objektů, ke kterému je pojištěný oprávněn a nevyžaduje zvláštního oprávnění nebo povolení.</w:t>
      </w:r>
    </w:p>
    <w:p w:rsidR="00323662" w:rsidRPr="00C9376C" w:rsidRDefault="00323662" w:rsidP="00323662">
      <w:pPr>
        <w:tabs>
          <w:tab w:val="num" w:pos="851"/>
        </w:tabs>
        <w:ind w:left="851" w:hanging="851"/>
        <w:rPr>
          <w:rFonts w:cs="Arial"/>
          <w:sz w:val="10"/>
          <w:szCs w:val="10"/>
        </w:rPr>
      </w:pPr>
    </w:p>
    <w:p w:rsidR="00323662" w:rsidRPr="00001C8F"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bCs/>
          <w:color w:val="auto"/>
          <w:sz w:val="20"/>
        </w:rPr>
      </w:pPr>
      <w:r>
        <w:rPr>
          <w:rFonts w:cs="Arial"/>
          <w:b/>
          <w:color w:val="auto"/>
          <w:sz w:val="20"/>
        </w:rPr>
        <w:t>Územní rozsah pojištění</w:t>
      </w:r>
    </w:p>
    <w:p w:rsidR="00323662" w:rsidRPr="00306A09" w:rsidRDefault="00323662" w:rsidP="00323662">
      <w:pPr>
        <w:widowControl/>
        <w:tabs>
          <w:tab w:val="num" w:pos="851"/>
        </w:tabs>
        <w:autoSpaceDE w:val="0"/>
        <w:autoSpaceDN w:val="0"/>
        <w:adjustRightInd w:val="0"/>
        <w:spacing w:before="0" w:after="0" w:line="240" w:lineRule="auto"/>
        <w:ind w:left="851" w:hanging="851"/>
        <w:contextualSpacing w:val="0"/>
        <w:rPr>
          <w:rFonts w:cs="Arial"/>
          <w:sz w:val="20"/>
          <w:szCs w:val="20"/>
        </w:rPr>
      </w:pPr>
      <w:r>
        <w:rPr>
          <w:rFonts w:cs="Arial"/>
          <w:sz w:val="20"/>
          <w:szCs w:val="20"/>
        </w:rPr>
        <w:tab/>
      </w:r>
      <w:r w:rsidRPr="00306A09">
        <w:rPr>
          <w:rFonts w:cs="Arial"/>
          <w:sz w:val="20"/>
          <w:szCs w:val="20"/>
        </w:rPr>
        <w:t>Evropa - dle DPP O 01</w:t>
      </w:r>
    </w:p>
    <w:p w:rsidR="00323662" w:rsidRPr="00306A09" w:rsidRDefault="00323662" w:rsidP="00323662">
      <w:pPr>
        <w:widowControl/>
        <w:tabs>
          <w:tab w:val="num" w:pos="851"/>
        </w:tabs>
        <w:autoSpaceDE w:val="0"/>
        <w:autoSpaceDN w:val="0"/>
        <w:adjustRightInd w:val="0"/>
        <w:spacing w:before="0" w:after="0" w:line="240" w:lineRule="auto"/>
        <w:ind w:left="851" w:hanging="851"/>
        <w:contextualSpacing w:val="0"/>
        <w:rPr>
          <w:rFonts w:cs="Arial"/>
          <w:sz w:val="20"/>
          <w:szCs w:val="20"/>
        </w:rPr>
      </w:pPr>
      <w:r>
        <w:rPr>
          <w:rFonts w:cs="Arial"/>
          <w:sz w:val="20"/>
          <w:szCs w:val="20"/>
        </w:rPr>
        <w:tab/>
      </w:r>
      <w:r w:rsidRPr="00306A09">
        <w:rPr>
          <w:rFonts w:cs="Arial"/>
          <w:sz w:val="20"/>
          <w:szCs w:val="20"/>
        </w:rPr>
        <w:t>Ujednává se, že spoluúčast uvedená v čl. 3) DPP O 01 se neuplatní a pro celý rozsah pojištění jsou platné spoluúčasti uvedené v</w:t>
      </w:r>
      <w:r>
        <w:rPr>
          <w:rFonts w:cs="Arial"/>
          <w:sz w:val="20"/>
          <w:szCs w:val="20"/>
        </w:rPr>
        <w:t xml:space="preserve"> Oddílu B,</w:t>
      </w:r>
      <w:r w:rsidRPr="00306A09">
        <w:rPr>
          <w:rFonts w:cs="Arial"/>
          <w:sz w:val="20"/>
          <w:szCs w:val="20"/>
        </w:rPr>
        <w:t xml:space="preserve"> čl. 6. této pojistné smlouvy.</w:t>
      </w:r>
    </w:p>
    <w:p w:rsidR="00323662" w:rsidRPr="00C9376C" w:rsidRDefault="00323662" w:rsidP="00323662">
      <w:pPr>
        <w:tabs>
          <w:tab w:val="num" w:pos="851"/>
        </w:tabs>
        <w:ind w:left="851" w:hanging="851"/>
        <w:rPr>
          <w:rFonts w:cs="Arial"/>
          <w:sz w:val="10"/>
          <w:szCs w:val="10"/>
        </w:rPr>
      </w:pPr>
    </w:p>
    <w:p w:rsidR="00323662" w:rsidRPr="00001C8F"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sz w:val="20"/>
          <w:szCs w:val="20"/>
        </w:rPr>
      </w:pPr>
      <w:r w:rsidRPr="008979CC">
        <w:rPr>
          <w:rFonts w:cs="Arial"/>
          <w:b/>
          <w:sz w:val="20"/>
          <w:szCs w:val="20"/>
        </w:rPr>
        <w:t>Časový rozsah pojištění</w:t>
      </w:r>
    </w:p>
    <w:p w:rsidR="00323662" w:rsidRPr="008979CC" w:rsidRDefault="00323662" w:rsidP="00323662">
      <w:pPr>
        <w:widowControl/>
        <w:tabs>
          <w:tab w:val="num" w:pos="851"/>
        </w:tabs>
        <w:autoSpaceDE w:val="0"/>
        <w:autoSpaceDN w:val="0"/>
        <w:adjustRightInd w:val="0"/>
        <w:spacing w:before="0" w:after="0" w:line="240" w:lineRule="auto"/>
        <w:ind w:left="851" w:hanging="851"/>
        <w:contextualSpacing w:val="0"/>
        <w:rPr>
          <w:rFonts w:cs="Arial"/>
          <w:sz w:val="20"/>
          <w:szCs w:val="20"/>
        </w:rPr>
      </w:pPr>
      <w:r>
        <w:rPr>
          <w:rFonts w:cs="Arial"/>
          <w:sz w:val="20"/>
          <w:szCs w:val="20"/>
        </w:rPr>
        <w:tab/>
      </w:r>
      <w:r w:rsidRPr="008979CC">
        <w:rPr>
          <w:rFonts w:cs="Arial"/>
          <w:sz w:val="20"/>
          <w:szCs w:val="20"/>
        </w:rPr>
        <w:t>V soulad</w:t>
      </w:r>
      <w:r>
        <w:rPr>
          <w:rFonts w:cs="Arial"/>
          <w:sz w:val="20"/>
          <w:szCs w:val="20"/>
        </w:rPr>
        <w:t>u s čl. 3, odst. 2 ZPP O 2014/02</w:t>
      </w:r>
      <w:r w:rsidRPr="008979CC">
        <w:rPr>
          <w:rFonts w:cs="Arial"/>
          <w:sz w:val="20"/>
          <w:szCs w:val="20"/>
        </w:rPr>
        <w:t xml:space="preserve"> se pojištění vztahuje na povinnost pojištěného k náhradě škody nebo jiné újmy, pokud za ni odpovídá v důsledku příčiny vzniku škody nebo jiné újmy z doby trvání pojištění sjednané dle této pojistné smlouvy.</w:t>
      </w:r>
    </w:p>
    <w:p w:rsidR="00323662" w:rsidRDefault="00323662" w:rsidP="00323662">
      <w:pPr>
        <w:widowControl/>
        <w:tabs>
          <w:tab w:val="num" w:pos="851"/>
        </w:tabs>
        <w:autoSpaceDE w:val="0"/>
        <w:autoSpaceDN w:val="0"/>
        <w:adjustRightInd w:val="0"/>
        <w:spacing w:before="0" w:after="0" w:line="240" w:lineRule="auto"/>
        <w:ind w:left="851" w:hanging="851"/>
        <w:contextualSpacing w:val="0"/>
        <w:rPr>
          <w:rFonts w:cs="Arial"/>
          <w:sz w:val="20"/>
          <w:szCs w:val="20"/>
        </w:rPr>
      </w:pPr>
      <w:r>
        <w:rPr>
          <w:rFonts w:cs="Arial"/>
          <w:sz w:val="20"/>
          <w:szCs w:val="20"/>
        </w:rPr>
        <w:tab/>
      </w:r>
      <w:r w:rsidRPr="008979CC">
        <w:rPr>
          <w:rFonts w:cs="Arial"/>
          <w:sz w:val="20"/>
          <w:szCs w:val="20"/>
        </w:rPr>
        <w:t>Škoda nebo jiná újma, ke které dojde v době trvání pojištění, na základě příčiny vzniku škody nebo jiné újmy z doby před uzavřením pojistné smlouvy je pojištěním kryta pouze tehdy, pokud pojištěnému tato příčina v době uzavření pojistné smlouvy nemohla být známa.</w:t>
      </w:r>
    </w:p>
    <w:p w:rsidR="00323662" w:rsidRPr="00303332" w:rsidRDefault="00323662" w:rsidP="00323662">
      <w:pPr>
        <w:widowControl/>
        <w:numPr>
          <w:ilvl w:val="0"/>
          <w:numId w:val="14"/>
        </w:numPr>
        <w:tabs>
          <w:tab w:val="clear" w:pos="1080"/>
          <w:tab w:val="num" w:pos="851"/>
        </w:tabs>
        <w:spacing w:before="0" w:after="120" w:line="240" w:lineRule="auto"/>
        <w:ind w:left="851" w:hanging="851"/>
        <w:contextualSpacing w:val="0"/>
        <w:rPr>
          <w:rFonts w:cs="Arial"/>
          <w:b/>
          <w:sz w:val="20"/>
          <w:szCs w:val="20"/>
        </w:rPr>
      </w:pPr>
      <w:r w:rsidRPr="008979CC">
        <w:rPr>
          <w:rFonts w:cs="Arial"/>
          <w:b/>
          <w:sz w:val="20"/>
          <w:szCs w:val="20"/>
        </w:rPr>
        <w:t>Limit pojistného plnění, spoluúčast</w:t>
      </w:r>
    </w:p>
    <w:tbl>
      <w:tblPr>
        <w:tblStyle w:val="Mkatabulky"/>
        <w:tblW w:w="9922" w:type="dxa"/>
        <w:tblInd w:w="39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118"/>
        <w:gridCol w:w="1275"/>
        <w:gridCol w:w="884"/>
        <w:gridCol w:w="1986"/>
        <w:gridCol w:w="424"/>
        <w:gridCol w:w="1527"/>
        <w:gridCol w:w="708"/>
      </w:tblGrid>
      <w:tr w:rsidR="00323662" w:rsidRPr="008979CC" w:rsidTr="00111A29">
        <w:trPr>
          <w:trHeight w:val="397"/>
        </w:trPr>
        <w:tc>
          <w:tcPr>
            <w:tcW w:w="3118" w:type="dxa"/>
            <w:tcBorders>
              <w:top w:val="single" w:sz="12" w:space="0" w:color="C21B17"/>
              <w:bottom w:val="single" w:sz="4" w:space="0" w:color="000000" w:themeColor="text1"/>
            </w:tcBorders>
            <w:shd w:val="clear" w:color="auto" w:fill="auto"/>
            <w:vAlign w:val="center"/>
          </w:tcPr>
          <w:p w:rsidR="00323662" w:rsidRPr="008979CC" w:rsidRDefault="00323662" w:rsidP="00111A29">
            <w:pPr>
              <w:rPr>
                <w:rFonts w:cs="Arial"/>
                <w:b/>
                <w:szCs w:val="18"/>
              </w:rPr>
            </w:pPr>
            <w:r w:rsidRPr="008979CC">
              <w:rPr>
                <w:rFonts w:cs="Arial"/>
                <w:b/>
                <w:szCs w:val="18"/>
              </w:rPr>
              <w:t>Pojistné nebezpečí</w:t>
            </w:r>
          </w:p>
        </w:tc>
        <w:tc>
          <w:tcPr>
            <w:tcW w:w="2159" w:type="dxa"/>
            <w:gridSpan w:val="2"/>
            <w:tcBorders>
              <w:top w:val="single" w:sz="12" w:space="0" w:color="C21B17"/>
              <w:bottom w:val="single" w:sz="4" w:space="0" w:color="000000" w:themeColor="text1"/>
            </w:tcBorders>
            <w:shd w:val="clear" w:color="auto" w:fill="auto"/>
            <w:vAlign w:val="center"/>
          </w:tcPr>
          <w:p w:rsidR="00323662" w:rsidRPr="008979CC" w:rsidRDefault="00323662" w:rsidP="00111A29">
            <w:pPr>
              <w:rPr>
                <w:rFonts w:cs="Arial"/>
                <w:b/>
                <w:color w:val="C21B17"/>
                <w:szCs w:val="18"/>
              </w:rPr>
            </w:pPr>
            <w:r w:rsidRPr="008979CC">
              <w:rPr>
                <w:rFonts w:cs="Arial"/>
                <w:b/>
                <w:color w:val="C21B17"/>
                <w:szCs w:val="18"/>
              </w:rPr>
              <w:t>Rozsah pojištění</w:t>
            </w:r>
          </w:p>
          <w:p w:rsidR="00323662" w:rsidRPr="008979CC" w:rsidRDefault="00323662" w:rsidP="00111A29">
            <w:pPr>
              <w:rPr>
                <w:rFonts w:cs="Arial"/>
                <w:b/>
                <w:szCs w:val="18"/>
              </w:rPr>
            </w:pPr>
            <w:r w:rsidRPr="008979CC">
              <w:rPr>
                <w:rFonts w:cs="Arial"/>
                <w:b/>
                <w:color w:val="C21B17"/>
                <w:szCs w:val="18"/>
              </w:rPr>
              <w:t>dle</w:t>
            </w:r>
          </w:p>
        </w:tc>
        <w:tc>
          <w:tcPr>
            <w:tcW w:w="2410" w:type="dxa"/>
            <w:gridSpan w:val="2"/>
            <w:tcBorders>
              <w:top w:val="single" w:sz="12" w:space="0" w:color="C21B17"/>
              <w:bottom w:val="single" w:sz="4" w:space="0" w:color="000000" w:themeColor="text1"/>
            </w:tcBorders>
            <w:shd w:val="clear" w:color="auto" w:fill="auto"/>
            <w:vAlign w:val="center"/>
          </w:tcPr>
          <w:p w:rsidR="00323662" w:rsidRPr="008979CC" w:rsidRDefault="00323662" w:rsidP="00111A29">
            <w:pPr>
              <w:rPr>
                <w:rFonts w:cs="Arial"/>
                <w:b/>
                <w:color w:val="C21B17"/>
                <w:szCs w:val="18"/>
              </w:rPr>
            </w:pPr>
            <w:r w:rsidRPr="008979CC">
              <w:rPr>
                <w:rFonts w:cs="Arial"/>
                <w:b/>
                <w:color w:val="C21B17"/>
                <w:szCs w:val="18"/>
              </w:rPr>
              <w:t>Limit / sublimit</w:t>
            </w:r>
          </w:p>
          <w:p w:rsidR="00323662" w:rsidRPr="008979CC" w:rsidRDefault="00323662" w:rsidP="00111A29">
            <w:pPr>
              <w:rPr>
                <w:rFonts w:cs="Arial"/>
                <w:szCs w:val="18"/>
              </w:rPr>
            </w:pPr>
            <w:r>
              <w:rPr>
                <w:rFonts w:cs="Arial"/>
                <w:b/>
                <w:color w:val="C21B17"/>
                <w:szCs w:val="18"/>
              </w:rPr>
              <w:t>pojis</w:t>
            </w:r>
            <w:r w:rsidRPr="008979CC">
              <w:rPr>
                <w:rFonts w:cs="Arial"/>
                <w:b/>
                <w:color w:val="C21B17"/>
                <w:szCs w:val="18"/>
              </w:rPr>
              <w:t>t</w:t>
            </w:r>
            <w:r>
              <w:rPr>
                <w:rFonts w:cs="Arial"/>
                <w:b/>
                <w:color w:val="C21B17"/>
                <w:szCs w:val="18"/>
              </w:rPr>
              <w:t>n</w:t>
            </w:r>
            <w:r w:rsidRPr="008979CC">
              <w:rPr>
                <w:rFonts w:cs="Arial"/>
                <w:b/>
                <w:color w:val="C21B17"/>
                <w:szCs w:val="18"/>
              </w:rPr>
              <w:t>ého  plnění</w:t>
            </w:r>
          </w:p>
        </w:tc>
        <w:tc>
          <w:tcPr>
            <w:tcW w:w="2235" w:type="dxa"/>
            <w:gridSpan w:val="2"/>
            <w:tcBorders>
              <w:top w:val="single" w:sz="12" w:space="0" w:color="C21B17"/>
              <w:bottom w:val="single" w:sz="4" w:space="0" w:color="000000" w:themeColor="text1"/>
            </w:tcBorders>
            <w:shd w:val="clear" w:color="auto" w:fill="auto"/>
            <w:vAlign w:val="center"/>
          </w:tcPr>
          <w:p w:rsidR="00323662" w:rsidRPr="008979CC" w:rsidRDefault="00323662" w:rsidP="00111A29">
            <w:pPr>
              <w:rPr>
                <w:rFonts w:cs="Arial"/>
                <w:szCs w:val="18"/>
              </w:rPr>
            </w:pPr>
            <w:r w:rsidRPr="008979CC">
              <w:rPr>
                <w:rFonts w:cs="Arial"/>
                <w:b/>
                <w:color w:val="C21B17"/>
                <w:szCs w:val="18"/>
              </w:rPr>
              <w:t>Spoluúčast</w:t>
            </w:r>
          </w:p>
        </w:tc>
      </w:tr>
      <w:tr w:rsidR="00323662" w:rsidRPr="008979CC" w:rsidTr="00111A29">
        <w:trPr>
          <w:trHeight w:val="397"/>
        </w:trPr>
        <w:tc>
          <w:tcPr>
            <w:tcW w:w="3118" w:type="dxa"/>
            <w:tcBorders>
              <w:top w:val="single" w:sz="4" w:space="0" w:color="000000" w:themeColor="text1"/>
            </w:tcBorders>
            <w:shd w:val="clear" w:color="auto" w:fill="auto"/>
            <w:vAlign w:val="center"/>
          </w:tcPr>
          <w:p w:rsidR="00323662" w:rsidRPr="008979CC" w:rsidRDefault="00323662" w:rsidP="00111A29">
            <w:pPr>
              <w:rPr>
                <w:rFonts w:cs="Arial"/>
                <w:color w:val="FFFFFF" w:themeColor="background1"/>
                <w:szCs w:val="18"/>
              </w:rPr>
            </w:pPr>
            <w:r w:rsidRPr="008979CC">
              <w:rPr>
                <w:rFonts w:cs="Arial"/>
                <w:szCs w:val="18"/>
              </w:rPr>
              <w:t>Základní rozsah pojištění</w:t>
            </w:r>
          </w:p>
        </w:tc>
        <w:tc>
          <w:tcPr>
            <w:tcW w:w="1275"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2.2.</w:t>
            </w:r>
            <w:r>
              <w:rPr>
                <w:rFonts w:cs="Arial"/>
                <w:color w:val="C21B17"/>
                <w:szCs w:val="18"/>
              </w:rPr>
              <w:t>, Oddíl B</w:t>
            </w:r>
          </w:p>
        </w:tc>
        <w:tc>
          <w:tcPr>
            <w:tcW w:w="884"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c>
          <w:tcPr>
            <w:tcW w:w="1986"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Default="00323662" w:rsidP="00111A29">
            <w:pPr>
              <w:rPr>
                <w:rFonts w:cs="Arial"/>
                <w:szCs w:val="18"/>
              </w:rPr>
            </w:pPr>
            <w:r w:rsidRPr="008979CC">
              <w:rPr>
                <w:rFonts w:cs="Arial"/>
                <w:szCs w:val="18"/>
              </w:rPr>
              <w:t xml:space="preserve">Škoda nebo jiná újma               </w:t>
            </w:r>
          </w:p>
          <w:p w:rsidR="00323662" w:rsidRDefault="00323662" w:rsidP="00111A29">
            <w:pPr>
              <w:rPr>
                <w:rFonts w:cs="Arial"/>
                <w:szCs w:val="18"/>
              </w:rPr>
            </w:pPr>
            <w:r w:rsidRPr="008979CC">
              <w:rPr>
                <w:rFonts w:cs="Arial"/>
                <w:szCs w:val="18"/>
              </w:rPr>
              <w:t xml:space="preserve">z vlastnických, nájemních              </w:t>
            </w:r>
          </w:p>
          <w:p w:rsidR="00323662" w:rsidRPr="008979CC" w:rsidRDefault="00323662" w:rsidP="00111A29">
            <w:pPr>
              <w:rPr>
                <w:rFonts w:cs="Arial"/>
                <w:color w:val="FFFFFF" w:themeColor="background1"/>
                <w:szCs w:val="18"/>
              </w:rPr>
            </w:pPr>
            <w:r w:rsidRPr="008979CC">
              <w:rPr>
                <w:rFonts w:cs="Arial"/>
                <w:szCs w:val="18"/>
              </w:rPr>
              <w:t>a obdobných vztahů</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2.3.1.</w:t>
            </w:r>
            <w:r>
              <w:rPr>
                <w:rFonts w:cs="Arial"/>
                <w:color w:val="C21B17"/>
                <w:szCs w:val="18"/>
              </w:rPr>
              <w:t>,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color w:val="FFFFFF" w:themeColor="background1"/>
                <w:szCs w:val="18"/>
              </w:rPr>
            </w:pPr>
            <w:r w:rsidRPr="008979CC">
              <w:rPr>
                <w:rFonts w:cs="Arial"/>
                <w:szCs w:val="18"/>
              </w:rPr>
              <w:t>Škoda nebo jiná újma způsobená vadou výrobku</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2.3.2.</w:t>
            </w:r>
            <w:r>
              <w:rPr>
                <w:rFonts w:cs="Arial"/>
                <w:color w:val="C21B17"/>
                <w:szCs w:val="18"/>
              </w:rPr>
              <w:t>,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color w:val="FFFFFF" w:themeColor="background1"/>
                <w:szCs w:val="18"/>
              </w:rPr>
            </w:pPr>
            <w:r>
              <w:rPr>
                <w:rFonts w:cs="Arial"/>
                <w:szCs w:val="18"/>
              </w:rPr>
              <w:t xml:space="preserve">Regresní náhrady </w:t>
            </w:r>
            <w:r w:rsidRPr="008979CC">
              <w:rPr>
                <w:rFonts w:cs="Arial"/>
                <w:szCs w:val="18"/>
              </w:rPr>
              <w:t xml:space="preserve"> ze zdravotního nebo nemocenského pojištění</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2.3.3.</w:t>
            </w:r>
            <w:r>
              <w:rPr>
                <w:rFonts w:cs="Arial"/>
                <w:color w:val="C21B17"/>
                <w:szCs w:val="18"/>
              </w:rPr>
              <w:t>,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szCs w:val="18"/>
              </w:rPr>
            </w:pPr>
            <w:r w:rsidRPr="008979CC">
              <w:rPr>
                <w:rFonts w:cs="Arial"/>
                <w:szCs w:val="18"/>
              </w:rPr>
              <w:t>Čistě finanční škoda</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2.3.4.</w:t>
            </w:r>
            <w:r>
              <w:rPr>
                <w:rFonts w:cs="Arial"/>
                <w:color w:val="C21B17"/>
                <w:szCs w:val="18"/>
              </w:rPr>
              <w:t>,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szCs w:val="18"/>
              </w:rPr>
            </w:pPr>
            <w:r w:rsidRPr="008979CC">
              <w:rPr>
                <w:rFonts w:cs="Arial"/>
                <w:szCs w:val="18"/>
              </w:rPr>
              <w:t>Čistě finanční škoda</w:t>
            </w:r>
            <w:r>
              <w:rPr>
                <w:rFonts w:cs="Arial"/>
                <w:szCs w:val="18"/>
              </w:rPr>
              <w:t xml:space="preserve"> – pokuty               a penále</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čl. 2.3.5.,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1 000 000 Kč</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10 000 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szCs w:val="18"/>
              </w:rPr>
            </w:pPr>
            <w:r w:rsidRPr="008979CC">
              <w:rPr>
                <w:rFonts w:cs="Arial"/>
                <w:szCs w:val="18"/>
              </w:rPr>
              <w:t>Praktické vyučování</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čl. 2.</w:t>
            </w:r>
            <w:r>
              <w:rPr>
                <w:rFonts w:cs="Arial"/>
                <w:color w:val="C21B17"/>
                <w:szCs w:val="18"/>
              </w:rPr>
              <w:t>4</w:t>
            </w:r>
            <w:r w:rsidRPr="008979CC">
              <w:rPr>
                <w:rFonts w:cs="Arial"/>
                <w:color w:val="C21B17"/>
                <w:szCs w:val="18"/>
              </w:rPr>
              <w:t>.1.</w:t>
            </w:r>
            <w:r>
              <w:rPr>
                <w:rFonts w:cs="Arial"/>
                <w:color w:val="C21B17"/>
                <w:szCs w:val="18"/>
              </w:rPr>
              <w:t>, Oddíl B</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szCs w:val="18"/>
              </w:rPr>
            </w:pPr>
            <w:r>
              <w:rPr>
                <w:rFonts w:cs="Arial"/>
                <w:color w:val="C21B17"/>
                <w:szCs w:val="18"/>
              </w:rPr>
              <w:t>10 000 000</w:t>
            </w:r>
            <w:r w:rsidRPr="008979CC">
              <w:rPr>
                <w:rFonts w:cs="Arial"/>
                <w:color w:val="C21B17"/>
                <w:szCs w:val="18"/>
              </w:rPr>
              <w:t xml:space="preserve"> Kč </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szCs w:val="18"/>
              </w:rPr>
            </w:pPr>
            <w:r w:rsidRPr="008979CC">
              <w:rPr>
                <w:rFonts w:cs="Arial"/>
                <w:szCs w:val="18"/>
              </w:rPr>
              <w:t>Věci třetích osob</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DPP O 03</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5 000 000</w:t>
            </w:r>
            <w:r w:rsidRPr="008979CC">
              <w:rPr>
                <w:rFonts w:cs="Arial"/>
                <w:color w:val="C21B17"/>
                <w:szCs w:val="18"/>
              </w:rPr>
              <w:t xml:space="preserve"> Kč</w:t>
            </w:r>
          </w:p>
        </w:tc>
        <w:tc>
          <w:tcPr>
            <w:tcW w:w="424" w:type="dxa"/>
            <w:shd w:val="clear" w:color="auto" w:fill="auto"/>
            <w:vAlign w:val="center"/>
          </w:tcPr>
          <w:p w:rsidR="00323662" w:rsidRPr="008979CC"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 xml:space="preserve">1 000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tcBorders>
              <w:top w:val="single" w:sz="4" w:space="0" w:color="000000" w:themeColor="text1"/>
            </w:tcBorders>
            <w:shd w:val="clear" w:color="auto" w:fill="auto"/>
            <w:vAlign w:val="center"/>
          </w:tcPr>
          <w:p w:rsidR="00323662" w:rsidRPr="008979CC" w:rsidRDefault="00323662" w:rsidP="00111A29">
            <w:pPr>
              <w:rPr>
                <w:rFonts w:cs="Arial"/>
                <w:color w:val="FFFFFF" w:themeColor="background1"/>
                <w:szCs w:val="18"/>
              </w:rPr>
            </w:pPr>
            <w:r w:rsidRPr="008979CC">
              <w:rPr>
                <w:rFonts w:cs="Arial"/>
                <w:szCs w:val="18"/>
              </w:rPr>
              <w:t>Věci vnesené a odložené</w:t>
            </w:r>
          </w:p>
        </w:tc>
        <w:tc>
          <w:tcPr>
            <w:tcW w:w="1275"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DPP O 04</w:t>
            </w:r>
          </w:p>
        </w:tc>
        <w:tc>
          <w:tcPr>
            <w:tcW w:w="884"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c>
          <w:tcPr>
            <w:tcW w:w="1986" w:type="dxa"/>
            <w:tcBorders>
              <w:top w:val="single" w:sz="4" w:space="0" w:color="000000" w:themeColor="text1"/>
            </w:tcBorders>
            <w:shd w:val="clear" w:color="auto" w:fill="F2F2F2" w:themeFill="background1" w:themeFillShade="F2"/>
            <w:vAlign w:val="center"/>
          </w:tcPr>
          <w:p w:rsidR="00323662" w:rsidRPr="0026729D" w:rsidRDefault="00323662" w:rsidP="00111A29">
            <w:pPr>
              <w:rPr>
                <w:rFonts w:cs="Arial"/>
                <w:color w:val="C21B17"/>
                <w:szCs w:val="18"/>
              </w:rPr>
            </w:pPr>
            <w:r w:rsidRPr="0026729D">
              <w:rPr>
                <w:rFonts w:cs="Arial"/>
                <w:color w:val="C21B17"/>
                <w:szCs w:val="18"/>
              </w:rPr>
              <w:t>1 </w:t>
            </w:r>
            <w:r>
              <w:rPr>
                <w:rFonts w:cs="Arial"/>
                <w:color w:val="C21B17"/>
                <w:szCs w:val="18"/>
              </w:rPr>
              <w:t xml:space="preserve">000 000 Kč (odchylně od čl. 5 a </w:t>
            </w:r>
            <w:r w:rsidRPr="0026729D">
              <w:rPr>
                <w:rFonts w:cs="Arial"/>
                <w:color w:val="C21B17"/>
                <w:szCs w:val="18"/>
              </w:rPr>
              <w:t>7 DPP O 04)</w:t>
            </w:r>
          </w:p>
        </w:tc>
        <w:tc>
          <w:tcPr>
            <w:tcW w:w="424" w:type="dxa"/>
            <w:tcBorders>
              <w:top w:val="single" w:sz="4" w:space="0" w:color="000000" w:themeColor="text1"/>
            </w:tcBorders>
            <w:shd w:val="clear" w:color="auto" w:fill="auto"/>
            <w:vAlign w:val="center"/>
          </w:tcPr>
          <w:p w:rsidR="00323662" w:rsidRPr="0026729D" w:rsidRDefault="00323662" w:rsidP="00111A29">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b/>
                <w:szCs w:val="18"/>
              </w:rPr>
            </w:pPr>
            <w:r>
              <w:rPr>
                <w:rFonts w:cs="Arial"/>
                <w:color w:val="C21B17"/>
                <w:szCs w:val="18"/>
              </w:rPr>
              <w:t>viz. DPP O 04</w:t>
            </w:r>
          </w:p>
        </w:tc>
        <w:tc>
          <w:tcPr>
            <w:tcW w:w="708"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tcBorders>
              <w:top w:val="single" w:sz="4" w:space="0" w:color="000000" w:themeColor="text1"/>
            </w:tcBorders>
            <w:shd w:val="clear" w:color="auto" w:fill="auto"/>
            <w:vAlign w:val="center"/>
          </w:tcPr>
          <w:p w:rsidR="00323662" w:rsidRPr="00A333DC" w:rsidRDefault="00323662" w:rsidP="00111A29">
            <w:pPr>
              <w:rPr>
                <w:rFonts w:cs="Arial"/>
                <w:szCs w:val="18"/>
              </w:rPr>
            </w:pPr>
            <w:r w:rsidRPr="00A333DC">
              <w:rPr>
                <w:rFonts w:cs="Arial"/>
                <w:szCs w:val="18"/>
              </w:rPr>
              <w:t xml:space="preserve">Věci zaměstnanců </w:t>
            </w:r>
          </w:p>
          <w:p w:rsidR="00323662" w:rsidRPr="008979CC" w:rsidRDefault="00323662" w:rsidP="00111A29">
            <w:pPr>
              <w:rPr>
                <w:rFonts w:cs="Arial"/>
                <w:szCs w:val="18"/>
              </w:rPr>
            </w:pPr>
            <w:r w:rsidRPr="00A333DC">
              <w:rPr>
                <w:rFonts w:cs="Arial"/>
                <w:szCs w:val="18"/>
              </w:rPr>
              <w:t>a návštěvníků</w:t>
            </w:r>
          </w:p>
        </w:tc>
        <w:tc>
          <w:tcPr>
            <w:tcW w:w="1275"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DPP O 05</w:t>
            </w:r>
          </w:p>
        </w:tc>
        <w:tc>
          <w:tcPr>
            <w:tcW w:w="884"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c>
          <w:tcPr>
            <w:tcW w:w="1986" w:type="dxa"/>
            <w:tcBorders>
              <w:top w:val="single" w:sz="4" w:space="0" w:color="000000" w:themeColor="text1"/>
            </w:tcBorders>
            <w:shd w:val="clear" w:color="auto" w:fill="F2F2F2" w:themeFill="background1" w:themeFillShade="F2"/>
            <w:vAlign w:val="center"/>
          </w:tcPr>
          <w:p w:rsidR="00323662" w:rsidRPr="0026729D" w:rsidRDefault="00323662" w:rsidP="00111A29">
            <w:pPr>
              <w:rPr>
                <w:rFonts w:cs="Arial"/>
                <w:color w:val="C21B17"/>
                <w:szCs w:val="18"/>
              </w:rPr>
            </w:pPr>
            <w:r w:rsidRPr="0026729D">
              <w:rPr>
                <w:rFonts w:cs="Arial"/>
                <w:color w:val="C21B17"/>
                <w:szCs w:val="18"/>
              </w:rPr>
              <w:t xml:space="preserve">1 000 000 Kč (odchylně od čl. </w:t>
            </w:r>
            <w:r>
              <w:rPr>
                <w:rFonts w:cs="Arial"/>
                <w:color w:val="C21B17"/>
                <w:szCs w:val="18"/>
              </w:rPr>
              <w:t xml:space="preserve">5, 7   a </w:t>
            </w:r>
            <w:r w:rsidRPr="0026729D">
              <w:rPr>
                <w:rFonts w:cs="Arial"/>
                <w:color w:val="C21B17"/>
                <w:szCs w:val="18"/>
              </w:rPr>
              <w:t>9 DPP O 05)</w:t>
            </w:r>
          </w:p>
        </w:tc>
        <w:tc>
          <w:tcPr>
            <w:tcW w:w="424" w:type="dxa"/>
            <w:tcBorders>
              <w:top w:val="single" w:sz="4" w:space="0" w:color="000000" w:themeColor="text1"/>
            </w:tcBorders>
            <w:shd w:val="clear" w:color="auto" w:fill="auto"/>
            <w:vAlign w:val="center"/>
          </w:tcPr>
          <w:p w:rsidR="00323662" w:rsidRPr="0026729D" w:rsidRDefault="00323662" w:rsidP="00111A29">
            <w:pPr>
              <w:rPr>
                <w:rFonts w:cs="Arial"/>
                <w:szCs w:val="18"/>
              </w:rPr>
            </w:pPr>
          </w:p>
        </w:tc>
        <w:tc>
          <w:tcPr>
            <w:tcW w:w="1527" w:type="dxa"/>
            <w:tcBorders>
              <w:top w:val="single" w:sz="4" w:space="0" w:color="000000" w:themeColor="text1"/>
            </w:tcBorders>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viz. DPP O 05</w:t>
            </w:r>
          </w:p>
        </w:tc>
        <w:tc>
          <w:tcPr>
            <w:tcW w:w="708" w:type="dxa"/>
            <w:tcBorders>
              <w:top w:val="single" w:sz="4" w:space="0" w:color="000000" w:themeColor="text1"/>
            </w:tcBorders>
            <w:shd w:val="clear" w:color="auto" w:fill="auto"/>
            <w:vAlign w:val="center"/>
          </w:tcPr>
          <w:p w:rsidR="00323662" w:rsidRPr="008979CC" w:rsidRDefault="00323662" w:rsidP="00111A29">
            <w:pPr>
              <w:rPr>
                <w:rFonts w:cs="Arial"/>
                <w:szCs w:val="18"/>
              </w:rPr>
            </w:pPr>
          </w:p>
        </w:tc>
      </w:tr>
      <w:tr w:rsidR="00323662" w:rsidRPr="008979CC" w:rsidTr="00111A29">
        <w:trPr>
          <w:trHeight w:val="397"/>
        </w:trPr>
        <w:tc>
          <w:tcPr>
            <w:tcW w:w="3118" w:type="dxa"/>
            <w:shd w:val="clear" w:color="auto" w:fill="auto"/>
            <w:vAlign w:val="center"/>
          </w:tcPr>
          <w:p w:rsidR="00323662" w:rsidRPr="008979CC" w:rsidRDefault="00323662" w:rsidP="00111A29">
            <w:pPr>
              <w:rPr>
                <w:rFonts w:cs="Arial"/>
                <w:szCs w:val="18"/>
              </w:rPr>
            </w:pPr>
            <w:r w:rsidRPr="008979CC">
              <w:rPr>
                <w:rFonts w:cs="Arial"/>
                <w:szCs w:val="18"/>
              </w:rPr>
              <w:t>Nemajetková újma způsobená na přirozených právech člověka</w:t>
            </w:r>
          </w:p>
        </w:tc>
        <w:tc>
          <w:tcPr>
            <w:tcW w:w="1275" w:type="dxa"/>
            <w:shd w:val="clear" w:color="auto" w:fill="F2F2F2" w:themeFill="background1" w:themeFillShade="F2"/>
            <w:vAlign w:val="center"/>
          </w:tcPr>
          <w:p w:rsidR="00323662" w:rsidRPr="008979CC" w:rsidRDefault="00323662" w:rsidP="00111A29">
            <w:pPr>
              <w:rPr>
                <w:rFonts w:cs="Arial"/>
                <w:color w:val="C21B17"/>
                <w:szCs w:val="18"/>
              </w:rPr>
            </w:pPr>
            <w:r w:rsidRPr="008979CC">
              <w:rPr>
                <w:rFonts w:cs="Arial"/>
                <w:color w:val="C21B17"/>
                <w:szCs w:val="18"/>
              </w:rPr>
              <w:t>DPP O 11</w:t>
            </w:r>
          </w:p>
        </w:tc>
        <w:tc>
          <w:tcPr>
            <w:tcW w:w="884" w:type="dxa"/>
            <w:shd w:val="clear" w:color="auto" w:fill="auto"/>
            <w:vAlign w:val="center"/>
          </w:tcPr>
          <w:p w:rsidR="00323662" w:rsidRPr="008979CC" w:rsidRDefault="00323662" w:rsidP="00111A29">
            <w:pPr>
              <w:rPr>
                <w:rFonts w:cs="Arial"/>
                <w:szCs w:val="18"/>
              </w:rPr>
            </w:pPr>
          </w:p>
        </w:tc>
        <w:tc>
          <w:tcPr>
            <w:tcW w:w="1986" w:type="dxa"/>
            <w:shd w:val="clear" w:color="auto" w:fill="F2F2F2" w:themeFill="background1" w:themeFillShade="F2"/>
            <w:vAlign w:val="center"/>
          </w:tcPr>
          <w:p w:rsidR="00323662" w:rsidRPr="0026729D" w:rsidRDefault="00323662" w:rsidP="00111A29">
            <w:pPr>
              <w:rPr>
                <w:rFonts w:cs="Arial"/>
                <w:color w:val="C21B17"/>
                <w:szCs w:val="18"/>
              </w:rPr>
            </w:pPr>
            <w:r>
              <w:rPr>
                <w:rFonts w:cs="Arial"/>
                <w:color w:val="C21B17"/>
                <w:szCs w:val="18"/>
              </w:rPr>
              <w:t>1</w:t>
            </w:r>
            <w:r w:rsidRPr="0026729D">
              <w:rPr>
                <w:rFonts w:cs="Arial"/>
                <w:color w:val="C21B17"/>
                <w:szCs w:val="18"/>
              </w:rPr>
              <w:t> 000 000 Kč</w:t>
            </w:r>
          </w:p>
        </w:tc>
        <w:tc>
          <w:tcPr>
            <w:tcW w:w="424" w:type="dxa"/>
            <w:shd w:val="clear" w:color="auto" w:fill="auto"/>
            <w:vAlign w:val="center"/>
          </w:tcPr>
          <w:p w:rsidR="00323662" w:rsidRPr="0026729D" w:rsidRDefault="00323662" w:rsidP="00111A29">
            <w:pPr>
              <w:rPr>
                <w:rFonts w:cs="Arial"/>
                <w:szCs w:val="18"/>
              </w:rPr>
            </w:pPr>
          </w:p>
        </w:tc>
        <w:tc>
          <w:tcPr>
            <w:tcW w:w="1527" w:type="dxa"/>
            <w:shd w:val="clear" w:color="auto" w:fill="F2F2F2" w:themeFill="background1" w:themeFillShade="F2"/>
            <w:vAlign w:val="center"/>
          </w:tcPr>
          <w:p w:rsidR="00323662" w:rsidRPr="008979CC" w:rsidRDefault="00323662" w:rsidP="00111A29">
            <w:pPr>
              <w:rPr>
                <w:rFonts w:cs="Arial"/>
                <w:color w:val="C21B17"/>
                <w:szCs w:val="18"/>
              </w:rPr>
            </w:pPr>
            <w:r>
              <w:rPr>
                <w:rFonts w:cs="Arial"/>
                <w:color w:val="C21B17"/>
                <w:szCs w:val="18"/>
              </w:rPr>
              <w:t xml:space="preserve">10 000 </w:t>
            </w:r>
            <w:r w:rsidRPr="008979CC">
              <w:rPr>
                <w:rFonts w:cs="Arial"/>
                <w:color w:val="C21B17"/>
                <w:szCs w:val="18"/>
              </w:rPr>
              <w:t>Kč</w:t>
            </w:r>
          </w:p>
        </w:tc>
        <w:tc>
          <w:tcPr>
            <w:tcW w:w="708" w:type="dxa"/>
            <w:shd w:val="clear" w:color="auto" w:fill="auto"/>
            <w:vAlign w:val="center"/>
          </w:tcPr>
          <w:p w:rsidR="00323662" w:rsidRPr="008979CC" w:rsidRDefault="00323662" w:rsidP="00111A29">
            <w:pPr>
              <w:rPr>
                <w:rFonts w:cs="Arial"/>
                <w:szCs w:val="18"/>
              </w:rPr>
            </w:pPr>
          </w:p>
        </w:tc>
      </w:tr>
      <w:tr w:rsidR="00323662" w:rsidRPr="008979CC" w:rsidTr="00C9376C">
        <w:trPr>
          <w:trHeight w:val="70"/>
        </w:trPr>
        <w:tc>
          <w:tcPr>
            <w:tcW w:w="9922" w:type="dxa"/>
            <w:gridSpan w:val="7"/>
            <w:tcBorders>
              <w:bottom w:val="single" w:sz="12" w:space="0" w:color="C21B17"/>
            </w:tcBorders>
            <w:shd w:val="clear" w:color="auto" w:fill="auto"/>
            <w:vAlign w:val="center"/>
          </w:tcPr>
          <w:p w:rsidR="00323662" w:rsidRPr="0026729D" w:rsidRDefault="00323662" w:rsidP="00111A29">
            <w:pPr>
              <w:rPr>
                <w:rFonts w:cs="Arial"/>
                <w:color w:val="auto"/>
                <w:szCs w:val="18"/>
              </w:rPr>
            </w:pPr>
            <w:r w:rsidRPr="0026729D">
              <w:rPr>
                <w:rFonts w:cs="Arial"/>
                <w:color w:val="auto"/>
                <w:szCs w:val="18"/>
              </w:rPr>
              <w:t>V souladu s VPP O 2014/01 se ujednává, že výše uvedené limity pojistného plnění (vyjma limitu pojistného plnění sjednaného pro základní rozsah pojištění) jsou sjednány jako sublimity limitu pojistného plnění sjednaného pro základní rozsah pojištění.</w:t>
            </w:r>
          </w:p>
          <w:p w:rsidR="00323662" w:rsidRPr="0026729D" w:rsidRDefault="00323662" w:rsidP="00111A29">
            <w:pPr>
              <w:rPr>
                <w:rFonts w:cs="Arial"/>
                <w:b/>
                <w:szCs w:val="18"/>
              </w:rPr>
            </w:pPr>
          </w:p>
        </w:tc>
      </w:tr>
    </w:tbl>
    <w:p w:rsidR="00323662" w:rsidRDefault="00323662" w:rsidP="00323662">
      <w:pPr>
        <w:rPr>
          <w:rFonts w:cs="Arial"/>
          <w:color w:val="C2D69B" w:themeColor="accent3" w:themeTint="99"/>
          <w:szCs w:val="18"/>
        </w:rPr>
      </w:pPr>
    </w:p>
    <w:p w:rsidR="00323662" w:rsidRPr="008979CC" w:rsidRDefault="00323662" w:rsidP="00323662">
      <w:pPr>
        <w:widowControl/>
        <w:numPr>
          <w:ilvl w:val="0"/>
          <w:numId w:val="14"/>
        </w:numPr>
        <w:tabs>
          <w:tab w:val="clear" w:pos="1080"/>
        </w:tabs>
        <w:spacing w:before="0" w:after="120" w:line="240" w:lineRule="auto"/>
        <w:ind w:left="993" w:hanging="709"/>
        <w:contextualSpacing w:val="0"/>
        <w:rPr>
          <w:rFonts w:cs="Arial"/>
          <w:b/>
          <w:bCs/>
          <w:iCs/>
          <w:sz w:val="20"/>
        </w:rPr>
      </w:pPr>
      <w:r w:rsidRPr="008979CC">
        <w:rPr>
          <w:rFonts w:cs="Arial"/>
          <w:b/>
          <w:bCs/>
          <w:iCs/>
          <w:sz w:val="20"/>
        </w:rPr>
        <w:t>Celkový limit pojistného plnění</w:t>
      </w:r>
    </w:p>
    <w:p w:rsidR="00323662" w:rsidRDefault="00323662" w:rsidP="00323662">
      <w:pPr>
        <w:widowControl/>
        <w:spacing w:before="0" w:after="0" w:line="240" w:lineRule="auto"/>
        <w:ind w:left="992"/>
        <w:contextualSpacing w:val="0"/>
        <w:rPr>
          <w:rFonts w:cs="Arial"/>
          <w:sz w:val="20"/>
        </w:rPr>
      </w:pPr>
      <w:r w:rsidRPr="008979CC">
        <w:rPr>
          <w:rFonts w:cs="Arial"/>
          <w:bCs/>
          <w:iCs/>
          <w:sz w:val="20"/>
        </w:rPr>
        <w:t>V souladu s </w:t>
      </w:r>
      <w:r w:rsidRPr="008979CC">
        <w:rPr>
          <w:rFonts w:cs="Arial"/>
          <w:sz w:val="20"/>
        </w:rPr>
        <w:t xml:space="preserve">čl. 13 odst. 3. VPP O 2014/01 celkové plnění pojistitele ze všech pojistných událostí, </w:t>
      </w:r>
      <w:r>
        <w:rPr>
          <w:rFonts w:cs="Arial"/>
          <w:sz w:val="20"/>
        </w:rPr>
        <w:t xml:space="preserve">  </w:t>
      </w:r>
      <w:r w:rsidRPr="008979CC">
        <w:rPr>
          <w:rFonts w:cs="Arial"/>
          <w:sz w:val="20"/>
        </w:rPr>
        <w:t xml:space="preserve">včetně nákladů právního zastoupení v jednom ročním pojistném období nepřesáhne dvojnásobek </w:t>
      </w:r>
      <w:r>
        <w:rPr>
          <w:rFonts w:cs="Arial"/>
          <w:sz w:val="20"/>
        </w:rPr>
        <w:t xml:space="preserve">   </w:t>
      </w:r>
      <w:r w:rsidRPr="008979CC">
        <w:rPr>
          <w:rFonts w:cs="Arial"/>
          <w:sz w:val="20"/>
        </w:rPr>
        <w:lastRenderedPageBreak/>
        <w:t>limitu pojistn</w:t>
      </w:r>
      <w:r>
        <w:rPr>
          <w:rFonts w:cs="Arial"/>
          <w:sz w:val="20"/>
        </w:rPr>
        <w:t>ého plnění sjednaného v</w:t>
      </w:r>
      <w:r w:rsidRPr="007455CC">
        <w:rPr>
          <w:rFonts w:cs="Arial"/>
          <w:sz w:val="20"/>
          <w:szCs w:val="20"/>
        </w:rPr>
        <w:t xml:space="preserve"> </w:t>
      </w:r>
      <w:r>
        <w:rPr>
          <w:rFonts w:cs="Arial"/>
          <w:sz w:val="20"/>
          <w:szCs w:val="20"/>
        </w:rPr>
        <w:t>Oddílu B,</w:t>
      </w:r>
      <w:r>
        <w:rPr>
          <w:rFonts w:cs="Arial"/>
          <w:sz w:val="20"/>
        </w:rPr>
        <w:t xml:space="preserve"> čl. 6. </w:t>
      </w:r>
      <w:r w:rsidRPr="008979CC">
        <w:rPr>
          <w:rFonts w:cs="Arial"/>
          <w:sz w:val="20"/>
        </w:rPr>
        <w:t>této pojistné smlouvy pro základní rozsah pojištění.</w:t>
      </w:r>
    </w:p>
    <w:p w:rsidR="00323662" w:rsidRPr="008979CC" w:rsidRDefault="00323662" w:rsidP="00323662">
      <w:pPr>
        <w:widowControl/>
        <w:spacing w:before="0" w:after="0" w:line="240" w:lineRule="auto"/>
        <w:ind w:left="993"/>
        <w:contextualSpacing w:val="0"/>
        <w:rPr>
          <w:rFonts w:cs="Arial"/>
          <w:b/>
          <w:bCs/>
          <w:iCs/>
          <w:sz w:val="20"/>
        </w:rPr>
      </w:pPr>
    </w:p>
    <w:p w:rsidR="00323662" w:rsidRPr="00001C8F" w:rsidRDefault="00323662" w:rsidP="00323662">
      <w:pPr>
        <w:widowControl/>
        <w:numPr>
          <w:ilvl w:val="0"/>
          <w:numId w:val="14"/>
        </w:numPr>
        <w:tabs>
          <w:tab w:val="clear" w:pos="1080"/>
        </w:tabs>
        <w:spacing w:before="0" w:after="120" w:line="240" w:lineRule="auto"/>
        <w:ind w:left="993" w:hanging="709"/>
        <w:contextualSpacing w:val="0"/>
        <w:rPr>
          <w:rFonts w:cs="Arial"/>
          <w:b/>
          <w:i/>
          <w:sz w:val="20"/>
        </w:rPr>
      </w:pPr>
      <w:r w:rsidRPr="008979CC">
        <w:rPr>
          <w:rFonts w:cs="Arial"/>
          <w:b/>
          <w:sz w:val="20"/>
        </w:rPr>
        <w:t xml:space="preserve">Pojistné </w:t>
      </w:r>
    </w:p>
    <w:p w:rsidR="00323662" w:rsidRPr="001A3DAB" w:rsidRDefault="00323662" w:rsidP="00323662">
      <w:pPr>
        <w:widowControl/>
        <w:numPr>
          <w:ilvl w:val="1"/>
          <w:numId w:val="14"/>
        </w:numPr>
        <w:autoSpaceDE w:val="0"/>
        <w:autoSpaceDN w:val="0"/>
        <w:adjustRightInd w:val="0"/>
        <w:spacing w:before="0" w:after="0" w:line="240" w:lineRule="auto"/>
        <w:ind w:left="993" w:hanging="709"/>
        <w:contextualSpacing w:val="0"/>
        <w:rPr>
          <w:rFonts w:cs="Arial"/>
          <w:sz w:val="20"/>
        </w:rPr>
      </w:pPr>
      <w:r w:rsidRPr="008979CC">
        <w:rPr>
          <w:rFonts w:cs="Arial"/>
          <w:sz w:val="20"/>
        </w:rPr>
        <w:t xml:space="preserve">Pojistné je stanoveno na základě výše </w:t>
      </w:r>
      <w:r w:rsidRPr="001A3DAB">
        <w:rPr>
          <w:rFonts w:cs="Arial"/>
          <w:sz w:val="20"/>
        </w:rPr>
        <w:t xml:space="preserve">ročního obratu </w:t>
      </w:r>
      <w:r>
        <w:rPr>
          <w:rFonts w:cs="Arial"/>
          <w:sz w:val="20"/>
        </w:rPr>
        <w:t xml:space="preserve">(příjmů) </w:t>
      </w:r>
      <w:r w:rsidRPr="001A3DAB">
        <w:rPr>
          <w:rFonts w:cs="Arial"/>
          <w:sz w:val="20"/>
        </w:rPr>
        <w:t>pojištěného z pojištěné činnosti.</w:t>
      </w:r>
    </w:p>
    <w:p w:rsidR="00323662" w:rsidRPr="001A3DAB" w:rsidRDefault="00323662" w:rsidP="00323662">
      <w:pPr>
        <w:widowControl/>
        <w:autoSpaceDE w:val="0"/>
        <w:autoSpaceDN w:val="0"/>
        <w:adjustRightInd w:val="0"/>
        <w:spacing w:before="0" w:after="0" w:line="240" w:lineRule="auto"/>
        <w:ind w:left="993"/>
        <w:contextualSpacing w:val="0"/>
        <w:rPr>
          <w:rFonts w:cs="Arial"/>
          <w:sz w:val="20"/>
        </w:rPr>
      </w:pPr>
      <w:r w:rsidRPr="001A3DAB">
        <w:rPr>
          <w:rFonts w:cs="Arial"/>
          <w:sz w:val="20"/>
        </w:rPr>
        <w:t xml:space="preserve">V případě změny ročního obratu jde o změnu pojistného rizika, kterou má pojistník a pojištěný povinnost oznámit pojistiteli v souladu s čl. 11 odst. 2 písm. b)  VPP O 2014/01 nejpozději 3 měsíce před koncem ročního pojistného období. Na základě výše předpokládaného ročního obratu pojištěného pro další pojistné období pojistitel navrhne novou výši pojistného. </w:t>
      </w:r>
    </w:p>
    <w:p w:rsidR="00323662" w:rsidRDefault="00323662" w:rsidP="00323662">
      <w:pPr>
        <w:widowControl/>
        <w:autoSpaceDE w:val="0"/>
        <w:autoSpaceDN w:val="0"/>
        <w:adjustRightInd w:val="0"/>
        <w:spacing w:before="0" w:after="120" w:line="240" w:lineRule="auto"/>
        <w:ind w:left="273" w:firstLine="720"/>
        <w:contextualSpacing w:val="0"/>
        <w:rPr>
          <w:rFonts w:cs="Arial"/>
          <w:sz w:val="20"/>
        </w:rPr>
      </w:pPr>
      <w:r>
        <w:rPr>
          <w:rFonts w:cs="Arial"/>
          <w:sz w:val="20"/>
        </w:rPr>
        <w:t>R</w:t>
      </w:r>
      <w:r w:rsidRPr="001A3DAB">
        <w:rPr>
          <w:rFonts w:cs="Arial"/>
          <w:sz w:val="20"/>
        </w:rPr>
        <w:t xml:space="preserve">oční obrat činí </w:t>
      </w:r>
      <w:r w:rsidR="00B07A5D">
        <w:rPr>
          <w:rFonts w:cs="Arial"/>
          <w:sz w:val="20"/>
        </w:rPr>
        <w:t>226 599 729</w:t>
      </w:r>
      <w:r w:rsidRPr="001A3DAB">
        <w:rPr>
          <w:rFonts w:cs="Arial"/>
          <w:sz w:val="20"/>
        </w:rPr>
        <w:t xml:space="preserve"> Kč.</w:t>
      </w:r>
    </w:p>
    <w:p w:rsidR="00323662" w:rsidRPr="001A3DAB" w:rsidRDefault="00323662" w:rsidP="00323662">
      <w:pPr>
        <w:widowControl/>
        <w:numPr>
          <w:ilvl w:val="1"/>
          <w:numId w:val="14"/>
        </w:numPr>
        <w:autoSpaceDE w:val="0"/>
        <w:autoSpaceDN w:val="0"/>
        <w:adjustRightInd w:val="0"/>
        <w:spacing w:before="0" w:after="0" w:line="240" w:lineRule="auto"/>
        <w:ind w:left="993" w:hanging="709"/>
        <w:contextualSpacing w:val="0"/>
        <w:rPr>
          <w:rFonts w:cs="Arial"/>
          <w:sz w:val="20"/>
        </w:rPr>
      </w:pPr>
      <w:r>
        <w:rPr>
          <w:rFonts w:cs="Arial"/>
          <w:sz w:val="20"/>
        </w:rPr>
        <w:t xml:space="preserve">Celkové pojistné za pojištění odpovědnosti činí </w:t>
      </w:r>
      <w:r w:rsidR="00B07A5D">
        <w:rPr>
          <w:rFonts w:cs="Arial"/>
          <w:sz w:val="20"/>
        </w:rPr>
        <w:t>10 445,-</w:t>
      </w:r>
      <w:r>
        <w:rPr>
          <w:rFonts w:cs="Arial"/>
          <w:sz w:val="20"/>
        </w:rPr>
        <w:t>Kč.</w:t>
      </w:r>
    </w:p>
    <w:p w:rsidR="00323662" w:rsidRDefault="00323662" w:rsidP="00323662">
      <w:pPr>
        <w:pStyle w:val="Zkladntext"/>
        <w:rPr>
          <w:rFonts w:ascii="Arial" w:hAnsi="Arial" w:cs="Arial"/>
          <w:b/>
          <w:color w:val="C21B17"/>
          <w:sz w:val="20"/>
        </w:rPr>
      </w:pPr>
    </w:p>
    <w:p w:rsidR="00323662" w:rsidRDefault="00323662" w:rsidP="00323662">
      <w:pPr>
        <w:pStyle w:val="Zkladntext"/>
        <w:rPr>
          <w:rFonts w:ascii="Arial" w:hAnsi="Arial" w:cs="Arial"/>
          <w:b/>
          <w:color w:val="C21B17"/>
          <w:sz w:val="20"/>
        </w:rPr>
      </w:pPr>
    </w:p>
    <w:p w:rsidR="001E4E3F" w:rsidRDefault="001E4E3F" w:rsidP="001E4E3F">
      <w:pPr>
        <w:pStyle w:val="Zkladntext"/>
        <w:rPr>
          <w:rFonts w:ascii="Arial" w:hAnsi="Arial" w:cs="Arial"/>
          <w:b/>
          <w:sz w:val="20"/>
        </w:rPr>
      </w:pPr>
      <w:r>
        <w:rPr>
          <w:rFonts w:ascii="Arial" w:hAnsi="Arial" w:cs="Arial"/>
          <w:b/>
          <w:sz w:val="20"/>
        </w:rPr>
        <w:t xml:space="preserve">SPOLEČNÁ USTANOVENÍ PRO ODDÍL A </w:t>
      </w:r>
      <w:proofErr w:type="spellStart"/>
      <w:r>
        <w:rPr>
          <w:rFonts w:ascii="Arial" w:hAnsi="Arial" w:cs="Arial"/>
          <w:b/>
          <w:sz w:val="20"/>
        </w:rPr>
        <w:t>a</w:t>
      </w:r>
      <w:proofErr w:type="spellEnd"/>
      <w:r>
        <w:rPr>
          <w:rFonts w:ascii="Arial" w:hAnsi="Arial" w:cs="Arial"/>
          <w:b/>
          <w:sz w:val="20"/>
        </w:rPr>
        <w:t xml:space="preserve"> B</w:t>
      </w:r>
    </w:p>
    <w:p w:rsidR="001E4E3F" w:rsidRDefault="001E4E3F" w:rsidP="001E4E3F">
      <w:pPr>
        <w:pStyle w:val="Zkladntext"/>
        <w:rPr>
          <w:rFonts w:ascii="Arial" w:hAnsi="Arial" w:cs="Arial"/>
          <w:b/>
          <w:color w:val="C21B17"/>
          <w:sz w:val="20"/>
        </w:rPr>
      </w:pPr>
    </w:p>
    <w:p w:rsidR="001E4E3F" w:rsidRDefault="001E4E3F" w:rsidP="001E4E3F">
      <w:pPr>
        <w:pStyle w:val="Zkladntext"/>
        <w:rPr>
          <w:rFonts w:ascii="Arial" w:hAnsi="Arial" w:cs="Arial"/>
          <w:b/>
          <w:color w:val="C21B17"/>
          <w:sz w:val="20"/>
        </w:rPr>
      </w:pPr>
      <w:r>
        <w:rPr>
          <w:rFonts w:ascii="Arial" w:hAnsi="Arial" w:cs="Arial"/>
          <w:b/>
          <w:color w:val="C21B17"/>
          <w:sz w:val="20"/>
        </w:rPr>
        <w:t>Rekapitulace pojistných nebezpečí a pojistného, splátky</w:t>
      </w:r>
    </w:p>
    <w:p w:rsidR="001E4E3F" w:rsidRPr="00BD4C06" w:rsidRDefault="001E4E3F" w:rsidP="001E4E3F">
      <w:pPr>
        <w:pStyle w:val="Zkladntext"/>
        <w:rPr>
          <w:rFonts w:ascii="Arial" w:hAnsi="Arial" w:cs="Arial"/>
          <w:sz w:val="16"/>
          <w:szCs w:val="16"/>
        </w:rPr>
      </w:pPr>
    </w:p>
    <w:tbl>
      <w:tblPr>
        <w:tblStyle w:val="Mkatabulky2"/>
        <w:tblW w:w="10206" w:type="dxa"/>
        <w:tblInd w:w="108"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828"/>
        <w:gridCol w:w="565"/>
        <w:gridCol w:w="884"/>
        <w:gridCol w:w="1593"/>
        <w:gridCol w:w="817"/>
        <w:gridCol w:w="2519"/>
      </w:tblGrid>
      <w:tr w:rsidR="001E4E3F" w:rsidRPr="00C605DB" w:rsidTr="00111A29">
        <w:trPr>
          <w:trHeight w:val="397"/>
        </w:trPr>
        <w:tc>
          <w:tcPr>
            <w:tcW w:w="3828" w:type="dxa"/>
            <w:tcBorders>
              <w:top w:val="single" w:sz="12" w:space="0" w:color="C0504D" w:themeColor="accent2"/>
            </w:tcBorders>
            <w:shd w:val="clear" w:color="auto" w:fill="auto"/>
            <w:vAlign w:val="center"/>
          </w:tcPr>
          <w:p w:rsidR="001E4E3F" w:rsidRPr="00C605DB" w:rsidRDefault="001E4E3F" w:rsidP="00111A29">
            <w:pPr>
              <w:rPr>
                <w:rFonts w:cs="Arial"/>
                <w:color w:val="auto"/>
                <w:szCs w:val="18"/>
              </w:rPr>
            </w:pPr>
            <w:r>
              <w:rPr>
                <w:rFonts w:cs="Arial"/>
                <w:color w:val="auto"/>
                <w:szCs w:val="18"/>
              </w:rPr>
              <w:t>Pojištění  majetku  (s</w:t>
            </w:r>
            <w:r w:rsidRPr="00C605DB">
              <w:rPr>
                <w:rFonts w:cs="Arial"/>
                <w:color w:val="auto"/>
                <w:szCs w:val="18"/>
              </w:rPr>
              <w:t>družený živel</w:t>
            </w:r>
            <w:r>
              <w:rPr>
                <w:rFonts w:cs="Arial"/>
                <w:color w:val="auto"/>
                <w:szCs w:val="18"/>
              </w:rPr>
              <w:t>) a  náklady</w:t>
            </w:r>
          </w:p>
        </w:tc>
        <w:tc>
          <w:tcPr>
            <w:tcW w:w="3859" w:type="dxa"/>
            <w:gridSpan w:val="4"/>
            <w:tcBorders>
              <w:top w:val="single" w:sz="12" w:space="0" w:color="C0504D" w:themeColor="accent2"/>
            </w:tcBorders>
            <w:shd w:val="clear" w:color="auto" w:fill="auto"/>
            <w:vAlign w:val="center"/>
          </w:tcPr>
          <w:p w:rsidR="001E4E3F" w:rsidRPr="00C605DB" w:rsidRDefault="001E4E3F" w:rsidP="00111A29">
            <w:pPr>
              <w:rPr>
                <w:rFonts w:cs="Arial"/>
                <w:color w:val="auto"/>
                <w:szCs w:val="18"/>
              </w:rPr>
            </w:pPr>
          </w:p>
        </w:tc>
        <w:tc>
          <w:tcPr>
            <w:tcW w:w="2519" w:type="dxa"/>
            <w:tcBorders>
              <w:top w:val="single" w:sz="12" w:space="0" w:color="C0504D" w:themeColor="accent2"/>
            </w:tcBorders>
            <w:shd w:val="clear" w:color="auto" w:fill="auto"/>
            <w:vAlign w:val="center"/>
          </w:tcPr>
          <w:p w:rsidR="001E4E3F" w:rsidRPr="00C605DB" w:rsidRDefault="003408D5" w:rsidP="003408D5">
            <w:pPr>
              <w:rPr>
                <w:rFonts w:cs="Arial"/>
                <w:color w:val="auto"/>
                <w:szCs w:val="18"/>
              </w:rPr>
            </w:pPr>
            <w:r>
              <w:rPr>
                <w:rFonts w:cs="Arial"/>
                <w:color w:val="auto"/>
                <w:szCs w:val="18"/>
              </w:rPr>
              <w:t>338 432</w:t>
            </w:r>
            <w:r w:rsidR="001E4E3F" w:rsidRPr="00C605DB">
              <w:rPr>
                <w:rFonts w:cs="Arial"/>
                <w:color w:val="auto"/>
                <w:szCs w:val="18"/>
              </w:rPr>
              <w:t>,-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sidRPr="00C605DB">
              <w:rPr>
                <w:rFonts w:cs="Arial"/>
                <w:color w:val="auto"/>
                <w:szCs w:val="18"/>
              </w:rPr>
              <w:t>Vandalismus</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Pr="00C605DB" w:rsidRDefault="001E4E3F" w:rsidP="00111A29">
            <w:pPr>
              <w:rPr>
                <w:rFonts w:cs="Arial"/>
                <w:color w:val="auto"/>
                <w:szCs w:val="18"/>
              </w:rPr>
            </w:pPr>
            <w:r>
              <w:rPr>
                <w:rFonts w:cs="Arial"/>
                <w:color w:val="auto"/>
                <w:szCs w:val="18"/>
              </w:rPr>
              <w:t xml:space="preserve">    4 410</w:t>
            </w:r>
            <w:r w:rsidRPr="00C605DB">
              <w:rPr>
                <w:rFonts w:cs="Arial"/>
                <w:color w:val="auto"/>
                <w:szCs w:val="18"/>
              </w:rPr>
              <w:t>,-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Pr>
                <w:rFonts w:cs="Arial"/>
                <w:color w:val="auto"/>
                <w:szCs w:val="18"/>
              </w:rPr>
              <w:t xml:space="preserve"> Odcizení</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Pr="00C605DB" w:rsidRDefault="001E4E3F" w:rsidP="003076AC">
            <w:pPr>
              <w:rPr>
                <w:rFonts w:cs="Arial"/>
                <w:color w:val="auto"/>
                <w:szCs w:val="18"/>
              </w:rPr>
            </w:pPr>
            <w:r>
              <w:rPr>
                <w:rFonts w:cs="Arial"/>
                <w:color w:val="auto"/>
                <w:szCs w:val="18"/>
              </w:rPr>
              <w:t xml:space="preserve">    </w:t>
            </w:r>
            <w:r w:rsidR="003076AC">
              <w:rPr>
                <w:rFonts w:cs="Arial"/>
                <w:color w:val="auto"/>
                <w:szCs w:val="18"/>
              </w:rPr>
              <w:t>9</w:t>
            </w:r>
            <w:r>
              <w:rPr>
                <w:rFonts w:cs="Arial"/>
                <w:color w:val="auto"/>
                <w:szCs w:val="18"/>
              </w:rPr>
              <w:t xml:space="preserve"> 600</w:t>
            </w:r>
            <w:r w:rsidRPr="00C605DB">
              <w:rPr>
                <w:rFonts w:cs="Arial"/>
                <w:color w:val="auto"/>
                <w:szCs w:val="18"/>
              </w:rPr>
              <w:t>,-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sidRPr="00C605DB">
              <w:rPr>
                <w:rFonts w:cs="Arial"/>
                <w:color w:val="auto"/>
                <w:szCs w:val="18"/>
              </w:rPr>
              <w:t>Nepřímý úder blesku</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Pr="00C605DB" w:rsidRDefault="001E4E3F" w:rsidP="003076AC">
            <w:pPr>
              <w:rPr>
                <w:rFonts w:cs="Arial"/>
                <w:color w:val="auto"/>
                <w:szCs w:val="18"/>
              </w:rPr>
            </w:pPr>
            <w:r>
              <w:rPr>
                <w:rFonts w:cs="Arial"/>
                <w:color w:val="auto"/>
                <w:szCs w:val="18"/>
              </w:rPr>
              <w:t xml:space="preserve">    </w:t>
            </w:r>
            <w:r w:rsidR="003076AC">
              <w:rPr>
                <w:rFonts w:cs="Arial"/>
                <w:color w:val="auto"/>
                <w:szCs w:val="18"/>
              </w:rPr>
              <w:t>4 80</w:t>
            </w:r>
            <w:r>
              <w:rPr>
                <w:rFonts w:cs="Arial"/>
                <w:color w:val="auto"/>
                <w:szCs w:val="18"/>
              </w:rPr>
              <w:t>0</w:t>
            </w:r>
            <w:r w:rsidRPr="00C605DB">
              <w:rPr>
                <w:rFonts w:cs="Arial"/>
                <w:color w:val="auto"/>
                <w:szCs w:val="18"/>
              </w:rPr>
              <w:t>,- Kč</w:t>
            </w:r>
          </w:p>
        </w:tc>
      </w:tr>
      <w:tr w:rsidR="001E4E3F" w:rsidRPr="00C605DB" w:rsidTr="00111A29">
        <w:trPr>
          <w:trHeight w:val="425"/>
        </w:trPr>
        <w:tc>
          <w:tcPr>
            <w:tcW w:w="3828"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r w:rsidRPr="00C605DB">
              <w:rPr>
                <w:rFonts w:cs="Arial"/>
                <w:color w:val="auto"/>
                <w:szCs w:val="18"/>
              </w:rPr>
              <w:t>Srážková voda</w:t>
            </w:r>
          </w:p>
        </w:tc>
        <w:tc>
          <w:tcPr>
            <w:tcW w:w="565" w:type="dxa"/>
            <w:tcBorders>
              <w:bottom w:val="single" w:sz="4" w:space="0" w:color="000000" w:themeColor="text1"/>
            </w:tcBorders>
            <w:shd w:val="clear" w:color="auto" w:fill="auto"/>
            <w:vAlign w:val="center"/>
          </w:tcPr>
          <w:p w:rsidR="001E4E3F" w:rsidRPr="00C605DB" w:rsidRDefault="001E4E3F" w:rsidP="00111A29">
            <w:pPr>
              <w:rPr>
                <w:rFonts w:cs="Arial"/>
                <w:color w:val="auto"/>
              </w:rPr>
            </w:pPr>
          </w:p>
        </w:tc>
        <w:tc>
          <w:tcPr>
            <w:tcW w:w="884"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1593" w:type="dxa"/>
            <w:tcBorders>
              <w:bottom w:val="single" w:sz="4" w:space="0" w:color="000000" w:themeColor="text1"/>
            </w:tcBorders>
            <w:shd w:val="clear" w:color="auto" w:fill="auto"/>
            <w:vAlign w:val="center"/>
          </w:tcPr>
          <w:p w:rsidR="001E4E3F" w:rsidRPr="00C605DB" w:rsidRDefault="001E4E3F" w:rsidP="00111A29">
            <w:pPr>
              <w:rPr>
                <w:rFonts w:cs="Arial"/>
                <w:color w:val="auto"/>
              </w:rPr>
            </w:pPr>
          </w:p>
        </w:tc>
        <w:tc>
          <w:tcPr>
            <w:tcW w:w="817"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2519" w:type="dxa"/>
            <w:tcBorders>
              <w:bottom w:val="single" w:sz="4" w:space="0" w:color="000000" w:themeColor="text1"/>
            </w:tcBorders>
            <w:shd w:val="clear" w:color="auto" w:fill="auto"/>
            <w:vAlign w:val="center"/>
          </w:tcPr>
          <w:p w:rsidR="001E4E3F" w:rsidRPr="00C605DB" w:rsidRDefault="001E4E3F" w:rsidP="003076AC">
            <w:pPr>
              <w:rPr>
                <w:rFonts w:cs="Arial"/>
                <w:color w:val="auto"/>
                <w:szCs w:val="18"/>
              </w:rPr>
            </w:pPr>
            <w:r>
              <w:rPr>
                <w:rFonts w:cs="Arial"/>
                <w:color w:val="auto"/>
                <w:szCs w:val="18"/>
              </w:rPr>
              <w:t xml:space="preserve">    </w:t>
            </w:r>
            <w:r w:rsidR="003076AC">
              <w:rPr>
                <w:rFonts w:cs="Arial"/>
                <w:color w:val="auto"/>
                <w:szCs w:val="18"/>
              </w:rPr>
              <w:t>8</w:t>
            </w:r>
            <w:r>
              <w:rPr>
                <w:rFonts w:cs="Arial"/>
                <w:color w:val="auto"/>
                <w:szCs w:val="18"/>
              </w:rPr>
              <w:t xml:space="preserve"> </w:t>
            </w:r>
            <w:r w:rsidR="003076AC">
              <w:rPr>
                <w:rFonts w:cs="Arial"/>
                <w:color w:val="auto"/>
                <w:szCs w:val="18"/>
              </w:rPr>
              <w:t>0</w:t>
            </w:r>
            <w:r w:rsidRPr="00C605DB">
              <w:rPr>
                <w:rFonts w:cs="Arial"/>
                <w:color w:val="auto"/>
                <w:szCs w:val="18"/>
              </w:rPr>
              <w:t>00,-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Pr>
                <w:rFonts w:cs="Arial"/>
                <w:color w:val="auto"/>
                <w:szCs w:val="18"/>
              </w:rPr>
              <w:t>Rozbití skla</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Default="001E4E3F" w:rsidP="00111A29">
            <w:pPr>
              <w:rPr>
                <w:rFonts w:cs="Arial"/>
                <w:color w:val="auto"/>
                <w:szCs w:val="18"/>
              </w:rPr>
            </w:pPr>
            <w:r>
              <w:rPr>
                <w:rFonts w:cs="Arial"/>
                <w:color w:val="auto"/>
                <w:szCs w:val="18"/>
              </w:rPr>
              <w:t xml:space="preserve">    1 600,-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sidRPr="00C605DB">
              <w:rPr>
                <w:rFonts w:cs="Arial"/>
                <w:color w:val="auto"/>
                <w:szCs w:val="18"/>
              </w:rPr>
              <w:t>P</w:t>
            </w:r>
            <w:r>
              <w:rPr>
                <w:rFonts w:cs="Arial"/>
                <w:color w:val="auto"/>
                <w:szCs w:val="18"/>
              </w:rPr>
              <w:t>ojištění elektroniky</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Pr="00C605DB" w:rsidRDefault="003076AC" w:rsidP="003076AC">
            <w:pPr>
              <w:rPr>
                <w:rFonts w:cs="Arial"/>
                <w:color w:val="auto"/>
                <w:szCs w:val="18"/>
              </w:rPr>
            </w:pPr>
            <w:r>
              <w:rPr>
                <w:rFonts w:cs="Arial"/>
                <w:color w:val="auto"/>
                <w:szCs w:val="18"/>
              </w:rPr>
              <w:t>247 948</w:t>
            </w:r>
            <w:r w:rsidR="001E4E3F" w:rsidRPr="00C605DB">
              <w:rPr>
                <w:rFonts w:cs="Arial"/>
                <w:color w:val="auto"/>
                <w:szCs w:val="18"/>
              </w:rPr>
              <w:t>,-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Pr>
                <w:rFonts w:cs="Arial"/>
                <w:color w:val="auto"/>
                <w:szCs w:val="18"/>
              </w:rPr>
              <w:t>Pojištění odpovědnosti</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Default="001E4E3F" w:rsidP="00B07A5D">
            <w:pPr>
              <w:rPr>
                <w:rFonts w:cs="Arial"/>
                <w:color w:val="auto"/>
                <w:szCs w:val="18"/>
              </w:rPr>
            </w:pPr>
            <w:r>
              <w:rPr>
                <w:rFonts w:cs="Arial"/>
                <w:color w:val="auto"/>
                <w:szCs w:val="18"/>
              </w:rPr>
              <w:t xml:space="preserve">  </w:t>
            </w:r>
            <w:r w:rsidR="00B07A5D">
              <w:rPr>
                <w:rFonts w:cs="Arial"/>
                <w:color w:val="auto"/>
                <w:szCs w:val="18"/>
              </w:rPr>
              <w:t>10 445</w:t>
            </w:r>
            <w:r>
              <w:rPr>
                <w:rFonts w:cs="Arial"/>
                <w:color w:val="auto"/>
                <w:szCs w:val="18"/>
              </w:rPr>
              <w:t>,- Kč</w:t>
            </w:r>
          </w:p>
        </w:tc>
      </w:tr>
      <w:tr w:rsidR="001E4E3F" w:rsidRPr="0085250D" w:rsidTr="00111A29">
        <w:trPr>
          <w:trHeight w:val="397"/>
        </w:trPr>
        <w:tc>
          <w:tcPr>
            <w:tcW w:w="3828" w:type="dxa"/>
            <w:tcBorders>
              <w:top w:val="single" w:sz="4" w:space="0" w:color="auto"/>
              <w:bottom w:val="single" w:sz="4" w:space="0" w:color="000000" w:themeColor="text1"/>
            </w:tcBorders>
            <w:shd w:val="clear" w:color="auto" w:fill="auto"/>
            <w:vAlign w:val="center"/>
          </w:tcPr>
          <w:p w:rsidR="001E4E3F" w:rsidRPr="0085250D" w:rsidRDefault="001E4E3F" w:rsidP="00111A29">
            <w:pPr>
              <w:rPr>
                <w:rFonts w:cs="Arial"/>
                <w:color w:val="auto"/>
                <w:szCs w:val="18"/>
              </w:rPr>
            </w:pPr>
            <w:r>
              <w:rPr>
                <w:rFonts w:cs="Arial"/>
                <w:color w:val="auto"/>
                <w:szCs w:val="18"/>
              </w:rPr>
              <w:t>Roční pojistné</w:t>
            </w:r>
          </w:p>
        </w:tc>
        <w:tc>
          <w:tcPr>
            <w:tcW w:w="565" w:type="dxa"/>
            <w:tcBorders>
              <w:top w:val="single" w:sz="4" w:space="0" w:color="auto"/>
              <w:bottom w:val="single" w:sz="4" w:space="0" w:color="000000" w:themeColor="text1"/>
            </w:tcBorders>
            <w:shd w:val="clear" w:color="auto" w:fill="auto"/>
            <w:vAlign w:val="center"/>
          </w:tcPr>
          <w:p w:rsidR="001E4E3F" w:rsidRPr="0085250D" w:rsidRDefault="001E4E3F" w:rsidP="00111A29">
            <w:pPr>
              <w:rPr>
                <w:rFonts w:cs="Arial"/>
                <w:color w:val="auto"/>
                <w:szCs w:val="18"/>
              </w:rPr>
            </w:pPr>
          </w:p>
        </w:tc>
        <w:tc>
          <w:tcPr>
            <w:tcW w:w="884" w:type="dxa"/>
            <w:tcBorders>
              <w:top w:val="single" w:sz="4" w:space="0" w:color="auto"/>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1593" w:type="dxa"/>
            <w:tcBorders>
              <w:top w:val="single" w:sz="4" w:space="0" w:color="auto"/>
              <w:bottom w:val="single" w:sz="4" w:space="0" w:color="000000" w:themeColor="text1"/>
            </w:tcBorders>
            <w:shd w:val="clear" w:color="auto" w:fill="auto"/>
            <w:vAlign w:val="center"/>
          </w:tcPr>
          <w:p w:rsidR="001E4E3F" w:rsidRPr="0085250D" w:rsidRDefault="001E4E3F" w:rsidP="00111A29">
            <w:pPr>
              <w:rPr>
                <w:rFonts w:cs="Arial"/>
                <w:color w:val="auto"/>
                <w:szCs w:val="18"/>
              </w:rPr>
            </w:pPr>
          </w:p>
        </w:tc>
        <w:tc>
          <w:tcPr>
            <w:tcW w:w="817" w:type="dxa"/>
            <w:tcBorders>
              <w:top w:val="single" w:sz="4" w:space="0" w:color="auto"/>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2519" w:type="dxa"/>
            <w:tcBorders>
              <w:top w:val="single" w:sz="4" w:space="0" w:color="auto"/>
              <w:bottom w:val="single" w:sz="4" w:space="0" w:color="000000" w:themeColor="text1"/>
            </w:tcBorders>
            <w:shd w:val="clear" w:color="auto" w:fill="auto"/>
            <w:vAlign w:val="center"/>
          </w:tcPr>
          <w:p w:rsidR="001E4E3F" w:rsidRDefault="003408D5" w:rsidP="00B07A5D">
            <w:pPr>
              <w:rPr>
                <w:rFonts w:cs="Arial"/>
                <w:color w:val="auto"/>
                <w:szCs w:val="18"/>
              </w:rPr>
            </w:pPr>
            <w:r>
              <w:rPr>
                <w:rFonts w:cs="Arial"/>
                <w:color w:val="auto"/>
                <w:szCs w:val="18"/>
              </w:rPr>
              <w:t>62</w:t>
            </w:r>
            <w:r w:rsidR="00B07A5D">
              <w:rPr>
                <w:rFonts w:cs="Arial"/>
                <w:color w:val="auto"/>
                <w:szCs w:val="18"/>
              </w:rPr>
              <w:t>5 235</w:t>
            </w:r>
            <w:r w:rsidR="001E4E3F">
              <w:rPr>
                <w:rFonts w:cs="Arial"/>
                <w:color w:val="auto"/>
                <w:szCs w:val="18"/>
              </w:rPr>
              <w:t>,- Kč</w:t>
            </w:r>
          </w:p>
        </w:tc>
      </w:tr>
      <w:tr w:rsidR="001E4E3F" w:rsidRPr="00C605DB" w:rsidTr="00111A29">
        <w:trPr>
          <w:trHeight w:val="397"/>
        </w:trPr>
        <w:tc>
          <w:tcPr>
            <w:tcW w:w="3828" w:type="dxa"/>
            <w:shd w:val="clear" w:color="auto" w:fill="auto"/>
            <w:vAlign w:val="center"/>
          </w:tcPr>
          <w:p w:rsidR="001E4E3F" w:rsidRPr="00C605DB" w:rsidRDefault="001E4E3F" w:rsidP="00111A29">
            <w:pPr>
              <w:rPr>
                <w:rFonts w:cs="Arial"/>
                <w:color w:val="auto"/>
                <w:szCs w:val="18"/>
              </w:rPr>
            </w:pPr>
            <w:r w:rsidRPr="00C605DB">
              <w:rPr>
                <w:rFonts w:cs="Arial"/>
                <w:color w:val="auto"/>
                <w:szCs w:val="18"/>
              </w:rPr>
              <w:t>Splatnost</w:t>
            </w:r>
          </w:p>
        </w:tc>
        <w:tc>
          <w:tcPr>
            <w:tcW w:w="565" w:type="dxa"/>
            <w:shd w:val="clear" w:color="auto" w:fill="auto"/>
            <w:vAlign w:val="center"/>
          </w:tcPr>
          <w:p w:rsidR="001E4E3F" w:rsidRPr="00C605DB" w:rsidRDefault="001E4E3F" w:rsidP="00111A29">
            <w:pPr>
              <w:rPr>
                <w:rFonts w:cs="Arial"/>
                <w:color w:val="auto"/>
              </w:rPr>
            </w:pPr>
          </w:p>
        </w:tc>
        <w:tc>
          <w:tcPr>
            <w:tcW w:w="884" w:type="dxa"/>
            <w:shd w:val="clear" w:color="auto" w:fill="auto"/>
            <w:vAlign w:val="center"/>
          </w:tcPr>
          <w:p w:rsidR="001E4E3F" w:rsidRPr="00C605DB" w:rsidRDefault="001E4E3F" w:rsidP="00111A29">
            <w:pPr>
              <w:rPr>
                <w:rFonts w:cs="Arial"/>
                <w:color w:val="auto"/>
                <w:szCs w:val="18"/>
              </w:rPr>
            </w:pPr>
          </w:p>
        </w:tc>
        <w:tc>
          <w:tcPr>
            <w:tcW w:w="1593" w:type="dxa"/>
            <w:shd w:val="clear" w:color="auto" w:fill="auto"/>
            <w:vAlign w:val="center"/>
          </w:tcPr>
          <w:p w:rsidR="001E4E3F" w:rsidRPr="00C605DB" w:rsidRDefault="001E4E3F" w:rsidP="00111A29">
            <w:pPr>
              <w:rPr>
                <w:rFonts w:cs="Arial"/>
                <w:color w:val="auto"/>
              </w:rPr>
            </w:pPr>
            <w:r w:rsidRPr="00C605DB">
              <w:rPr>
                <w:rFonts w:cs="Arial"/>
                <w:color w:val="auto"/>
              </w:rPr>
              <w:t xml:space="preserve">                                           </w:t>
            </w:r>
          </w:p>
        </w:tc>
        <w:tc>
          <w:tcPr>
            <w:tcW w:w="817" w:type="dxa"/>
            <w:shd w:val="clear" w:color="auto" w:fill="auto"/>
            <w:vAlign w:val="center"/>
          </w:tcPr>
          <w:p w:rsidR="001E4E3F" w:rsidRPr="00C605DB" w:rsidRDefault="001E4E3F" w:rsidP="00111A29">
            <w:pPr>
              <w:rPr>
                <w:rFonts w:cs="Arial"/>
                <w:color w:val="auto"/>
                <w:szCs w:val="18"/>
              </w:rPr>
            </w:pPr>
          </w:p>
        </w:tc>
        <w:tc>
          <w:tcPr>
            <w:tcW w:w="2519" w:type="dxa"/>
            <w:shd w:val="clear" w:color="auto" w:fill="auto"/>
            <w:vAlign w:val="center"/>
          </w:tcPr>
          <w:p w:rsidR="001E4E3F" w:rsidRPr="00C605DB" w:rsidRDefault="001E4E3F" w:rsidP="00111A29">
            <w:pPr>
              <w:rPr>
                <w:rFonts w:cs="Arial"/>
                <w:color w:val="auto"/>
                <w:szCs w:val="18"/>
              </w:rPr>
            </w:pPr>
            <w:r>
              <w:rPr>
                <w:rFonts w:cs="Arial"/>
                <w:color w:val="auto"/>
                <w:szCs w:val="18"/>
              </w:rPr>
              <w:t>pololetně</w:t>
            </w:r>
            <w:r w:rsidRPr="00C605DB">
              <w:rPr>
                <w:rFonts w:cs="Arial"/>
                <w:color w:val="auto"/>
                <w:szCs w:val="18"/>
              </w:rPr>
              <w:t xml:space="preserve">                                                       </w:t>
            </w:r>
          </w:p>
        </w:tc>
      </w:tr>
      <w:tr w:rsidR="001E4E3F" w:rsidRPr="00C605DB" w:rsidTr="00111A29">
        <w:trPr>
          <w:trHeight w:val="397"/>
        </w:trPr>
        <w:tc>
          <w:tcPr>
            <w:tcW w:w="3828"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r w:rsidRPr="00C605DB">
              <w:rPr>
                <w:rFonts w:cs="Arial"/>
                <w:color w:val="auto"/>
                <w:szCs w:val="18"/>
              </w:rPr>
              <w:t>Výše splátky</w:t>
            </w:r>
          </w:p>
        </w:tc>
        <w:tc>
          <w:tcPr>
            <w:tcW w:w="565" w:type="dxa"/>
            <w:tcBorders>
              <w:bottom w:val="single" w:sz="4" w:space="0" w:color="000000" w:themeColor="text1"/>
            </w:tcBorders>
            <w:shd w:val="clear" w:color="auto" w:fill="auto"/>
            <w:vAlign w:val="center"/>
          </w:tcPr>
          <w:p w:rsidR="001E4E3F" w:rsidRPr="00C605DB" w:rsidRDefault="001E4E3F" w:rsidP="00111A29">
            <w:pPr>
              <w:rPr>
                <w:rFonts w:cs="Arial"/>
                <w:color w:val="auto"/>
              </w:rPr>
            </w:pPr>
          </w:p>
        </w:tc>
        <w:tc>
          <w:tcPr>
            <w:tcW w:w="884"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1593" w:type="dxa"/>
            <w:tcBorders>
              <w:bottom w:val="single" w:sz="4" w:space="0" w:color="000000" w:themeColor="text1"/>
            </w:tcBorders>
            <w:shd w:val="clear" w:color="auto" w:fill="auto"/>
            <w:vAlign w:val="center"/>
          </w:tcPr>
          <w:p w:rsidR="001E4E3F" w:rsidRPr="00C605DB" w:rsidRDefault="001E4E3F" w:rsidP="00111A29">
            <w:pPr>
              <w:rPr>
                <w:rFonts w:cs="Arial"/>
                <w:color w:val="auto"/>
              </w:rPr>
            </w:pPr>
          </w:p>
        </w:tc>
        <w:tc>
          <w:tcPr>
            <w:tcW w:w="817" w:type="dxa"/>
            <w:tcBorders>
              <w:bottom w:val="single" w:sz="4" w:space="0" w:color="000000" w:themeColor="text1"/>
            </w:tcBorders>
            <w:shd w:val="clear" w:color="auto" w:fill="auto"/>
            <w:vAlign w:val="center"/>
          </w:tcPr>
          <w:p w:rsidR="001E4E3F" w:rsidRPr="00C605DB" w:rsidRDefault="001E4E3F" w:rsidP="00111A29">
            <w:pPr>
              <w:rPr>
                <w:rFonts w:cs="Arial"/>
                <w:color w:val="auto"/>
                <w:szCs w:val="18"/>
              </w:rPr>
            </w:pPr>
          </w:p>
        </w:tc>
        <w:tc>
          <w:tcPr>
            <w:tcW w:w="2519" w:type="dxa"/>
            <w:tcBorders>
              <w:bottom w:val="single" w:sz="4" w:space="0" w:color="000000" w:themeColor="text1"/>
            </w:tcBorders>
            <w:shd w:val="clear" w:color="auto" w:fill="auto"/>
            <w:vAlign w:val="center"/>
          </w:tcPr>
          <w:p w:rsidR="001E4E3F" w:rsidRPr="00C605DB" w:rsidRDefault="003408D5" w:rsidP="00B07A5D">
            <w:pPr>
              <w:rPr>
                <w:rFonts w:cs="Arial"/>
                <w:color w:val="auto"/>
                <w:szCs w:val="18"/>
              </w:rPr>
            </w:pPr>
            <w:r>
              <w:rPr>
                <w:rFonts w:cs="Arial"/>
                <w:color w:val="auto"/>
                <w:szCs w:val="18"/>
              </w:rPr>
              <w:t>31</w:t>
            </w:r>
            <w:r w:rsidR="00B07A5D">
              <w:rPr>
                <w:rFonts w:cs="Arial"/>
                <w:color w:val="auto"/>
                <w:szCs w:val="18"/>
              </w:rPr>
              <w:t>2 618</w:t>
            </w:r>
            <w:r w:rsidR="001E4E3F" w:rsidRPr="00C605DB">
              <w:rPr>
                <w:rFonts w:cs="Arial"/>
                <w:color w:val="auto"/>
                <w:szCs w:val="18"/>
              </w:rPr>
              <w:t>,- Kč</w:t>
            </w:r>
          </w:p>
        </w:tc>
      </w:tr>
      <w:tr w:rsidR="001E4E3F" w:rsidRPr="00C605DB" w:rsidTr="00111A29">
        <w:trPr>
          <w:trHeight w:val="397"/>
        </w:trPr>
        <w:tc>
          <w:tcPr>
            <w:tcW w:w="3828" w:type="dxa"/>
            <w:tcBorders>
              <w:top w:val="single" w:sz="4" w:space="0" w:color="000000" w:themeColor="text1"/>
              <w:bottom w:val="single" w:sz="4" w:space="0" w:color="auto"/>
            </w:tcBorders>
            <w:shd w:val="clear" w:color="auto" w:fill="auto"/>
            <w:vAlign w:val="center"/>
          </w:tcPr>
          <w:p w:rsidR="001E4E3F" w:rsidRPr="00C605DB" w:rsidRDefault="001E4E3F" w:rsidP="00111A29">
            <w:pPr>
              <w:rPr>
                <w:rFonts w:cs="Arial"/>
                <w:color w:val="auto"/>
                <w:szCs w:val="18"/>
              </w:rPr>
            </w:pPr>
            <w:r w:rsidRPr="00C605DB">
              <w:rPr>
                <w:rFonts w:cs="Arial"/>
                <w:color w:val="auto"/>
                <w:szCs w:val="18"/>
              </w:rPr>
              <w:t xml:space="preserve">Datum splatnosti splátek v každém roce (vyjma první splátky) </w:t>
            </w:r>
          </w:p>
        </w:tc>
        <w:tc>
          <w:tcPr>
            <w:tcW w:w="565" w:type="dxa"/>
            <w:tcBorders>
              <w:top w:val="single" w:sz="4" w:space="0" w:color="000000" w:themeColor="text1"/>
              <w:bottom w:val="single" w:sz="4" w:space="0" w:color="auto"/>
            </w:tcBorders>
            <w:shd w:val="clear" w:color="auto" w:fill="auto"/>
            <w:vAlign w:val="center"/>
          </w:tcPr>
          <w:p w:rsidR="001E4E3F" w:rsidRPr="00C605DB" w:rsidRDefault="001E4E3F" w:rsidP="00111A29">
            <w:pPr>
              <w:rPr>
                <w:rFonts w:cs="Arial"/>
                <w:color w:val="auto"/>
              </w:rPr>
            </w:pPr>
          </w:p>
        </w:tc>
        <w:tc>
          <w:tcPr>
            <w:tcW w:w="884" w:type="dxa"/>
            <w:tcBorders>
              <w:top w:val="single" w:sz="4" w:space="0" w:color="000000" w:themeColor="text1"/>
              <w:bottom w:val="single" w:sz="4" w:space="0" w:color="auto"/>
            </w:tcBorders>
            <w:shd w:val="clear" w:color="auto" w:fill="auto"/>
            <w:vAlign w:val="center"/>
          </w:tcPr>
          <w:p w:rsidR="001E4E3F" w:rsidRPr="00C605DB" w:rsidRDefault="001E4E3F" w:rsidP="00111A29">
            <w:pPr>
              <w:rPr>
                <w:rFonts w:cs="Arial"/>
                <w:color w:val="auto"/>
                <w:szCs w:val="18"/>
              </w:rPr>
            </w:pPr>
          </w:p>
        </w:tc>
        <w:tc>
          <w:tcPr>
            <w:tcW w:w="4929" w:type="dxa"/>
            <w:gridSpan w:val="3"/>
            <w:tcBorders>
              <w:top w:val="single" w:sz="4" w:space="0" w:color="000000" w:themeColor="text1"/>
              <w:bottom w:val="single" w:sz="4" w:space="0" w:color="auto"/>
            </w:tcBorders>
            <w:shd w:val="clear" w:color="auto" w:fill="auto"/>
            <w:vAlign w:val="center"/>
          </w:tcPr>
          <w:p w:rsidR="001E4E3F" w:rsidRPr="00C605DB" w:rsidRDefault="001E4E3F" w:rsidP="00111A29">
            <w:pPr>
              <w:rPr>
                <w:rFonts w:cs="Arial"/>
                <w:color w:val="auto"/>
                <w:szCs w:val="18"/>
              </w:rPr>
            </w:pPr>
            <w:r w:rsidRPr="00C605DB">
              <w:rPr>
                <w:rFonts w:cs="Arial"/>
                <w:color w:val="auto"/>
                <w:szCs w:val="18"/>
              </w:rPr>
              <w:t xml:space="preserve">                                                1</w:t>
            </w:r>
            <w:r>
              <w:rPr>
                <w:rFonts w:cs="Arial"/>
                <w:color w:val="auto"/>
                <w:szCs w:val="18"/>
              </w:rPr>
              <w:t>5</w:t>
            </w:r>
            <w:r w:rsidRPr="00C605DB">
              <w:rPr>
                <w:rFonts w:cs="Arial"/>
                <w:color w:val="auto"/>
                <w:szCs w:val="18"/>
              </w:rPr>
              <w:t>.</w:t>
            </w:r>
            <w:r>
              <w:rPr>
                <w:rFonts w:cs="Arial"/>
                <w:color w:val="auto"/>
                <w:szCs w:val="18"/>
              </w:rPr>
              <w:t>3</w:t>
            </w:r>
            <w:r w:rsidRPr="00C605DB">
              <w:rPr>
                <w:rFonts w:cs="Arial"/>
                <w:color w:val="auto"/>
                <w:szCs w:val="18"/>
              </w:rPr>
              <w:t>., 1</w:t>
            </w:r>
            <w:r>
              <w:rPr>
                <w:rFonts w:cs="Arial"/>
                <w:color w:val="auto"/>
                <w:szCs w:val="18"/>
              </w:rPr>
              <w:t>5</w:t>
            </w:r>
            <w:r w:rsidRPr="00C605DB">
              <w:rPr>
                <w:rFonts w:cs="Arial"/>
                <w:color w:val="auto"/>
                <w:szCs w:val="18"/>
              </w:rPr>
              <w:t>.</w:t>
            </w:r>
            <w:r>
              <w:rPr>
                <w:rFonts w:cs="Arial"/>
                <w:color w:val="auto"/>
                <w:szCs w:val="18"/>
              </w:rPr>
              <w:t>9</w:t>
            </w:r>
            <w:r w:rsidRPr="00C605DB">
              <w:rPr>
                <w:rFonts w:cs="Arial"/>
                <w:color w:val="auto"/>
                <w:szCs w:val="18"/>
              </w:rPr>
              <w:t>.</w:t>
            </w:r>
          </w:p>
        </w:tc>
      </w:tr>
      <w:tr w:rsidR="001E4E3F" w:rsidRPr="00C605DB" w:rsidTr="00111A29">
        <w:trPr>
          <w:trHeight w:val="203"/>
        </w:trPr>
        <w:tc>
          <w:tcPr>
            <w:tcW w:w="3828"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szCs w:val="18"/>
              </w:rPr>
            </w:pPr>
          </w:p>
        </w:tc>
        <w:tc>
          <w:tcPr>
            <w:tcW w:w="565"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rPr>
            </w:pPr>
          </w:p>
        </w:tc>
        <w:tc>
          <w:tcPr>
            <w:tcW w:w="884"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szCs w:val="18"/>
              </w:rPr>
            </w:pPr>
          </w:p>
        </w:tc>
        <w:tc>
          <w:tcPr>
            <w:tcW w:w="1593"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rPr>
            </w:pPr>
          </w:p>
        </w:tc>
        <w:tc>
          <w:tcPr>
            <w:tcW w:w="817"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szCs w:val="18"/>
              </w:rPr>
            </w:pPr>
          </w:p>
        </w:tc>
        <w:tc>
          <w:tcPr>
            <w:tcW w:w="2519" w:type="dxa"/>
            <w:tcBorders>
              <w:top w:val="single" w:sz="4" w:space="0" w:color="auto"/>
              <w:bottom w:val="single" w:sz="12" w:space="0" w:color="C0504D" w:themeColor="accent2"/>
            </w:tcBorders>
            <w:shd w:val="clear" w:color="auto" w:fill="auto"/>
            <w:vAlign w:val="center"/>
          </w:tcPr>
          <w:p w:rsidR="001E4E3F" w:rsidRPr="00C605DB" w:rsidRDefault="001E4E3F" w:rsidP="00111A29">
            <w:pPr>
              <w:rPr>
                <w:rFonts w:cs="Arial"/>
                <w:color w:val="auto"/>
                <w:szCs w:val="18"/>
              </w:rPr>
            </w:pPr>
          </w:p>
        </w:tc>
      </w:tr>
    </w:tbl>
    <w:p w:rsidR="001E4E3F" w:rsidRDefault="001E4E3F" w:rsidP="001E4E3F">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16"/>
          <w:szCs w:val="16"/>
          <w:lang w:val="cs-CZ" w:eastAsia="cs-CZ"/>
        </w:rPr>
      </w:pPr>
    </w:p>
    <w:p w:rsidR="00C9376C" w:rsidRPr="002B3526" w:rsidRDefault="00C9376C" w:rsidP="00C9376C">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iCs/>
          <w:color w:val="auto"/>
          <w:sz w:val="20"/>
          <w:szCs w:val="20"/>
          <w:lang w:val="cs-CZ" w:eastAsia="cs-CZ"/>
        </w:rPr>
      </w:pPr>
      <w:r w:rsidRPr="002B3526">
        <w:rPr>
          <w:rFonts w:cs="Arial"/>
          <w:iCs/>
          <w:color w:val="auto"/>
          <w:sz w:val="20"/>
          <w:szCs w:val="20"/>
          <w:lang w:val="cs-CZ" w:eastAsia="cs-CZ"/>
        </w:rPr>
        <w:t xml:space="preserve">Nárůst ročního pojistného dle tohoto dodatku činí: </w:t>
      </w:r>
      <w:r w:rsidRPr="002B3526">
        <w:rPr>
          <w:rFonts w:cs="Arial"/>
          <w:iCs/>
          <w:color w:val="auto"/>
          <w:sz w:val="20"/>
          <w:szCs w:val="20"/>
          <w:lang w:val="cs-CZ" w:eastAsia="cs-CZ"/>
        </w:rPr>
        <w:tab/>
      </w:r>
      <w:r w:rsidRPr="002B3526">
        <w:rPr>
          <w:rFonts w:cs="Arial"/>
          <w:iCs/>
          <w:color w:val="auto"/>
          <w:sz w:val="20"/>
          <w:szCs w:val="20"/>
          <w:lang w:val="cs-CZ" w:eastAsia="cs-CZ"/>
        </w:rPr>
        <w:tab/>
      </w:r>
      <w:r w:rsidRPr="002B3526">
        <w:rPr>
          <w:rFonts w:cs="Arial"/>
          <w:iCs/>
          <w:color w:val="auto"/>
          <w:sz w:val="20"/>
          <w:szCs w:val="20"/>
          <w:lang w:val="cs-CZ" w:eastAsia="cs-CZ"/>
        </w:rPr>
        <w:tab/>
      </w:r>
      <w:r w:rsidR="00976FE0">
        <w:rPr>
          <w:rFonts w:cs="Arial"/>
          <w:iCs/>
          <w:color w:val="auto"/>
          <w:sz w:val="20"/>
          <w:szCs w:val="20"/>
          <w:lang w:val="cs-CZ" w:eastAsia="cs-CZ"/>
        </w:rPr>
        <w:t>350 924</w:t>
      </w:r>
      <w:r w:rsidRPr="002B3526">
        <w:rPr>
          <w:rFonts w:cs="Arial"/>
          <w:iCs/>
          <w:color w:val="auto"/>
          <w:sz w:val="20"/>
          <w:szCs w:val="20"/>
          <w:lang w:val="cs-CZ" w:eastAsia="cs-CZ"/>
        </w:rPr>
        <w:t>,- Kč</w:t>
      </w:r>
    </w:p>
    <w:p w:rsidR="00C9376C" w:rsidRDefault="00C9376C" w:rsidP="00C9376C">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16"/>
          <w:szCs w:val="16"/>
          <w:lang w:val="cs-CZ" w:eastAsia="cs-CZ"/>
        </w:rPr>
      </w:pPr>
    </w:p>
    <w:p w:rsidR="00C9376C" w:rsidRPr="002B3526" w:rsidRDefault="00C9376C" w:rsidP="00C9376C">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cs="Arial"/>
          <w:iCs/>
          <w:color w:val="auto"/>
          <w:sz w:val="20"/>
          <w:szCs w:val="20"/>
          <w:lang w:val="cs-CZ" w:eastAsia="cs-CZ"/>
        </w:rPr>
      </w:pPr>
      <w:r w:rsidRPr="002B3526">
        <w:rPr>
          <w:rFonts w:cs="Arial"/>
          <w:iCs/>
          <w:color w:val="auto"/>
          <w:sz w:val="20"/>
          <w:szCs w:val="20"/>
          <w:lang w:val="cs-CZ" w:eastAsia="cs-CZ"/>
        </w:rPr>
        <w:t xml:space="preserve">Poměrné pojistné za období od </w:t>
      </w:r>
      <w:r w:rsidR="00976FE0">
        <w:rPr>
          <w:rFonts w:cs="Arial"/>
          <w:iCs/>
          <w:color w:val="auto"/>
          <w:sz w:val="20"/>
          <w:szCs w:val="20"/>
          <w:lang w:val="cs-CZ" w:eastAsia="cs-CZ"/>
        </w:rPr>
        <w:t>04</w:t>
      </w:r>
      <w:r>
        <w:rPr>
          <w:rFonts w:cs="Arial"/>
          <w:iCs/>
          <w:color w:val="auto"/>
          <w:sz w:val="20"/>
          <w:szCs w:val="20"/>
          <w:lang w:val="cs-CZ" w:eastAsia="cs-CZ"/>
        </w:rPr>
        <w:t>.0</w:t>
      </w:r>
      <w:r w:rsidR="00976FE0">
        <w:rPr>
          <w:rFonts w:cs="Arial"/>
          <w:iCs/>
          <w:color w:val="auto"/>
          <w:sz w:val="20"/>
          <w:szCs w:val="20"/>
          <w:lang w:val="cs-CZ" w:eastAsia="cs-CZ"/>
        </w:rPr>
        <w:t>5</w:t>
      </w:r>
      <w:r>
        <w:rPr>
          <w:rFonts w:cs="Arial"/>
          <w:iCs/>
          <w:color w:val="auto"/>
          <w:sz w:val="20"/>
          <w:szCs w:val="20"/>
          <w:lang w:val="cs-CZ" w:eastAsia="cs-CZ"/>
        </w:rPr>
        <w:t>.202</w:t>
      </w:r>
      <w:r w:rsidR="00976FE0">
        <w:rPr>
          <w:rFonts w:cs="Arial"/>
          <w:iCs/>
          <w:color w:val="auto"/>
          <w:sz w:val="20"/>
          <w:szCs w:val="20"/>
          <w:lang w:val="cs-CZ" w:eastAsia="cs-CZ"/>
        </w:rPr>
        <w:t>3</w:t>
      </w:r>
      <w:r>
        <w:rPr>
          <w:rFonts w:cs="Arial"/>
          <w:iCs/>
          <w:color w:val="auto"/>
          <w:sz w:val="20"/>
          <w:szCs w:val="20"/>
          <w:lang w:val="cs-CZ" w:eastAsia="cs-CZ"/>
        </w:rPr>
        <w:t xml:space="preserve"> do 14.09.202</w:t>
      </w:r>
      <w:r w:rsidR="00976FE0">
        <w:rPr>
          <w:rFonts w:cs="Arial"/>
          <w:iCs/>
          <w:color w:val="auto"/>
          <w:sz w:val="20"/>
          <w:szCs w:val="20"/>
          <w:lang w:val="cs-CZ" w:eastAsia="cs-CZ"/>
        </w:rPr>
        <w:t>3</w:t>
      </w:r>
      <w:r>
        <w:rPr>
          <w:rFonts w:cs="Arial"/>
          <w:iCs/>
          <w:color w:val="auto"/>
          <w:sz w:val="20"/>
          <w:szCs w:val="20"/>
          <w:lang w:val="cs-CZ" w:eastAsia="cs-CZ"/>
        </w:rPr>
        <w:t xml:space="preserve"> činí:</w:t>
      </w:r>
      <w:r>
        <w:rPr>
          <w:rFonts w:cs="Arial"/>
          <w:iCs/>
          <w:color w:val="auto"/>
          <w:sz w:val="20"/>
          <w:szCs w:val="20"/>
          <w:lang w:val="cs-CZ" w:eastAsia="cs-CZ"/>
        </w:rPr>
        <w:tab/>
      </w:r>
      <w:r>
        <w:rPr>
          <w:rFonts w:cs="Arial"/>
          <w:iCs/>
          <w:color w:val="auto"/>
          <w:sz w:val="20"/>
          <w:szCs w:val="20"/>
          <w:lang w:val="cs-CZ" w:eastAsia="cs-CZ"/>
        </w:rPr>
        <w:tab/>
      </w:r>
      <w:r>
        <w:rPr>
          <w:rFonts w:cs="Arial"/>
          <w:iCs/>
          <w:color w:val="auto"/>
          <w:sz w:val="20"/>
          <w:szCs w:val="20"/>
          <w:lang w:val="cs-CZ" w:eastAsia="cs-CZ"/>
        </w:rPr>
        <w:tab/>
      </w:r>
      <w:r w:rsidR="00976FE0">
        <w:rPr>
          <w:rFonts w:cs="Arial"/>
          <w:iCs/>
          <w:color w:val="auto"/>
          <w:sz w:val="20"/>
          <w:szCs w:val="20"/>
          <w:lang w:val="cs-CZ" w:eastAsia="cs-CZ"/>
        </w:rPr>
        <w:t>127 697</w:t>
      </w:r>
      <w:r>
        <w:rPr>
          <w:rFonts w:cs="Arial"/>
          <w:iCs/>
          <w:color w:val="auto"/>
          <w:sz w:val="20"/>
          <w:szCs w:val="20"/>
          <w:lang w:val="cs-CZ" w:eastAsia="cs-CZ"/>
        </w:rPr>
        <w:t>,- Kč</w:t>
      </w:r>
    </w:p>
    <w:p w:rsidR="00C9376C" w:rsidRDefault="00C9376C" w:rsidP="001E4E3F">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16"/>
          <w:szCs w:val="16"/>
          <w:lang w:val="cs-CZ" w:eastAsia="cs-CZ"/>
        </w:rPr>
      </w:pPr>
    </w:p>
    <w:p w:rsidR="0039797E" w:rsidRPr="00BD4C06" w:rsidRDefault="0039797E" w:rsidP="00323662">
      <w:pPr>
        <w:widowControl/>
        <w:tabs>
          <w:tab w:val="right" w:pos="2268"/>
          <w:tab w:val="left" w:pos="2410"/>
          <w:tab w:val="left" w:pos="2694"/>
          <w:tab w:val="left" w:pos="3969"/>
          <w:tab w:val="right" w:pos="5670"/>
          <w:tab w:val="left" w:pos="6663"/>
          <w:tab w:val="right" w:pos="9072"/>
        </w:tabs>
        <w:spacing w:before="0" w:after="0" w:line="240" w:lineRule="auto"/>
        <w:contextualSpacing w:val="0"/>
        <w:rPr>
          <w:rFonts w:ascii="Arial_CE" w:hAnsi="Arial_CE"/>
          <w:color w:val="auto"/>
          <w:sz w:val="16"/>
          <w:szCs w:val="16"/>
          <w:lang w:val="cs-CZ" w:eastAsia="cs-CZ"/>
        </w:rPr>
      </w:pPr>
    </w:p>
    <w:p w:rsidR="00323662" w:rsidRPr="00D81FCF"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sidRPr="00D81FCF">
        <w:rPr>
          <w:rFonts w:cs="Arial"/>
          <w:b/>
          <w:bCs/>
          <w:color w:val="auto"/>
          <w:sz w:val="20"/>
          <w:lang w:val="cs-CZ" w:eastAsia="cs-CZ"/>
        </w:rPr>
        <w:t>P</w:t>
      </w:r>
      <w:r>
        <w:rPr>
          <w:rFonts w:cs="Arial"/>
          <w:b/>
          <w:bCs/>
          <w:color w:val="auto"/>
          <w:sz w:val="20"/>
          <w:lang w:val="cs-CZ" w:eastAsia="cs-CZ"/>
        </w:rPr>
        <w:t>očátek a doba trvání pojištění</w:t>
      </w:r>
    </w:p>
    <w:p w:rsidR="00323662" w:rsidRPr="00BD4C06" w:rsidRDefault="00323662" w:rsidP="00323662">
      <w:pPr>
        <w:widowControl/>
        <w:tabs>
          <w:tab w:val="left" w:pos="2694"/>
          <w:tab w:val="left" w:pos="3119"/>
          <w:tab w:val="right" w:pos="6237"/>
        </w:tabs>
        <w:spacing w:before="0" w:after="0" w:line="240" w:lineRule="auto"/>
        <w:contextualSpacing w:val="0"/>
        <w:jc w:val="both"/>
        <w:rPr>
          <w:color w:val="auto"/>
          <w:sz w:val="4"/>
          <w:szCs w:val="4"/>
          <w:lang w:val="cs-CZ" w:eastAsia="cs-CZ"/>
        </w:rPr>
      </w:pPr>
    </w:p>
    <w:p w:rsidR="00323662" w:rsidRPr="00D81FCF" w:rsidRDefault="00323662" w:rsidP="00323662">
      <w:pPr>
        <w:widowControl/>
        <w:tabs>
          <w:tab w:val="left" w:pos="2694"/>
          <w:tab w:val="left" w:pos="3119"/>
          <w:tab w:val="right" w:pos="6237"/>
        </w:tabs>
        <w:spacing w:before="0" w:after="0" w:line="240" w:lineRule="auto"/>
        <w:contextualSpacing w:val="0"/>
        <w:jc w:val="both"/>
        <w:rPr>
          <w:color w:val="auto"/>
          <w:sz w:val="20"/>
          <w:szCs w:val="20"/>
          <w:lang w:val="cs-CZ" w:eastAsia="cs-CZ"/>
        </w:rPr>
      </w:pPr>
      <w:r w:rsidRPr="00D81FCF">
        <w:rPr>
          <w:color w:val="auto"/>
          <w:sz w:val="20"/>
          <w:szCs w:val="20"/>
          <w:lang w:val="cs-CZ" w:eastAsia="cs-CZ"/>
        </w:rPr>
        <w:t xml:space="preserve">Pojištění začíná dne </w:t>
      </w:r>
      <w:proofErr w:type="gramStart"/>
      <w:r w:rsidRPr="00C90279">
        <w:rPr>
          <w:b/>
          <w:color w:val="auto"/>
          <w:sz w:val="20"/>
          <w:szCs w:val="20"/>
          <w:lang w:val="cs-CZ" w:eastAsia="cs-CZ"/>
        </w:rPr>
        <w:t>15.03.2018</w:t>
      </w:r>
      <w:proofErr w:type="gramEnd"/>
      <w:r w:rsidRPr="00D81FCF">
        <w:rPr>
          <w:color w:val="auto"/>
          <w:sz w:val="20"/>
          <w:szCs w:val="20"/>
          <w:lang w:val="cs-CZ" w:eastAsia="cs-CZ"/>
        </w:rPr>
        <w:t xml:space="preserve"> a sjednává se na jeden pojistný rok. Po uplynutí pojistného roku se pojištění automaticky prodlužuje vždy na další pojistný rok, není-li jednou ze smluvních stran písemně vypovězeno nejpozději 6 týdnů před uplynutím pojistného roku. </w:t>
      </w:r>
    </w:p>
    <w:p w:rsidR="00323662" w:rsidRDefault="00323662" w:rsidP="00323662">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976FE0" w:rsidRPr="00CB0A1B" w:rsidRDefault="00976FE0" w:rsidP="00323662">
      <w:pPr>
        <w:widowControl/>
        <w:tabs>
          <w:tab w:val="left" w:pos="2694"/>
          <w:tab w:val="left" w:pos="3119"/>
          <w:tab w:val="right" w:pos="6237"/>
        </w:tabs>
        <w:spacing w:before="0" w:after="0" w:line="240" w:lineRule="auto"/>
        <w:contextualSpacing w:val="0"/>
        <w:jc w:val="both"/>
        <w:rPr>
          <w:color w:val="auto"/>
          <w:sz w:val="16"/>
          <w:szCs w:val="16"/>
          <w:lang w:val="cs-CZ" w:eastAsia="cs-CZ"/>
        </w:rPr>
      </w:pPr>
    </w:p>
    <w:p w:rsidR="00323662" w:rsidRPr="00927A24" w:rsidRDefault="00323662" w:rsidP="00323662">
      <w:pPr>
        <w:keepNext/>
        <w:widowControl/>
        <w:tabs>
          <w:tab w:val="left" w:pos="567"/>
        </w:tabs>
        <w:spacing w:before="0" w:after="0" w:line="240" w:lineRule="auto"/>
        <w:contextualSpacing w:val="0"/>
        <w:outlineLvl w:val="2"/>
        <w:rPr>
          <w:rFonts w:cs="Arial"/>
          <w:b/>
          <w:bCs/>
          <w:color w:val="auto"/>
          <w:sz w:val="20"/>
          <w:lang w:val="cs-CZ" w:eastAsia="cs-CZ"/>
        </w:rPr>
      </w:pPr>
      <w:r>
        <w:rPr>
          <w:rFonts w:cs="Arial"/>
          <w:b/>
          <w:bCs/>
          <w:color w:val="auto"/>
          <w:sz w:val="20"/>
          <w:lang w:val="cs-CZ" w:eastAsia="cs-CZ"/>
        </w:rPr>
        <w:t>Z</w:t>
      </w:r>
      <w:r w:rsidRPr="00927A24">
        <w:rPr>
          <w:rFonts w:cs="Arial"/>
          <w:b/>
          <w:bCs/>
          <w:color w:val="auto"/>
          <w:sz w:val="20"/>
          <w:lang w:val="cs-CZ" w:eastAsia="cs-CZ"/>
        </w:rPr>
        <w:t>působ placení</w:t>
      </w:r>
    </w:p>
    <w:p w:rsidR="00323662" w:rsidRPr="00BD4C06" w:rsidRDefault="00323662" w:rsidP="00323662">
      <w:pPr>
        <w:widowControl/>
        <w:tabs>
          <w:tab w:val="left" w:pos="3119"/>
          <w:tab w:val="right" w:pos="6237"/>
        </w:tabs>
        <w:spacing w:before="0" w:after="0" w:line="240" w:lineRule="auto"/>
        <w:contextualSpacing w:val="0"/>
        <w:rPr>
          <w:color w:val="auto"/>
          <w:sz w:val="12"/>
          <w:szCs w:val="12"/>
          <w:lang w:val="cs-CZ" w:eastAsia="cs-CZ"/>
        </w:rPr>
      </w:pPr>
      <w:r>
        <w:rPr>
          <w:color w:val="auto"/>
          <w:sz w:val="20"/>
          <w:szCs w:val="20"/>
          <w:lang w:val="cs-CZ" w:eastAsia="cs-CZ"/>
        </w:rPr>
        <w:t>Platba bude prováděna na účet zplnomocněného makléře oproti jeho faktuře. Pojistné se považuje za uhrazené okamžikem jeho připsání na účet zplnomocněného makléře.</w:t>
      </w:r>
      <w:r w:rsidRPr="00D81FCF" w:rsidDel="004F3571">
        <w:rPr>
          <w:rFonts w:cs="Arial"/>
          <w:color w:val="auto"/>
          <w:sz w:val="20"/>
          <w:szCs w:val="20"/>
          <w:lang w:val="cs-CZ" w:eastAsia="cs-CZ"/>
        </w:rPr>
        <w:t xml:space="preserve"> </w:t>
      </w:r>
      <w:r>
        <w:rPr>
          <w:rFonts w:cs="Arial"/>
          <w:color w:val="auto"/>
          <w:sz w:val="20"/>
          <w:szCs w:val="20"/>
          <w:lang w:val="cs-CZ" w:eastAsia="cs-CZ"/>
        </w:rPr>
        <w:t xml:space="preserve">Pojistné se sjednává jako běžné. </w:t>
      </w:r>
    </w:p>
    <w:p w:rsidR="00323662" w:rsidRDefault="00323662" w:rsidP="00323662">
      <w:pPr>
        <w:widowControl/>
        <w:spacing w:before="120" w:after="0" w:line="240" w:lineRule="auto"/>
        <w:contextualSpacing w:val="0"/>
        <w:jc w:val="both"/>
        <w:rPr>
          <w:color w:val="auto"/>
          <w:sz w:val="20"/>
          <w:szCs w:val="20"/>
          <w:lang w:val="cs-CZ" w:eastAsia="cs-CZ"/>
        </w:rPr>
      </w:pPr>
    </w:p>
    <w:p w:rsidR="00976FE0" w:rsidRDefault="00976FE0" w:rsidP="00323662">
      <w:pPr>
        <w:widowControl/>
        <w:spacing w:before="120" w:after="0" w:line="240" w:lineRule="auto"/>
        <w:contextualSpacing w:val="0"/>
        <w:jc w:val="both"/>
        <w:rPr>
          <w:color w:val="auto"/>
          <w:sz w:val="20"/>
          <w:szCs w:val="20"/>
          <w:lang w:val="cs-CZ" w:eastAsia="cs-CZ"/>
        </w:rPr>
      </w:pPr>
    </w:p>
    <w:p w:rsidR="00BA4862" w:rsidRDefault="00BA4862" w:rsidP="00795A27">
      <w:pPr>
        <w:widowControl/>
        <w:spacing w:before="120" w:after="0" w:line="240" w:lineRule="auto"/>
        <w:contextualSpacing w:val="0"/>
        <w:jc w:val="both"/>
        <w:rPr>
          <w:color w:val="auto"/>
          <w:sz w:val="20"/>
          <w:szCs w:val="20"/>
          <w:lang w:val="cs-CZ" w:eastAsia="cs-CZ"/>
        </w:rPr>
      </w:pPr>
      <w:r>
        <w:rPr>
          <w:color w:val="auto"/>
          <w:sz w:val="20"/>
          <w:szCs w:val="20"/>
          <w:lang w:val="cs-CZ" w:eastAsia="cs-CZ"/>
        </w:rPr>
        <w:t>II. Ostatní ustanovení pojistné smlouvy zůstávají v platnosti.</w:t>
      </w:r>
    </w:p>
    <w:p w:rsidR="00BA4862" w:rsidRDefault="00BA4862" w:rsidP="00795A27">
      <w:pPr>
        <w:widowControl/>
        <w:spacing w:before="120" w:after="0" w:line="240" w:lineRule="auto"/>
        <w:contextualSpacing w:val="0"/>
        <w:jc w:val="both"/>
        <w:rPr>
          <w:color w:val="auto"/>
          <w:sz w:val="20"/>
          <w:szCs w:val="20"/>
          <w:lang w:val="cs-CZ" w:eastAsia="cs-CZ"/>
        </w:rPr>
      </w:pPr>
    </w:p>
    <w:p w:rsidR="00BA4862" w:rsidRDefault="00BA4862" w:rsidP="00795A27">
      <w:pPr>
        <w:widowControl/>
        <w:spacing w:before="120" w:after="0" w:line="240" w:lineRule="auto"/>
        <w:contextualSpacing w:val="0"/>
        <w:jc w:val="both"/>
        <w:rPr>
          <w:color w:val="auto"/>
          <w:sz w:val="20"/>
          <w:szCs w:val="20"/>
          <w:lang w:val="cs-CZ" w:eastAsia="cs-CZ"/>
        </w:rPr>
      </w:pPr>
      <w:r>
        <w:rPr>
          <w:color w:val="auto"/>
          <w:sz w:val="20"/>
          <w:szCs w:val="20"/>
          <w:lang w:val="cs-CZ" w:eastAsia="cs-CZ"/>
        </w:rPr>
        <w:t xml:space="preserve">III. </w:t>
      </w:r>
      <w:r w:rsidR="00A8362D">
        <w:rPr>
          <w:color w:val="auto"/>
          <w:sz w:val="20"/>
          <w:szCs w:val="20"/>
          <w:lang w:val="cs-CZ" w:eastAsia="cs-CZ"/>
        </w:rPr>
        <w:t xml:space="preserve">Tento dodatek </w:t>
      </w:r>
      <w:r w:rsidR="00C4117A">
        <w:rPr>
          <w:color w:val="auto"/>
          <w:sz w:val="20"/>
          <w:szCs w:val="20"/>
          <w:lang w:val="cs-CZ" w:eastAsia="cs-CZ"/>
        </w:rPr>
        <w:t xml:space="preserve">obsahuje </w:t>
      </w:r>
      <w:r w:rsidR="002E6555">
        <w:rPr>
          <w:color w:val="auto"/>
          <w:sz w:val="20"/>
          <w:szCs w:val="20"/>
          <w:lang w:val="cs-CZ" w:eastAsia="cs-CZ"/>
        </w:rPr>
        <w:t>9</w:t>
      </w:r>
      <w:r w:rsidR="00C4117A">
        <w:rPr>
          <w:color w:val="auto"/>
          <w:sz w:val="20"/>
          <w:szCs w:val="20"/>
          <w:lang w:val="cs-CZ" w:eastAsia="cs-CZ"/>
        </w:rPr>
        <w:t xml:space="preserve"> stran a </w:t>
      </w:r>
      <w:r w:rsidR="00A8362D">
        <w:rPr>
          <w:color w:val="auto"/>
          <w:sz w:val="20"/>
          <w:szCs w:val="20"/>
          <w:lang w:val="cs-CZ" w:eastAsia="cs-CZ"/>
        </w:rPr>
        <w:t>je vyhotoven ve dvou originálech, z nichž jeden obdrží pojistitel a jeden pojistník.</w:t>
      </w:r>
    </w:p>
    <w:p w:rsidR="00BA4862" w:rsidRDefault="00BA4862" w:rsidP="00795A27">
      <w:pPr>
        <w:widowControl/>
        <w:spacing w:before="120" w:after="0" w:line="240" w:lineRule="auto"/>
        <w:contextualSpacing w:val="0"/>
        <w:jc w:val="both"/>
        <w:rPr>
          <w:color w:val="auto"/>
          <w:sz w:val="20"/>
          <w:szCs w:val="20"/>
          <w:lang w:val="cs-CZ" w:eastAsia="cs-CZ"/>
        </w:rPr>
      </w:pPr>
    </w:p>
    <w:p w:rsidR="00795A27" w:rsidRDefault="00795A27" w:rsidP="00795A27">
      <w:pPr>
        <w:jc w:val="both"/>
        <w:rPr>
          <w:rFonts w:cs="Arial"/>
          <w:sz w:val="20"/>
        </w:rPr>
      </w:pPr>
    </w:p>
    <w:p w:rsidR="00EA48DF" w:rsidRPr="00E92037" w:rsidRDefault="00EA48DF" w:rsidP="00795A27">
      <w:pPr>
        <w:jc w:val="both"/>
        <w:rPr>
          <w:rFonts w:cs="Arial"/>
          <w:sz w:val="20"/>
        </w:rPr>
      </w:pPr>
    </w:p>
    <w:tbl>
      <w:tblPr>
        <w:tblW w:w="9922" w:type="dxa"/>
        <w:tblInd w:w="108" w:type="dxa"/>
        <w:tblLayout w:type="fixed"/>
        <w:tblLook w:val="0000" w:firstRow="0" w:lastRow="0" w:firstColumn="0" w:lastColumn="0" w:noHBand="0" w:noVBand="0"/>
      </w:tblPr>
      <w:tblGrid>
        <w:gridCol w:w="2480"/>
        <w:gridCol w:w="2481"/>
        <w:gridCol w:w="142"/>
        <w:gridCol w:w="2338"/>
        <w:gridCol w:w="2481"/>
      </w:tblGrid>
      <w:tr w:rsidR="00795A27" w:rsidRPr="004B55AD" w:rsidTr="00AC21C1">
        <w:tc>
          <w:tcPr>
            <w:tcW w:w="5103" w:type="dxa"/>
            <w:gridSpan w:val="3"/>
          </w:tcPr>
          <w:p w:rsidR="00795A27" w:rsidRPr="00E92037" w:rsidRDefault="00795A27" w:rsidP="00C605DB">
            <w:pPr>
              <w:ind w:left="-74"/>
              <w:jc w:val="both"/>
              <w:rPr>
                <w:bCs/>
                <w:sz w:val="20"/>
                <w:szCs w:val="20"/>
                <w:lang w:val="fr-FR"/>
              </w:rPr>
            </w:pPr>
            <w:r w:rsidRPr="00E92037">
              <w:rPr>
                <w:bCs/>
                <w:sz w:val="20"/>
                <w:szCs w:val="20"/>
                <w:lang w:val="fr-FR"/>
              </w:rPr>
              <w:t>V Praze dne</w:t>
            </w:r>
            <w:r w:rsidR="002740C1">
              <w:rPr>
                <w:bCs/>
                <w:sz w:val="20"/>
                <w:szCs w:val="20"/>
                <w:lang w:val="fr-FR"/>
              </w:rPr>
              <w:t xml:space="preserve"> </w:t>
            </w:r>
            <w:r w:rsidR="009A7BD8">
              <w:rPr>
                <w:bCs/>
                <w:sz w:val="20"/>
                <w:szCs w:val="20"/>
                <w:lang w:val="fr-FR"/>
              </w:rPr>
              <w:t>3. 5. 2023</w:t>
            </w:r>
          </w:p>
          <w:p w:rsidR="00795A27" w:rsidRPr="00E92037" w:rsidRDefault="00795A27" w:rsidP="00C605DB">
            <w:pPr>
              <w:ind w:left="-74"/>
              <w:jc w:val="both"/>
              <w:rPr>
                <w:bCs/>
                <w:sz w:val="20"/>
                <w:szCs w:val="20"/>
                <w:lang w:val="pl-PL"/>
              </w:rPr>
            </w:pPr>
            <w:r w:rsidRPr="00E92037">
              <w:rPr>
                <w:bCs/>
                <w:sz w:val="20"/>
                <w:szCs w:val="20"/>
                <w:lang w:val="pl-PL"/>
              </w:rPr>
              <w:t xml:space="preserve">za pojistitele </w:t>
            </w:r>
          </w:p>
          <w:p w:rsidR="00795A27" w:rsidRPr="00E92037" w:rsidRDefault="00795A27" w:rsidP="002B3526">
            <w:pPr>
              <w:ind w:left="-74"/>
              <w:jc w:val="both"/>
              <w:rPr>
                <w:bCs/>
                <w:i/>
                <w:sz w:val="20"/>
                <w:szCs w:val="20"/>
                <w:lang w:val="pl-PL"/>
              </w:rPr>
            </w:pPr>
            <w:r w:rsidRPr="00E92037">
              <w:rPr>
                <w:bCs/>
                <w:sz w:val="20"/>
                <w:szCs w:val="20"/>
                <w:lang w:val="pl-PL"/>
              </w:rPr>
              <w:t xml:space="preserve">Generali </w:t>
            </w:r>
            <w:r w:rsidR="002B3526">
              <w:rPr>
                <w:bCs/>
                <w:sz w:val="20"/>
                <w:szCs w:val="20"/>
                <w:lang w:val="pl-PL"/>
              </w:rPr>
              <w:t>Česká p</w:t>
            </w:r>
            <w:r w:rsidRPr="00E92037">
              <w:rPr>
                <w:bCs/>
                <w:sz w:val="20"/>
                <w:szCs w:val="20"/>
                <w:lang w:val="pl-PL"/>
              </w:rPr>
              <w:t xml:space="preserve">ojišťovna a.s.                                                                                                </w:t>
            </w:r>
          </w:p>
        </w:tc>
        <w:tc>
          <w:tcPr>
            <w:tcW w:w="4819" w:type="dxa"/>
            <w:gridSpan w:val="2"/>
          </w:tcPr>
          <w:p w:rsidR="00795A27" w:rsidRPr="00E92037" w:rsidRDefault="002740C1" w:rsidP="00AC21C1">
            <w:pPr>
              <w:jc w:val="both"/>
              <w:rPr>
                <w:bCs/>
                <w:sz w:val="20"/>
                <w:szCs w:val="20"/>
                <w:lang w:val="de-DE"/>
              </w:rPr>
            </w:pPr>
            <w:r>
              <w:rPr>
                <w:bCs/>
                <w:sz w:val="20"/>
                <w:szCs w:val="20"/>
                <w:lang w:val="de-DE"/>
              </w:rPr>
              <w:t xml:space="preserve">V  </w:t>
            </w:r>
            <w:proofErr w:type="spellStart"/>
            <w:r>
              <w:rPr>
                <w:bCs/>
                <w:sz w:val="20"/>
                <w:szCs w:val="20"/>
                <w:lang w:val="de-DE"/>
              </w:rPr>
              <w:t>Praze</w:t>
            </w:r>
            <w:proofErr w:type="spellEnd"/>
            <w:r w:rsidR="00795A27" w:rsidRPr="00E92037">
              <w:rPr>
                <w:bCs/>
                <w:sz w:val="20"/>
                <w:szCs w:val="20"/>
                <w:lang w:val="de-DE"/>
              </w:rPr>
              <w:t xml:space="preserve"> </w:t>
            </w:r>
            <w:proofErr w:type="spellStart"/>
            <w:r>
              <w:rPr>
                <w:bCs/>
                <w:sz w:val="20"/>
                <w:szCs w:val="20"/>
                <w:lang w:val="de-DE"/>
              </w:rPr>
              <w:t>d</w:t>
            </w:r>
            <w:r w:rsidR="00795A27" w:rsidRPr="00E92037">
              <w:rPr>
                <w:bCs/>
                <w:sz w:val="20"/>
                <w:szCs w:val="20"/>
                <w:lang w:val="de-DE"/>
              </w:rPr>
              <w:t>ne</w:t>
            </w:r>
            <w:proofErr w:type="spellEnd"/>
            <w:r>
              <w:rPr>
                <w:bCs/>
                <w:sz w:val="20"/>
                <w:szCs w:val="20"/>
                <w:lang w:val="de-DE"/>
              </w:rPr>
              <w:t xml:space="preserve"> </w:t>
            </w:r>
            <w:r w:rsidR="009A7BD8">
              <w:rPr>
                <w:bCs/>
                <w:sz w:val="20"/>
                <w:szCs w:val="20"/>
                <w:lang w:val="de-DE"/>
              </w:rPr>
              <w:t>4. 5. 2023</w:t>
            </w:r>
            <w:bookmarkStart w:id="0" w:name="_GoBack"/>
            <w:bookmarkEnd w:id="0"/>
          </w:p>
          <w:p w:rsidR="00795A27" w:rsidRPr="00E92037" w:rsidRDefault="00795A27" w:rsidP="00AC21C1">
            <w:pPr>
              <w:jc w:val="both"/>
              <w:rPr>
                <w:bCs/>
                <w:sz w:val="20"/>
                <w:szCs w:val="20"/>
                <w:lang w:val="de-DE"/>
              </w:rPr>
            </w:pPr>
            <w:proofErr w:type="spellStart"/>
            <w:r w:rsidRPr="00E92037">
              <w:rPr>
                <w:bCs/>
                <w:sz w:val="20"/>
                <w:szCs w:val="20"/>
                <w:lang w:val="de-DE"/>
              </w:rPr>
              <w:t>za</w:t>
            </w:r>
            <w:proofErr w:type="spellEnd"/>
            <w:r w:rsidRPr="00E92037">
              <w:rPr>
                <w:bCs/>
                <w:sz w:val="20"/>
                <w:szCs w:val="20"/>
                <w:lang w:val="de-DE"/>
              </w:rPr>
              <w:t xml:space="preserve"> </w:t>
            </w:r>
            <w:proofErr w:type="spellStart"/>
            <w:r w:rsidRPr="00E92037">
              <w:rPr>
                <w:bCs/>
                <w:sz w:val="20"/>
                <w:szCs w:val="20"/>
                <w:lang w:val="de-DE"/>
              </w:rPr>
              <w:t>pojistníka</w:t>
            </w:r>
            <w:proofErr w:type="spellEnd"/>
            <w:r w:rsidRPr="00E92037">
              <w:rPr>
                <w:bCs/>
                <w:sz w:val="20"/>
                <w:szCs w:val="20"/>
                <w:lang w:val="de-DE"/>
              </w:rPr>
              <w:t xml:space="preserve"> </w:t>
            </w:r>
          </w:p>
          <w:p w:rsidR="00795A27" w:rsidRPr="00D11A25" w:rsidRDefault="00EA48DF" w:rsidP="00EA48DF">
            <w:pPr>
              <w:jc w:val="both"/>
              <w:rPr>
                <w:bCs/>
                <w:sz w:val="20"/>
                <w:szCs w:val="20"/>
                <w:lang w:val="pl-PL"/>
              </w:rPr>
            </w:pPr>
            <w:r>
              <w:rPr>
                <w:bCs/>
                <w:sz w:val="20"/>
                <w:szCs w:val="20"/>
                <w:lang w:val="pl-PL"/>
              </w:rPr>
              <w:t>Ústav živočišné fyziologie a genetiky AV ČR, v.v.i.</w:t>
            </w:r>
            <w:r w:rsidR="002740C1">
              <w:rPr>
                <w:bCs/>
                <w:sz w:val="20"/>
                <w:szCs w:val="20"/>
                <w:lang w:val="pl-PL"/>
              </w:rPr>
              <w:t>.</w:t>
            </w:r>
          </w:p>
        </w:tc>
      </w:tr>
      <w:tr w:rsidR="00795A27" w:rsidRPr="00D741C5" w:rsidTr="00AC21C1">
        <w:tc>
          <w:tcPr>
            <w:tcW w:w="2480" w:type="dxa"/>
          </w:tcPr>
          <w:p w:rsidR="00795A27" w:rsidRDefault="00795A27" w:rsidP="00AC21C1">
            <w:pPr>
              <w:jc w:val="both"/>
              <w:rPr>
                <w:bCs/>
                <w:sz w:val="22"/>
                <w:lang w:val="pl-PL"/>
              </w:rPr>
            </w:pPr>
          </w:p>
          <w:p w:rsidR="00F813A2" w:rsidRDefault="00F813A2" w:rsidP="00AC21C1">
            <w:pPr>
              <w:jc w:val="both"/>
              <w:rPr>
                <w:bCs/>
                <w:sz w:val="22"/>
                <w:lang w:val="pl-PL"/>
              </w:rPr>
            </w:pPr>
          </w:p>
          <w:p w:rsidR="00F813A2" w:rsidRDefault="00F813A2" w:rsidP="00AC21C1">
            <w:pPr>
              <w:jc w:val="both"/>
              <w:rPr>
                <w:bCs/>
                <w:sz w:val="22"/>
                <w:lang w:val="pl-PL"/>
              </w:rPr>
            </w:pPr>
          </w:p>
          <w:p w:rsidR="0085250D" w:rsidRDefault="0085250D" w:rsidP="00AC21C1">
            <w:pPr>
              <w:jc w:val="both"/>
              <w:rPr>
                <w:bCs/>
                <w:sz w:val="22"/>
                <w:lang w:val="pl-PL"/>
              </w:rPr>
            </w:pPr>
          </w:p>
          <w:p w:rsidR="0085250D" w:rsidRPr="00E134C7" w:rsidRDefault="0085250D" w:rsidP="00AC21C1">
            <w:pPr>
              <w:jc w:val="both"/>
              <w:rPr>
                <w:bCs/>
                <w:sz w:val="22"/>
                <w:lang w:val="pl-PL"/>
              </w:rPr>
            </w:pPr>
          </w:p>
          <w:p w:rsidR="00795A27" w:rsidRPr="00E92037" w:rsidRDefault="00795A27" w:rsidP="00AC21C1">
            <w:pPr>
              <w:jc w:val="both"/>
              <w:rPr>
                <w:bCs/>
                <w:sz w:val="22"/>
              </w:rPr>
            </w:pPr>
            <w:r w:rsidRPr="00E92037">
              <w:rPr>
                <w:bCs/>
                <w:sz w:val="22"/>
              </w:rPr>
              <w:t>. . . . . . . . . . . . . . . .</w:t>
            </w:r>
          </w:p>
          <w:p w:rsidR="00795A27" w:rsidRDefault="002E6555" w:rsidP="00AC21C1">
            <w:pPr>
              <w:jc w:val="both"/>
              <w:rPr>
                <w:bCs/>
                <w:szCs w:val="18"/>
              </w:rPr>
            </w:pPr>
            <w:r>
              <w:rPr>
                <w:bCs/>
                <w:szCs w:val="18"/>
              </w:rPr>
              <w:t>Martin Peroutka</w:t>
            </w:r>
          </w:p>
          <w:p w:rsidR="002740C1" w:rsidRPr="00E92037" w:rsidRDefault="002740C1" w:rsidP="00AC21C1">
            <w:pPr>
              <w:jc w:val="both"/>
              <w:rPr>
                <w:bCs/>
                <w:szCs w:val="18"/>
              </w:rPr>
            </w:pPr>
            <w:r>
              <w:rPr>
                <w:bCs/>
                <w:szCs w:val="18"/>
              </w:rPr>
              <w:t>upisovatel senior</w:t>
            </w:r>
          </w:p>
          <w:p w:rsidR="00157738" w:rsidRPr="00D11A25" w:rsidRDefault="00157738" w:rsidP="00AC21C1">
            <w:pPr>
              <w:jc w:val="both"/>
              <w:rPr>
                <w:bCs/>
                <w:sz w:val="20"/>
                <w:szCs w:val="20"/>
                <w:lang w:val="pl-PL"/>
              </w:rPr>
            </w:pPr>
          </w:p>
        </w:tc>
        <w:tc>
          <w:tcPr>
            <w:tcW w:w="2481" w:type="dxa"/>
          </w:tcPr>
          <w:p w:rsidR="00795A27" w:rsidRDefault="00795A27" w:rsidP="00AC21C1">
            <w:pPr>
              <w:jc w:val="both"/>
              <w:rPr>
                <w:bCs/>
                <w:sz w:val="22"/>
              </w:rPr>
            </w:pPr>
          </w:p>
          <w:p w:rsidR="00EA48DF" w:rsidRDefault="00EA48DF" w:rsidP="00AC21C1">
            <w:pPr>
              <w:jc w:val="both"/>
              <w:rPr>
                <w:bCs/>
                <w:sz w:val="22"/>
              </w:rPr>
            </w:pPr>
          </w:p>
          <w:p w:rsidR="00E37C12" w:rsidRDefault="00E37C12" w:rsidP="00AC21C1">
            <w:pPr>
              <w:jc w:val="both"/>
              <w:rPr>
                <w:bCs/>
                <w:sz w:val="22"/>
              </w:rPr>
            </w:pPr>
          </w:p>
          <w:p w:rsidR="002C0EA5" w:rsidRDefault="002C0EA5" w:rsidP="00AC21C1">
            <w:pPr>
              <w:jc w:val="both"/>
              <w:rPr>
                <w:bCs/>
                <w:sz w:val="22"/>
              </w:rPr>
            </w:pPr>
          </w:p>
          <w:p w:rsidR="00795A27" w:rsidRDefault="00795A27" w:rsidP="00AC21C1">
            <w:pPr>
              <w:jc w:val="both"/>
              <w:rPr>
                <w:bCs/>
                <w:sz w:val="22"/>
              </w:rPr>
            </w:pPr>
          </w:p>
          <w:p w:rsidR="00795A27" w:rsidRPr="00E92037" w:rsidRDefault="00795A27" w:rsidP="00AC21C1">
            <w:pPr>
              <w:jc w:val="both"/>
              <w:rPr>
                <w:bCs/>
                <w:sz w:val="22"/>
              </w:rPr>
            </w:pPr>
            <w:r w:rsidRPr="00E92037">
              <w:rPr>
                <w:bCs/>
                <w:sz w:val="22"/>
              </w:rPr>
              <w:t>. . . . . . . . . . . . . . . .</w:t>
            </w:r>
          </w:p>
          <w:p w:rsidR="00795A27" w:rsidRPr="00E92037" w:rsidRDefault="002740C1" w:rsidP="00AC21C1">
            <w:pPr>
              <w:jc w:val="both"/>
              <w:rPr>
                <w:bCs/>
                <w:szCs w:val="18"/>
              </w:rPr>
            </w:pPr>
            <w:r>
              <w:rPr>
                <w:bCs/>
                <w:szCs w:val="18"/>
              </w:rPr>
              <w:t>Ing.</w:t>
            </w:r>
            <w:r w:rsidR="00EA48DF">
              <w:rPr>
                <w:bCs/>
                <w:szCs w:val="18"/>
              </w:rPr>
              <w:t>Miloš Folda</w:t>
            </w:r>
          </w:p>
          <w:p w:rsidR="00795A27" w:rsidRPr="00011DA1" w:rsidRDefault="002740C1" w:rsidP="00AC21C1">
            <w:pPr>
              <w:jc w:val="both"/>
              <w:rPr>
                <w:bCs/>
                <w:szCs w:val="18"/>
                <w:lang w:val="pl-PL"/>
              </w:rPr>
            </w:pPr>
            <w:r w:rsidRPr="00011DA1">
              <w:rPr>
                <w:bCs/>
                <w:szCs w:val="18"/>
                <w:lang w:val="pl-PL"/>
              </w:rPr>
              <w:t>upisovatel senior</w:t>
            </w:r>
          </w:p>
        </w:tc>
        <w:tc>
          <w:tcPr>
            <w:tcW w:w="2480" w:type="dxa"/>
            <w:gridSpan w:val="2"/>
          </w:tcPr>
          <w:p w:rsidR="00795A27" w:rsidRPr="00011DA1" w:rsidRDefault="00795A27" w:rsidP="00AC21C1">
            <w:pPr>
              <w:jc w:val="both"/>
              <w:rPr>
                <w:bCs/>
                <w:szCs w:val="18"/>
              </w:rPr>
            </w:pPr>
          </w:p>
          <w:p w:rsidR="002C0EA5" w:rsidRDefault="002C0EA5" w:rsidP="00AC21C1">
            <w:pPr>
              <w:jc w:val="both"/>
              <w:rPr>
                <w:bCs/>
                <w:szCs w:val="18"/>
              </w:rPr>
            </w:pPr>
          </w:p>
          <w:p w:rsidR="00EA48DF" w:rsidRPr="00011DA1" w:rsidRDefault="00EA48DF" w:rsidP="00AC21C1">
            <w:pPr>
              <w:jc w:val="both"/>
              <w:rPr>
                <w:bCs/>
                <w:szCs w:val="18"/>
              </w:rPr>
            </w:pPr>
          </w:p>
          <w:p w:rsidR="00795A27" w:rsidRPr="00011DA1" w:rsidRDefault="00795A27" w:rsidP="00AC21C1">
            <w:pPr>
              <w:jc w:val="both"/>
              <w:rPr>
                <w:bCs/>
                <w:szCs w:val="18"/>
              </w:rPr>
            </w:pPr>
          </w:p>
          <w:p w:rsidR="00795A27" w:rsidRPr="00011DA1" w:rsidRDefault="00795A27" w:rsidP="00AC21C1">
            <w:pPr>
              <w:jc w:val="both"/>
              <w:rPr>
                <w:bCs/>
                <w:szCs w:val="18"/>
              </w:rPr>
            </w:pPr>
          </w:p>
          <w:p w:rsidR="00795A27" w:rsidRPr="00011DA1" w:rsidRDefault="00795A27" w:rsidP="00AC21C1">
            <w:pPr>
              <w:jc w:val="both"/>
              <w:rPr>
                <w:bCs/>
                <w:szCs w:val="18"/>
              </w:rPr>
            </w:pPr>
            <w:r w:rsidRPr="00011DA1">
              <w:rPr>
                <w:bCs/>
                <w:szCs w:val="18"/>
              </w:rPr>
              <w:t>. . . . . . . . . . . . . . . .</w:t>
            </w:r>
          </w:p>
          <w:p w:rsidR="002740C1" w:rsidRPr="00CB0A1B" w:rsidRDefault="004F3571" w:rsidP="00AC21C1">
            <w:pPr>
              <w:jc w:val="both"/>
              <w:rPr>
                <w:bCs/>
                <w:szCs w:val="18"/>
              </w:rPr>
            </w:pPr>
            <w:r w:rsidRPr="00CB0A1B">
              <w:rPr>
                <w:rFonts w:cs="Arial"/>
                <w:color w:val="auto"/>
                <w:szCs w:val="18"/>
                <w:lang w:val="cs-CZ" w:eastAsia="cs-CZ"/>
              </w:rPr>
              <w:t>Ing. Michal Kubelk</w:t>
            </w:r>
            <w:r w:rsidR="00CB0A1B" w:rsidRPr="00CB0A1B">
              <w:rPr>
                <w:rFonts w:cs="Arial"/>
                <w:color w:val="auto"/>
                <w:szCs w:val="18"/>
                <w:lang w:val="cs-CZ" w:eastAsia="cs-CZ"/>
              </w:rPr>
              <w:t>a</w:t>
            </w:r>
            <w:r w:rsidRPr="00CB0A1B">
              <w:rPr>
                <w:rFonts w:cs="Arial"/>
                <w:color w:val="auto"/>
                <w:szCs w:val="18"/>
                <w:lang w:val="cs-CZ" w:eastAsia="cs-CZ"/>
              </w:rPr>
              <w:t>, CSc.</w:t>
            </w:r>
            <w:r w:rsidR="0085250D">
              <w:rPr>
                <w:rFonts w:cs="Arial"/>
                <w:color w:val="auto"/>
                <w:szCs w:val="18"/>
                <w:lang w:val="cs-CZ" w:eastAsia="cs-CZ"/>
              </w:rPr>
              <w:t xml:space="preserve"> </w:t>
            </w:r>
            <w:r w:rsidR="002740C1" w:rsidRPr="00CB0A1B">
              <w:rPr>
                <w:bCs/>
                <w:szCs w:val="18"/>
              </w:rPr>
              <w:t>ředitel</w:t>
            </w:r>
          </w:p>
          <w:p w:rsidR="00795A27" w:rsidRPr="00011DA1" w:rsidRDefault="00795A27" w:rsidP="00AC21C1">
            <w:pPr>
              <w:jc w:val="both"/>
              <w:rPr>
                <w:bCs/>
                <w:szCs w:val="18"/>
                <w:lang w:val="pl-PL"/>
              </w:rPr>
            </w:pPr>
          </w:p>
        </w:tc>
        <w:tc>
          <w:tcPr>
            <w:tcW w:w="2481" w:type="dxa"/>
          </w:tcPr>
          <w:p w:rsidR="00795A27" w:rsidRPr="00D11A25" w:rsidRDefault="00795A27" w:rsidP="002740C1">
            <w:pPr>
              <w:jc w:val="both"/>
              <w:rPr>
                <w:bCs/>
                <w:sz w:val="20"/>
                <w:szCs w:val="20"/>
                <w:lang w:val="pl-PL"/>
              </w:rPr>
            </w:pPr>
          </w:p>
        </w:tc>
      </w:tr>
    </w:tbl>
    <w:p w:rsidR="00795A27" w:rsidRDefault="00795A27" w:rsidP="00795A27">
      <w:pPr>
        <w:jc w:val="both"/>
        <w:rPr>
          <w:rFonts w:cs="Arial"/>
          <w:sz w:val="16"/>
          <w:szCs w:val="16"/>
        </w:rPr>
      </w:pPr>
      <w:r w:rsidRPr="00421A14">
        <w:rPr>
          <w:rFonts w:cs="Arial"/>
          <w:sz w:val="16"/>
          <w:szCs w:val="16"/>
        </w:rPr>
        <w:t xml:space="preserve">Vystavil: </w:t>
      </w:r>
      <w:r w:rsidR="002740C1" w:rsidRPr="002740C1">
        <w:rPr>
          <w:rFonts w:cs="Arial"/>
          <w:sz w:val="16"/>
          <w:szCs w:val="16"/>
        </w:rPr>
        <w:t xml:space="preserve">Ing. </w:t>
      </w:r>
      <w:r w:rsidR="00EA48DF">
        <w:rPr>
          <w:rFonts w:cs="Arial"/>
          <w:sz w:val="16"/>
          <w:szCs w:val="16"/>
        </w:rPr>
        <w:t>Miloš Folda</w:t>
      </w:r>
      <w:r w:rsidR="002740C1" w:rsidRPr="002740C1">
        <w:rPr>
          <w:rFonts w:cs="Arial"/>
          <w:sz w:val="16"/>
          <w:szCs w:val="16"/>
        </w:rPr>
        <w:t>, upisovatel senior, Korporátní a průmyslové pojištění</w:t>
      </w:r>
    </w:p>
    <w:p w:rsidR="00EA48DF" w:rsidRPr="00421A14" w:rsidRDefault="00EA48DF" w:rsidP="00795A27">
      <w:pPr>
        <w:jc w:val="both"/>
        <w:rPr>
          <w:rFonts w:cs="Arial"/>
          <w:sz w:val="16"/>
          <w:szCs w:val="16"/>
        </w:rPr>
      </w:pPr>
    </w:p>
    <w:p w:rsidR="00795A27" w:rsidRPr="00E92037" w:rsidRDefault="00795A27" w:rsidP="00795A27">
      <w:pPr>
        <w:widowControl/>
        <w:tabs>
          <w:tab w:val="right" w:pos="6237"/>
        </w:tabs>
        <w:spacing w:before="120" w:after="0" w:line="240" w:lineRule="auto"/>
        <w:contextualSpacing w:val="0"/>
        <w:rPr>
          <w:bCs/>
          <w:iCs/>
          <w:color w:val="auto"/>
          <w:sz w:val="16"/>
          <w:szCs w:val="16"/>
          <w:lang w:val="cs-CZ" w:eastAsia="cs-CZ"/>
        </w:rPr>
      </w:pPr>
      <w:r w:rsidRPr="00E92037">
        <w:rPr>
          <w:b/>
          <w:bCs/>
          <w:iCs/>
          <w:color w:val="auto"/>
          <w:sz w:val="16"/>
          <w:szCs w:val="16"/>
          <w:lang w:val="cs-CZ" w:eastAsia="cs-CZ"/>
        </w:rPr>
        <w:t>P</w:t>
      </w:r>
      <w:r>
        <w:rPr>
          <w:b/>
          <w:bCs/>
          <w:iCs/>
          <w:color w:val="auto"/>
          <w:sz w:val="16"/>
          <w:szCs w:val="16"/>
          <w:lang w:val="cs-CZ" w:eastAsia="cs-CZ"/>
        </w:rPr>
        <w:t>oznámky pouze pro pojistitele</w:t>
      </w:r>
      <w:r w:rsidRPr="00E92037">
        <w:rPr>
          <w:bCs/>
          <w:iCs/>
          <w:color w:val="auto"/>
          <w:sz w:val="16"/>
          <w:szCs w:val="16"/>
          <w:lang w:val="cs-CZ"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tblGrid>
      <w:tr w:rsidR="00795A27" w:rsidRPr="00E92037" w:rsidTr="00AC21C1">
        <w:tc>
          <w:tcPr>
            <w:tcW w:w="7725" w:type="dxa"/>
            <w:tcBorders>
              <w:top w:val="nil"/>
              <w:left w:val="nil"/>
              <w:bottom w:val="nil"/>
              <w:right w:val="nil"/>
            </w:tcBorders>
          </w:tcPr>
          <w:p w:rsidR="00795A27" w:rsidRPr="00E92037" w:rsidRDefault="00795A27" w:rsidP="00AC21C1">
            <w:pPr>
              <w:widowControl/>
              <w:spacing w:before="0" w:after="0" w:line="240" w:lineRule="auto"/>
              <w:contextualSpacing w:val="0"/>
              <w:rPr>
                <w:rFonts w:cs="Arial"/>
                <w:iCs/>
                <w:color w:val="auto"/>
                <w:sz w:val="16"/>
                <w:szCs w:val="16"/>
                <w:lang w:val="cs-CZ" w:eastAsia="cs-CZ"/>
              </w:rPr>
            </w:pPr>
            <w:r w:rsidRPr="00E92037">
              <w:rPr>
                <w:rFonts w:cs="Arial"/>
                <w:iCs/>
                <w:color w:val="auto"/>
                <w:sz w:val="16"/>
                <w:szCs w:val="16"/>
                <w:lang w:val="cs-CZ" w:eastAsia="cs-CZ"/>
              </w:rPr>
              <w:t xml:space="preserve">Třída rizika / statistické číslo (dle </w:t>
            </w:r>
            <w:proofErr w:type="spellStart"/>
            <w:r w:rsidRPr="00E92037">
              <w:rPr>
                <w:rFonts w:cs="Arial"/>
                <w:iCs/>
                <w:color w:val="auto"/>
                <w:sz w:val="16"/>
                <w:szCs w:val="16"/>
                <w:lang w:val="cs-CZ" w:eastAsia="cs-CZ"/>
              </w:rPr>
              <w:t>ProBiT</w:t>
            </w:r>
            <w:proofErr w:type="spellEnd"/>
            <w:r w:rsidRPr="00E92037">
              <w:rPr>
                <w:rFonts w:cs="Arial"/>
                <w:iCs/>
                <w:color w:val="auto"/>
                <w:sz w:val="16"/>
                <w:szCs w:val="16"/>
                <w:lang w:val="cs-CZ" w:eastAsia="cs-CZ"/>
              </w:rPr>
              <w:t xml:space="preserve">):   </w:t>
            </w:r>
            <w:r w:rsidR="002740C1">
              <w:rPr>
                <w:rFonts w:cs="Arial"/>
                <w:iCs/>
                <w:color w:val="auto"/>
                <w:sz w:val="16"/>
                <w:szCs w:val="16"/>
                <w:lang w:val="cs-CZ" w:eastAsia="cs-CZ"/>
              </w:rPr>
              <w:t>3391 / 2</w:t>
            </w:r>
          </w:p>
          <w:p w:rsidR="00795A27" w:rsidRPr="00EA48DF" w:rsidRDefault="00795A27" w:rsidP="00EA48DF">
            <w:pPr>
              <w:widowControl/>
              <w:tabs>
                <w:tab w:val="center" w:pos="4536"/>
                <w:tab w:val="right" w:pos="9072"/>
              </w:tabs>
              <w:spacing w:before="0" w:after="0" w:line="240" w:lineRule="auto"/>
              <w:contextualSpacing w:val="0"/>
              <w:rPr>
                <w:rFonts w:cs="Arial"/>
                <w:color w:val="auto"/>
                <w:sz w:val="16"/>
                <w:szCs w:val="16"/>
                <w:lang w:val="cs-CZ" w:eastAsia="cs-CZ"/>
              </w:rPr>
            </w:pPr>
            <w:r w:rsidRPr="00104991">
              <w:rPr>
                <w:rFonts w:cs="Arial"/>
                <w:color w:val="auto"/>
                <w:sz w:val="16"/>
                <w:szCs w:val="16"/>
                <w:lang w:val="cs-CZ" w:eastAsia="cs-CZ"/>
              </w:rPr>
              <w:t>PML   ,-</w:t>
            </w:r>
            <w:proofErr w:type="gramStart"/>
            <w:r w:rsidRPr="00104991">
              <w:rPr>
                <w:rFonts w:cs="Arial"/>
                <w:color w:val="auto"/>
                <w:sz w:val="16"/>
                <w:szCs w:val="16"/>
                <w:lang w:val="cs-CZ" w:eastAsia="cs-CZ"/>
              </w:rPr>
              <w:t>Kč</w:t>
            </w:r>
            <w:r w:rsidRPr="00E92037">
              <w:rPr>
                <w:rFonts w:cs="Arial"/>
                <w:color w:val="auto"/>
                <w:sz w:val="16"/>
                <w:szCs w:val="16"/>
                <w:lang w:val="cs-CZ" w:eastAsia="cs-CZ"/>
              </w:rPr>
              <w:t xml:space="preserve"> , PNG</w:t>
            </w:r>
            <w:proofErr w:type="gramEnd"/>
            <w:r w:rsidRPr="00E92037">
              <w:rPr>
                <w:rFonts w:cs="Arial"/>
                <w:color w:val="auto"/>
                <w:sz w:val="16"/>
                <w:szCs w:val="16"/>
                <w:lang w:val="cs-CZ" w:eastAsia="cs-CZ"/>
              </w:rPr>
              <w:t xml:space="preserve">  (záplava/povodeň</w:t>
            </w:r>
            <w:r w:rsidR="002740C1">
              <w:rPr>
                <w:rFonts w:cs="Arial"/>
                <w:color w:val="auto"/>
                <w:sz w:val="16"/>
                <w:szCs w:val="16"/>
                <w:lang w:val="cs-CZ" w:eastAsia="cs-CZ"/>
              </w:rPr>
              <w:t>)</w:t>
            </w:r>
            <w:r w:rsidRPr="00E92037">
              <w:rPr>
                <w:rFonts w:cs="Arial"/>
                <w:color w:val="auto"/>
                <w:sz w:val="16"/>
                <w:szCs w:val="16"/>
                <w:lang w:val="cs-CZ" w:eastAsia="cs-CZ"/>
              </w:rPr>
              <w:t xml:space="preserve">  </w:t>
            </w:r>
            <w:r w:rsidR="00EA48DF">
              <w:rPr>
                <w:rFonts w:cs="Arial"/>
                <w:color w:val="auto"/>
                <w:sz w:val="16"/>
                <w:szCs w:val="16"/>
                <w:lang w:val="cs-CZ" w:eastAsia="cs-CZ"/>
              </w:rPr>
              <w:t>5</w:t>
            </w:r>
            <w:r w:rsidR="00EE0FB5">
              <w:rPr>
                <w:rFonts w:cs="Arial"/>
                <w:color w:val="auto"/>
                <w:sz w:val="16"/>
                <w:szCs w:val="16"/>
                <w:lang w:val="cs-CZ" w:eastAsia="cs-CZ"/>
              </w:rPr>
              <w:t>0 000 000</w:t>
            </w:r>
            <w:r w:rsidRPr="00EE0FB5">
              <w:rPr>
                <w:rFonts w:cs="Arial"/>
                <w:color w:val="auto"/>
                <w:sz w:val="16"/>
                <w:szCs w:val="16"/>
                <w:lang w:val="cs-CZ" w:eastAsia="cs-CZ"/>
              </w:rPr>
              <w:t>,-</w:t>
            </w:r>
            <w:r w:rsidR="00E94CB9">
              <w:rPr>
                <w:rFonts w:cs="Arial"/>
                <w:color w:val="auto"/>
                <w:sz w:val="16"/>
                <w:szCs w:val="16"/>
                <w:lang w:val="cs-CZ" w:eastAsia="cs-CZ"/>
              </w:rPr>
              <w:t xml:space="preserve"> </w:t>
            </w:r>
            <w:r w:rsidRPr="00EE0FB5">
              <w:rPr>
                <w:rFonts w:cs="Arial"/>
                <w:color w:val="auto"/>
                <w:sz w:val="16"/>
                <w:szCs w:val="16"/>
                <w:lang w:val="cs-CZ" w:eastAsia="cs-CZ"/>
              </w:rPr>
              <w:t>Kč</w:t>
            </w:r>
          </w:p>
        </w:tc>
      </w:tr>
    </w:tbl>
    <w:p w:rsidR="00795A27" w:rsidRPr="002740C1" w:rsidRDefault="00795A27" w:rsidP="00795A27">
      <w:pPr>
        <w:widowControl/>
        <w:tabs>
          <w:tab w:val="right" w:pos="6237"/>
        </w:tabs>
        <w:spacing w:before="0" w:after="0" w:line="240" w:lineRule="auto"/>
        <w:contextualSpacing w:val="0"/>
        <w:rPr>
          <w:color w:val="auto"/>
          <w:sz w:val="16"/>
          <w:szCs w:val="16"/>
          <w:lang w:val="cs-CZ" w:eastAsia="cs-CZ"/>
        </w:rPr>
      </w:pPr>
      <w:r w:rsidRPr="002740C1">
        <w:rPr>
          <w:color w:val="auto"/>
          <w:sz w:val="16"/>
          <w:szCs w:val="16"/>
          <w:lang w:val="cs-CZ" w:eastAsia="cs-CZ"/>
        </w:rPr>
        <w:t xml:space="preserve">SIC kód / rizikový stupeň (HG):    </w:t>
      </w:r>
      <w:r w:rsidR="002740C1" w:rsidRPr="002740C1">
        <w:rPr>
          <w:color w:val="auto"/>
          <w:sz w:val="16"/>
          <w:szCs w:val="16"/>
          <w:lang w:val="cs-CZ" w:eastAsia="cs-CZ"/>
        </w:rPr>
        <w:t>8731</w:t>
      </w:r>
      <w:r w:rsidRPr="002740C1">
        <w:rPr>
          <w:color w:val="auto"/>
          <w:sz w:val="16"/>
          <w:szCs w:val="16"/>
          <w:lang w:val="cs-CZ" w:eastAsia="cs-CZ"/>
        </w:rPr>
        <w:t xml:space="preserve"> / </w:t>
      </w:r>
      <w:r w:rsidR="002740C1" w:rsidRPr="002740C1">
        <w:rPr>
          <w:color w:val="auto"/>
          <w:sz w:val="16"/>
          <w:szCs w:val="16"/>
          <w:lang w:val="cs-CZ" w:eastAsia="cs-CZ"/>
        </w:rPr>
        <w:t>2</w:t>
      </w:r>
      <w:r w:rsidR="00016E47">
        <w:rPr>
          <w:color w:val="auto"/>
          <w:sz w:val="16"/>
          <w:szCs w:val="16"/>
          <w:lang w:val="cs-CZ" w:eastAsia="cs-CZ"/>
        </w:rPr>
        <w:t>, 31 701 (</w:t>
      </w:r>
      <w:proofErr w:type="spellStart"/>
      <w:r w:rsidR="00016E47">
        <w:rPr>
          <w:color w:val="auto"/>
          <w:sz w:val="16"/>
          <w:szCs w:val="16"/>
          <w:lang w:val="cs-CZ" w:eastAsia="cs-CZ"/>
        </w:rPr>
        <w:t>odp</w:t>
      </w:r>
      <w:proofErr w:type="spellEnd"/>
      <w:r w:rsidR="00016E47">
        <w:rPr>
          <w:color w:val="auto"/>
          <w:sz w:val="16"/>
          <w:szCs w:val="16"/>
          <w:lang w:val="cs-CZ" w:eastAsia="cs-CZ"/>
        </w:rPr>
        <w:t>)</w:t>
      </w:r>
    </w:p>
    <w:p w:rsidR="00336366" w:rsidRPr="00EA48DF" w:rsidRDefault="00336366" w:rsidP="00795A27">
      <w:pPr>
        <w:rPr>
          <w:sz w:val="2"/>
          <w:szCs w:val="2"/>
        </w:rPr>
      </w:pPr>
    </w:p>
    <w:sectPr w:rsidR="00336366" w:rsidRPr="00EA48DF" w:rsidSect="007069CC">
      <w:headerReference w:type="default" r:id="rId8"/>
      <w:footerReference w:type="default" r:id="rId9"/>
      <w:headerReference w:type="first" r:id="rId10"/>
      <w:footerReference w:type="first" r:id="rId11"/>
      <w:pgSz w:w="11909" w:h="16834" w:code="9"/>
      <w:pgMar w:top="2268" w:right="851" w:bottom="1418" w:left="851" w:header="0" w:footer="249"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E8" w:rsidRDefault="008731E8">
      <w:r>
        <w:separator/>
      </w:r>
    </w:p>
  </w:endnote>
  <w:endnote w:type="continuationSeparator" w:id="0">
    <w:p w:rsidR="008731E8" w:rsidRDefault="0087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nerali">
    <w:altName w:val="Generali"/>
    <w:panose1 w:val="00000000000000000000"/>
    <w:charset w:val="00"/>
    <w:family w:val="roman"/>
    <w:notTrueType/>
    <w:pitch w:val="default"/>
    <w:sig w:usb0="00000007" w:usb1="08070000" w:usb2="00000010" w:usb3="00000000" w:csb0="00020003" w:csb1="00000000"/>
  </w:font>
  <w:font w:name="Arial_CE">
    <w:altName w:val="Arial"/>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EE" w:rsidRDefault="007358E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EE" w:rsidRDefault="007358E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E8" w:rsidRDefault="008731E8">
      <w:r>
        <w:separator/>
      </w:r>
    </w:p>
  </w:footnote>
  <w:footnote w:type="continuationSeparator" w:id="0">
    <w:p w:rsidR="008731E8" w:rsidRDefault="008731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62" w:rsidRDefault="00BA4862" w:rsidP="00336366">
    <w:pPr>
      <w:pStyle w:val="Zhlav"/>
      <w:spacing w:before="220" w:after="220" w:line="240" w:lineRule="exact"/>
      <w:rPr>
        <w:sz w:val="22"/>
      </w:rPr>
    </w:pPr>
  </w:p>
  <w:p w:rsidR="00BA4862" w:rsidRPr="00336366" w:rsidRDefault="00BA4862" w:rsidP="00336366">
    <w:pPr>
      <w:pStyle w:val="Zhlav"/>
      <w:spacing w:before="220" w:after="220" w:line="220" w:lineRule="exact"/>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62" w:rsidRDefault="005D05BE">
    <w:pPr>
      <w:pStyle w:val="Zhlav"/>
    </w:pPr>
    <w:r>
      <w:rPr>
        <w:noProof/>
      </w:rPr>
      <w:drawing>
        <wp:anchor distT="0" distB="0" distL="114300" distR="114300" simplePos="0" relativeHeight="251659264" behindDoc="1" locked="0" layoutInCell="1" allowOverlap="1" wp14:anchorId="5DAD2E0D" wp14:editId="57CC84F5">
          <wp:simplePos x="0" y="0"/>
          <wp:positionH relativeFrom="page">
            <wp:posOffset>540385</wp:posOffset>
          </wp:positionH>
          <wp:positionV relativeFrom="page">
            <wp:posOffset>0</wp:posOffset>
          </wp:positionV>
          <wp:extent cx="8649335" cy="11620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b="90495"/>
                  <a:stretch>
                    <a:fillRect/>
                  </a:stretch>
                </pic:blipFill>
                <pic:spPr bwMode="auto">
                  <a:xfrm>
                    <a:off x="0" y="0"/>
                    <a:ext cx="864933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CA992"/>
    <w:lvl w:ilvl="0">
      <w:start w:val="1"/>
      <w:numFmt w:val="bullet"/>
      <w:pStyle w:val="Styl87"/>
      <w:lvlText w:val=""/>
      <w:lvlJc w:val="left"/>
      <w:pPr>
        <w:tabs>
          <w:tab w:val="num" w:pos="360"/>
        </w:tabs>
        <w:ind w:left="360" w:hanging="360"/>
      </w:pPr>
      <w:rPr>
        <w:rFonts w:ascii="Symbol" w:hAnsi="Symbol" w:hint="default"/>
      </w:rPr>
    </w:lvl>
  </w:abstractNum>
  <w:abstractNum w:abstractNumId="1" w15:restartNumberingAfterBreak="0">
    <w:nsid w:val="2C0B588E"/>
    <w:multiLevelType w:val="hybridMultilevel"/>
    <w:tmpl w:val="F47016D6"/>
    <w:lvl w:ilvl="0" w:tplc="04050001">
      <w:start w:val="25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A03AFD"/>
    <w:multiLevelType w:val="hybridMultilevel"/>
    <w:tmpl w:val="1DF21286"/>
    <w:lvl w:ilvl="0" w:tplc="11684762">
      <w:start w:val="1"/>
      <w:numFmt w:val="lowerLetter"/>
      <w:lvlText w:val="%1)"/>
      <w:lvlJc w:val="left"/>
      <w:pPr>
        <w:ind w:left="502" w:hanging="360"/>
      </w:pPr>
      <w:rPr>
        <w:rFonts w:ascii="Arial" w:hAnsi="Arial" w:cs="Arial"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2F15690B"/>
    <w:multiLevelType w:val="multilevel"/>
    <w:tmpl w:val="F34E9A14"/>
    <w:lvl w:ilvl="0">
      <w:start w:val="7"/>
      <w:numFmt w:val="decimal"/>
      <w:lvlText w:val="%1"/>
      <w:lvlJc w:val="left"/>
      <w:pPr>
        <w:tabs>
          <w:tab w:val="num" w:pos="1080"/>
        </w:tabs>
        <w:ind w:left="1080" w:hanging="720"/>
      </w:pPr>
      <w:rPr>
        <w:rFonts w:hint="default"/>
        <w:i w:val="0"/>
        <w:sz w:val="20"/>
        <w:szCs w:val="20"/>
      </w:rPr>
    </w:lvl>
    <w:lvl w:ilvl="1">
      <w:start w:val="1"/>
      <w:numFmt w:val="decimal"/>
      <w:isLgl/>
      <w:lvlText w:val="%1.%2."/>
      <w:lvlJc w:val="left"/>
      <w:pPr>
        <w:ind w:left="644" w:hanging="360"/>
      </w:pPr>
      <w:rPr>
        <w:rFonts w:ascii="Arial" w:hAnsi="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E06230"/>
    <w:multiLevelType w:val="hybridMultilevel"/>
    <w:tmpl w:val="24C28A42"/>
    <w:lvl w:ilvl="0" w:tplc="F440DA7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8E7879"/>
    <w:multiLevelType w:val="multilevel"/>
    <w:tmpl w:val="3B104426"/>
    <w:lvl w:ilvl="0">
      <w:start w:val="1"/>
      <w:numFmt w:val="decimal"/>
      <w:lvlText w:val="%1."/>
      <w:lvlJc w:val="left"/>
      <w:pPr>
        <w:tabs>
          <w:tab w:val="num" w:pos="1080"/>
        </w:tabs>
        <w:ind w:left="1080" w:hanging="720"/>
      </w:pPr>
      <w:rPr>
        <w:rFonts w:ascii="Arial" w:eastAsia="Times New Roman" w:hAnsi="Arial" w:cs="Arial"/>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7" w15:restartNumberingAfterBreak="0">
    <w:nsid w:val="409E4048"/>
    <w:multiLevelType w:val="hybridMultilevel"/>
    <w:tmpl w:val="D9D673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2CE66D4"/>
    <w:multiLevelType w:val="multilevel"/>
    <w:tmpl w:val="3B104426"/>
    <w:lvl w:ilvl="0">
      <w:start w:val="1"/>
      <w:numFmt w:val="decimal"/>
      <w:lvlText w:val="%1."/>
      <w:lvlJc w:val="left"/>
      <w:pPr>
        <w:tabs>
          <w:tab w:val="num" w:pos="1080"/>
        </w:tabs>
        <w:ind w:left="1080" w:hanging="720"/>
      </w:pPr>
      <w:rPr>
        <w:rFonts w:ascii="Arial" w:eastAsia="Times New Roman" w:hAnsi="Arial" w:cs="Arial"/>
        <w:i w:val="0"/>
      </w:rPr>
    </w:lvl>
    <w:lvl w:ilvl="1">
      <w:start w:val="1"/>
      <w:numFmt w:val="decimal"/>
      <w:isLgl/>
      <w:lvlText w:val="%1.%2."/>
      <w:lvlJc w:val="left"/>
      <w:pPr>
        <w:ind w:left="644" w:hanging="360"/>
      </w:pPr>
      <w:rPr>
        <w:rFonts w:ascii="Arial" w:hAnsi="Arial" w:hint="default"/>
        <w:b w:val="0"/>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5C2CC2"/>
    <w:multiLevelType w:val="hybridMultilevel"/>
    <w:tmpl w:val="31722C8A"/>
    <w:lvl w:ilvl="0" w:tplc="1C58D7D8">
      <w:start w:val="1"/>
      <w:numFmt w:val="lowerLetter"/>
      <w:pStyle w:val="Styl4"/>
      <w:lvlText w:val="%1)"/>
      <w:lvlJc w:val="left"/>
      <w:pPr>
        <w:ind w:left="1070" w:hanging="360"/>
      </w:pPr>
      <w:rPr>
        <w:rFonts w:hint="default"/>
        <w:b w:val="0"/>
      </w:rPr>
    </w:lvl>
    <w:lvl w:ilvl="1" w:tplc="04050019">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0" w15:restartNumberingAfterBreak="0">
    <w:nsid w:val="67405EE5"/>
    <w:multiLevelType w:val="hybridMultilevel"/>
    <w:tmpl w:val="009E2706"/>
    <w:lvl w:ilvl="0" w:tplc="54DCE7B4">
      <w:start w:val="1"/>
      <w:numFmt w:val="lowerLetter"/>
      <w:lvlText w:val="%1)"/>
      <w:lvlJc w:val="left"/>
      <w:pPr>
        <w:ind w:left="1495" w:hanging="360"/>
      </w:pPr>
      <w:rPr>
        <w:rFonts w:ascii="Arial" w:eastAsia="Calibri" w:hAnsi="Arial" w:cs="Arial"/>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15:restartNumberingAfterBreak="0">
    <w:nsid w:val="7972582C"/>
    <w:multiLevelType w:val="hybridMultilevel"/>
    <w:tmpl w:val="D3004914"/>
    <w:lvl w:ilvl="0" w:tplc="1034126A">
      <w:start w:val="1"/>
      <w:numFmt w:val="bullet"/>
      <w:pStyle w:val="testobullet"/>
      <w:lvlText w:val="●"/>
      <w:lvlJc w:val="left"/>
      <w:pPr>
        <w:ind w:left="720" w:hanging="360"/>
      </w:pPr>
      <w:rPr>
        <w:rFonts w:ascii="Arial" w:hAnsi="Arial" w:hint="default"/>
        <w:color w:val="BD202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894AFA"/>
    <w:multiLevelType w:val="hybridMultilevel"/>
    <w:tmpl w:val="E0B41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0"/>
  </w:num>
  <w:num w:numId="5">
    <w:abstractNumId w:val="0"/>
  </w:num>
  <w:num w:numId="6">
    <w:abstractNumId w:val="12"/>
  </w:num>
  <w:num w:numId="7">
    <w:abstractNumId w:val="3"/>
  </w:num>
  <w:num w:numId="8">
    <w:abstractNumId w:val="9"/>
  </w:num>
  <w:num w:numId="9">
    <w:abstractNumId w:val="4"/>
  </w:num>
  <w:num w:numId="10">
    <w:abstractNumId w:val="7"/>
  </w:num>
  <w:num w:numId="11">
    <w:abstractNumId w:val="2"/>
  </w:num>
  <w:num w:numId="12">
    <w:abstractNumId w:val="1"/>
  </w:num>
  <w:num w:numId="13">
    <w:abstractNumId w:val="0"/>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CC"/>
    <w:rsid w:val="00011DA1"/>
    <w:rsid w:val="00016E47"/>
    <w:rsid w:val="00017FB4"/>
    <w:rsid w:val="00040E5D"/>
    <w:rsid w:val="000E142F"/>
    <w:rsid w:val="000E4913"/>
    <w:rsid w:val="000F1D89"/>
    <w:rsid w:val="00104991"/>
    <w:rsid w:val="00120655"/>
    <w:rsid w:val="00143A87"/>
    <w:rsid w:val="00157738"/>
    <w:rsid w:val="0016284C"/>
    <w:rsid w:val="00177F5F"/>
    <w:rsid w:val="0018428C"/>
    <w:rsid w:val="00190E73"/>
    <w:rsid w:val="001C312F"/>
    <w:rsid w:val="001C46C7"/>
    <w:rsid w:val="001D0566"/>
    <w:rsid w:val="001E4E3F"/>
    <w:rsid w:val="001F0CAA"/>
    <w:rsid w:val="001F1EE3"/>
    <w:rsid w:val="00214BC3"/>
    <w:rsid w:val="0024037E"/>
    <w:rsid w:val="00255BF8"/>
    <w:rsid w:val="002740C1"/>
    <w:rsid w:val="00275D5D"/>
    <w:rsid w:val="00280013"/>
    <w:rsid w:val="002B3526"/>
    <w:rsid w:val="002C0EA5"/>
    <w:rsid w:val="002C4B51"/>
    <w:rsid w:val="002D63D9"/>
    <w:rsid w:val="002E6555"/>
    <w:rsid w:val="002F2A16"/>
    <w:rsid w:val="002F50B1"/>
    <w:rsid w:val="003076AC"/>
    <w:rsid w:val="00310D23"/>
    <w:rsid w:val="00323662"/>
    <w:rsid w:val="00336366"/>
    <w:rsid w:val="00336D8C"/>
    <w:rsid w:val="003408D5"/>
    <w:rsid w:val="003540D8"/>
    <w:rsid w:val="003901F5"/>
    <w:rsid w:val="0039797E"/>
    <w:rsid w:val="003D7A14"/>
    <w:rsid w:val="003E52C6"/>
    <w:rsid w:val="003F153C"/>
    <w:rsid w:val="003F72C8"/>
    <w:rsid w:val="00402544"/>
    <w:rsid w:val="00403DE2"/>
    <w:rsid w:val="0042612B"/>
    <w:rsid w:val="00450CDE"/>
    <w:rsid w:val="00475F48"/>
    <w:rsid w:val="00490C1C"/>
    <w:rsid w:val="004A341B"/>
    <w:rsid w:val="004B3ACC"/>
    <w:rsid w:val="004E5DF5"/>
    <w:rsid w:val="004F3571"/>
    <w:rsid w:val="005110D0"/>
    <w:rsid w:val="00525C72"/>
    <w:rsid w:val="00566428"/>
    <w:rsid w:val="00582920"/>
    <w:rsid w:val="005B5C2E"/>
    <w:rsid w:val="005D05BE"/>
    <w:rsid w:val="005D2222"/>
    <w:rsid w:val="005D7B67"/>
    <w:rsid w:val="005E7302"/>
    <w:rsid w:val="005F05BD"/>
    <w:rsid w:val="005F4104"/>
    <w:rsid w:val="00632833"/>
    <w:rsid w:val="00636BFA"/>
    <w:rsid w:val="00644F93"/>
    <w:rsid w:val="00650F99"/>
    <w:rsid w:val="00654BE1"/>
    <w:rsid w:val="00666C35"/>
    <w:rsid w:val="006952BD"/>
    <w:rsid w:val="006A74AD"/>
    <w:rsid w:val="006C5C86"/>
    <w:rsid w:val="006D526E"/>
    <w:rsid w:val="006E2C5C"/>
    <w:rsid w:val="007069CC"/>
    <w:rsid w:val="00706A84"/>
    <w:rsid w:val="0073422C"/>
    <w:rsid w:val="007358EE"/>
    <w:rsid w:val="007455CC"/>
    <w:rsid w:val="00761FB8"/>
    <w:rsid w:val="00774E78"/>
    <w:rsid w:val="00787AA7"/>
    <w:rsid w:val="00795A27"/>
    <w:rsid w:val="00824492"/>
    <w:rsid w:val="00833694"/>
    <w:rsid w:val="0085250D"/>
    <w:rsid w:val="0086563A"/>
    <w:rsid w:val="00865B01"/>
    <w:rsid w:val="008731E8"/>
    <w:rsid w:val="008B3895"/>
    <w:rsid w:val="008C5355"/>
    <w:rsid w:val="008C6BC9"/>
    <w:rsid w:val="008E55D8"/>
    <w:rsid w:val="008E73D1"/>
    <w:rsid w:val="008F2C84"/>
    <w:rsid w:val="00927A24"/>
    <w:rsid w:val="00966310"/>
    <w:rsid w:val="00972C9A"/>
    <w:rsid w:val="00976FE0"/>
    <w:rsid w:val="009775F1"/>
    <w:rsid w:val="009A1528"/>
    <w:rsid w:val="009A7BD8"/>
    <w:rsid w:val="009C30B9"/>
    <w:rsid w:val="009D127E"/>
    <w:rsid w:val="00A018A9"/>
    <w:rsid w:val="00A03553"/>
    <w:rsid w:val="00A145D5"/>
    <w:rsid w:val="00A24280"/>
    <w:rsid w:val="00A61217"/>
    <w:rsid w:val="00A6360B"/>
    <w:rsid w:val="00A8362D"/>
    <w:rsid w:val="00AA03E7"/>
    <w:rsid w:val="00AA1068"/>
    <w:rsid w:val="00AA19E5"/>
    <w:rsid w:val="00AC21C1"/>
    <w:rsid w:val="00AF416E"/>
    <w:rsid w:val="00B06989"/>
    <w:rsid w:val="00B07A5D"/>
    <w:rsid w:val="00B134ED"/>
    <w:rsid w:val="00B20DA0"/>
    <w:rsid w:val="00B51ED6"/>
    <w:rsid w:val="00B84D9C"/>
    <w:rsid w:val="00B85FDB"/>
    <w:rsid w:val="00B96A37"/>
    <w:rsid w:val="00BA4862"/>
    <w:rsid w:val="00BB24CB"/>
    <w:rsid w:val="00BD4C06"/>
    <w:rsid w:val="00BE4D07"/>
    <w:rsid w:val="00C23C21"/>
    <w:rsid w:val="00C31276"/>
    <w:rsid w:val="00C3375C"/>
    <w:rsid w:val="00C4117A"/>
    <w:rsid w:val="00C5491B"/>
    <w:rsid w:val="00C54EF9"/>
    <w:rsid w:val="00C605DB"/>
    <w:rsid w:val="00C73EC1"/>
    <w:rsid w:val="00C90279"/>
    <w:rsid w:val="00C9376C"/>
    <w:rsid w:val="00CB0A1B"/>
    <w:rsid w:val="00CC51AC"/>
    <w:rsid w:val="00CC7D35"/>
    <w:rsid w:val="00CE09FE"/>
    <w:rsid w:val="00CF5135"/>
    <w:rsid w:val="00D04952"/>
    <w:rsid w:val="00D20891"/>
    <w:rsid w:val="00D421CB"/>
    <w:rsid w:val="00D42EB9"/>
    <w:rsid w:val="00D51EF1"/>
    <w:rsid w:val="00D81270"/>
    <w:rsid w:val="00D818B7"/>
    <w:rsid w:val="00D95879"/>
    <w:rsid w:val="00DB5D88"/>
    <w:rsid w:val="00DC0021"/>
    <w:rsid w:val="00DD4CB0"/>
    <w:rsid w:val="00DF37C5"/>
    <w:rsid w:val="00E07E39"/>
    <w:rsid w:val="00E257C2"/>
    <w:rsid w:val="00E37C12"/>
    <w:rsid w:val="00E50CFE"/>
    <w:rsid w:val="00E73634"/>
    <w:rsid w:val="00E936E7"/>
    <w:rsid w:val="00E94CB9"/>
    <w:rsid w:val="00EA48DF"/>
    <w:rsid w:val="00EE0FB5"/>
    <w:rsid w:val="00EF5EBF"/>
    <w:rsid w:val="00F33A2A"/>
    <w:rsid w:val="00F57B57"/>
    <w:rsid w:val="00F67F2E"/>
    <w:rsid w:val="00F813A2"/>
    <w:rsid w:val="00FE4C73"/>
    <w:rsid w:val="00FE63EE"/>
    <w:rsid w:val="00FF2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2E022"/>
  <w15:docId w15:val="{A6505B97-8780-4A08-AE08-D7216129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021"/>
    <w:pPr>
      <w:widowControl w:val="0"/>
      <w:spacing w:before="220" w:after="220" w:line="220" w:lineRule="exact"/>
      <w:contextualSpacing/>
    </w:pPr>
    <w:rPr>
      <w:rFonts w:ascii="Arial" w:hAnsi="Arial"/>
      <w:color w:val="000000" w:themeColor="text1"/>
      <w:sz w:val="18"/>
      <w:szCs w:val="24"/>
      <w:lang w:val="it-IT" w:eastAsia="it-IT"/>
    </w:rPr>
  </w:style>
  <w:style w:type="paragraph" w:styleId="Nadpis1">
    <w:name w:val="heading 1"/>
    <w:basedOn w:val="Normln"/>
    <w:next w:val="Normln"/>
    <w:link w:val="Nadpis1Char"/>
    <w:qFormat/>
    <w:rsid w:val="00F33A2A"/>
    <w:pPr>
      <w:keepNext/>
      <w:pageBreakBefore/>
      <w:widowControl/>
      <w:spacing w:before="0" w:after="240" w:line="240" w:lineRule="auto"/>
      <w:contextualSpacing w:val="0"/>
      <w:outlineLvl w:val="0"/>
    </w:pPr>
    <w:rPr>
      <w:b/>
      <w:smallCaps/>
      <w:color w:val="auto"/>
      <w:kern w:val="28"/>
      <w:sz w:val="28"/>
      <w:szCs w:val="20"/>
      <w:lang w:val="cs-CZ" w:eastAsia="cs-CZ"/>
    </w:rPr>
  </w:style>
  <w:style w:type="paragraph" w:styleId="Nadpis2">
    <w:name w:val="heading 2"/>
    <w:basedOn w:val="Normln"/>
    <w:next w:val="Normln"/>
    <w:link w:val="Nadpis2Char"/>
    <w:qFormat/>
    <w:rsid w:val="00F33A2A"/>
    <w:pPr>
      <w:keepNext/>
      <w:widowControl/>
      <w:spacing w:before="120" w:after="120" w:line="240" w:lineRule="auto"/>
      <w:contextualSpacing w:val="0"/>
      <w:outlineLvl w:val="1"/>
    </w:pPr>
    <w:rPr>
      <w:b/>
      <w:i/>
      <w:color w:val="auto"/>
      <w:sz w:val="28"/>
      <w:szCs w:val="20"/>
      <w:lang w:val="cs-CZ" w:eastAsia="cs-CZ"/>
    </w:rPr>
  </w:style>
  <w:style w:type="paragraph" w:styleId="Nadpis3">
    <w:name w:val="heading 3"/>
    <w:basedOn w:val="Normln"/>
    <w:next w:val="Normln"/>
    <w:link w:val="Nadpis3Char"/>
    <w:qFormat/>
    <w:rsid w:val="00F33A2A"/>
    <w:pPr>
      <w:keepNext/>
      <w:widowControl/>
      <w:spacing w:before="120" w:after="120" w:line="240" w:lineRule="auto"/>
      <w:contextualSpacing w:val="0"/>
      <w:outlineLvl w:val="2"/>
    </w:pPr>
    <w:rPr>
      <w:b/>
      <w:color w:val="auto"/>
      <w:sz w:val="24"/>
      <w:szCs w:val="20"/>
      <w:lang w:val="cs-CZ" w:eastAsia="cs-CZ"/>
    </w:rPr>
  </w:style>
  <w:style w:type="paragraph" w:styleId="Nadpis4">
    <w:name w:val="heading 4"/>
    <w:basedOn w:val="Normln"/>
    <w:next w:val="Normln"/>
    <w:link w:val="Nadpis4Char"/>
    <w:qFormat/>
    <w:rsid w:val="00F33A2A"/>
    <w:pPr>
      <w:keepNext/>
      <w:widowControl/>
      <w:spacing w:before="60" w:after="60" w:line="240" w:lineRule="auto"/>
      <w:contextualSpacing w:val="0"/>
      <w:outlineLvl w:val="3"/>
    </w:pPr>
    <w:rPr>
      <w:i/>
      <w:color w:val="auto"/>
      <w:sz w:val="24"/>
      <w:szCs w:val="20"/>
      <w:lang w:val="cs-CZ" w:eastAsia="cs-CZ"/>
    </w:rPr>
  </w:style>
  <w:style w:type="paragraph" w:styleId="Nadpis5">
    <w:name w:val="heading 5"/>
    <w:basedOn w:val="Normln"/>
    <w:next w:val="Normln"/>
    <w:link w:val="Nadpis5Char"/>
    <w:qFormat/>
    <w:rsid w:val="00795A27"/>
    <w:pPr>
      <w:keepNext/>
      <w:widowControl/>
      <w:tabs>
        <w:tab w:val="left" w:pos="567"/>
        <w:tab w:val="right" w:pos="9072"/>
      </w:tabs>
      <w:spacing w:before="0" w:after="0" w:line="240" w:lineRule="auto"/>
      <w:contextualSpacing w:val="0"/>
      <w:outlineLvl w:val="4"/>
    </w:pPr>
    <w:rPr>
      <w:b/>
      <w:bCs/>
      <w:color w:val="auto"/>
      <w:sz w:val="22"/>
      <w:szCs w:val="20"/>
      <w:lang w:val="cs-CZ" w:eastAsia="cs-CZ"/>
    </w:rPr>
  </w:style>
  <w:style w:type="paragraph" w:styleId="Nadpis6">
    <w:name w:val="heading 6"/>
    <w:basedOn w:val="Normln"/>
    <w:next w:val="Normln"/>
    <w:link w:val="Nadpis6Char"/>
    <w:qFormat/>
    <w:rsid w:val="00795A27"/>
    <w:pPr>
      <w:keepNext/>
      <w:widowControl/>
      <w:spacing w:before="120" w:after="0" w:line="240" w:lineRule="auto"/>
      <w:contextualSpacing w:val="0"/>
      <w:jc w:val="both"/>
      <w:outlineLvl w:val="5"/>
    </w:pPr>
    <w:rPr>
      <w:rFonts w:cs="Arial"/>
      <w:b/>
      <w:color w:val="FF0000"/>
      <w:sz w:val="20"/>
      <w:szCs w:val="20"/>
      <w:lang w:val="cs-CZ" w:eastAsia="cs-CZ"/>
    </w:rPr>
  </w:style>
  <w:style w:type="paragraph" w:styleId="Nadpis7">
    <w:name w:val="heading 7"/>
    <w:basedOn w:val="Normln"/>
    <w:next w:val="Normln"/>
    <w:link w:val="Nadpis7Char"/>
    <w:qFormat/>
    <w:rsid w:val="00795A27"/>
    <w:pPr>
      <w:keepNext/>
      <w:widowControl/>
      <w:tabs>
        <w:tab w:val="left" w:pos="4536"/>
        <w:tab w:val="right" w:pos="9072"/>
      </w:tabs>
      <w:spacing w:before="0" w:after="0" w:line="240" w:lineRule="auto"/>
      <w:contextualSpacing w:val="0"/>
      <w:outlineLvl w:val="6"/>
    </w:pPr>
    <w:rPr>
      <w:rFonts w:ascii="Times New Roman" w:hAnsi="Times New Roman"/>
      <w:color w:val="auto"/>
      <w:sz w:val="24"/>
      <w:szCs w:val="20"/>
      <w:u w:val="single"/>
      <w:lang w:val="cs-CZ" w:eastAsia="cs-CZ"/>
    </w:rPr>
  </w:style>
  <w:style w:type="paragraph" w:styleId="Nadpis8">
    <w:name w:val="heading 8"/>
    <w:basedOn w:val="Normln"/>
    <w:next w:val="Normln"/>
    <w:link w:val="Nadpis8Char"/>
    <w:qFormat/>
    <w:rsid w:val="00795A27"/>
    <w:pPr>
      <w:keepNext/>
      <w:widowControl/>
      <w:pBdr>
        <w:top w:val="single" w:sz="4" w:space="1" w:color="auto"/>
      </w:pBdr>
      <w:tabs>
        <w:tab w:val="left" w:pos="2268"/>
        <w:tab w:val="right" w:pos="9072"/>
      </w:tabs>
      <w:spacing w:before="120" w:after="0" w:line="240" w:lineRule="auto"/>
      <w:contextualSpacing w:val="0"/>
      <w:outlineLvl w:val="7"/>
    </w:pPr>
    <w:rPr>
      <w:rFonts w:ascii="Times New Roman" w:hAnsi="Times New Roman"/>
      <w:b/>
      <w:color w:val="auto"/>
      <w:sz w:val="28"/>
      <w:szCs w:val="20"/>
      <w:lang w:val="cs-CZ" w:eastAsia="cs-CZ"/>
    </w:rPr>
  </w:style>
  <w:style w:type="paragraph" w:styleId="Nadpis9">
    <w:name w:val="heading 9"/>
    <w:basedOn w:val="Normln"/>
    <w:next w:val="Normln"/>
    <w:link w:val="Nadpis9Char"/>
    <w:qFormat/>
    <w:rsid w:val="00795A27"/>
    <w:pPr>
      <w:keepNext/>
      <w:widowControl/>
      <w:spacing w:before="0" w:after="0" w:line="240" w:lineRule="auto"/>
      <w:contextualSpacing w:val="0"/>
      <w:jc w:val="center"/>
      <w:outlineLvl w:val="8"/>
    </w:pPr>
    <w:rPr>
      <w:rFonts w:ascii="Courier New" w:hAnsi="Courier New"/>
      <w:b/>
      <w:caps/>
      <w:color w:val="auto"/>
      <w:sz w:val="4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33A2A"/>
    <w:pPr>
      <w:widowControl/>
      <w:tabs>
        <w:tab w:val="center" w:pos="4153"/>
        <w:tab w:val="right" w:pos="8306"/>
      </w:tabs>
      <w:spacing w:before="0" w:after="0" w:line="240" w:lineRule="auto"/>
      <w:contextualSpacing w:val="0"/>
    </w:pPr>
    <w:rPr>
      <w:color w:val="auto"/>
      <w:sz w:val="16"/>
      <w:szCs w:val="20"/>
      <w:lang w:val="cs-CZ" w:eastAsia="cs-CZ"/>
    </w:rPr>
  </w:style>
  <w:style w:type="paragraph" w:styleId="Zpat">
    <w:name w:val="footer"/>
    <w:basedOn w:val="Normln"/>
    <w:link w:val="ZpatChar"/>
    <w:uiPriority w:val="99"/>
    <w:qFormat/>
    <w:rsid w:val="00F33A2A"/>
    <w:pPr>
      <w:widowControl/>
      <w:tabs>
        <w:tab w:val="center" w:pos="4153"/>
        <w:tab w:val="right" w:pos="8306"/>
      </w:tabs>
      <w:spacing w:before="0" w:after="0" w:line="240" w:lineRule="auto"/>
      <w:contextualSpacing w:val="0"/>
    </w:pPr>
    <w:rPr>
      <w:color w:val="auto"/>
      <w:sz w:val="16"/>
      <w:szCs w:val="20"/>
      <w:lang w:val="cs-CZ" w:eastAsia="cs-CZ"/>
    </w:rPr>
  </w:style>
  <w:style w:type="character" w:styleId="slostrnky">
    <w:name w:val="page number"/>
    <w:basedOn w:val="Standardnpsmoodstavce"/>
    <w:rsid w:val="00F33A2A"/>
    <w:rPr>
      <w:sz w:val="16"/>
    </w:rPr>
  </w:style>
  <w:style w:type="paragraph" w:customStyle="1" w:styleId="Odrazky">
    <w:name w:val="Odrazky"/>
    <w:basedOn w:val="Normln"/>
    <w:rsid w:val="00F33A2A"/>
    <w:pPr>
      <w:widowControl/>
      <w:numPr>
        <w:numId w:val="1"/>
      </w:numPr>
      <w:spacing w:before="0" w:after="120" w:line="240" w:lineRule="auto"/>
      <w:contextualSpacing w:val="0"/>
      <w:jc w:val="both"/>
    </w:pPr>
    <w:rPr>
      <w:rFonts w:ascii="Times New Roman" w:hAnsi="Times New Roman"/>
      <w:color w:val="auto"/>
      <w:sz w:val="24"/>
      <w:szCs w:val="20"/>
      <w:lang w:val="cs-CZ" w:eastAsia="cs-CZ"/>
    </w:rPr>
  </w:style>
  <w:style w:type="paragraph" w:customStyle="1" w:styleId="Odstavec">
    <w:name w:val="Odstavec"/>
    <w:basedOn w:val="Normln"/>
    <w:rsid w:val="00F33A2A"/>
    <w:pPr>
      <w:widowControl/>
      <w:spacing w:before="0" w:after="120" w:line="240" w:lineRule="auto"/>
      <w:ind w:left="992"/>
      <w:contextualSpacing w:val="0"/>
      <w:jc w:val="both"/>
    </w:pPr>
    <w:rPr>
      <w:rFonts w:ascii="Times New Roman" w:hAnsi="Times New Roman"/>
      <w:color w:val="auto"/>
      <w:sz w:val="24"/>
      <w:szCs w:val="20"/>
      <w:lang w:val="cs-CZ" w:eastAsia="cs-CZ"/>
    </w:rPr>
  </w:style>
  <w:style w:type="character" w:styleId="Hypertextovodkaz">
    <w:name w:val="Hyperlink"/>
    <w:basedOn w:val="Standardnpsmoodstavce"/>
    <w:uiPriority w:val="99"/>
    <w:unhideWhenUsed/>
    <w:rsid w:val="00336366"/>
    <w:rPr>
      <w:color w:val="0000FF"/>
      <w:u w:val="single"/>
    </w:rPr>
  </w:style>
  <w:style w:type="paragraph" w:styleId="Nzev">
    <w:name w:val="Title"/>
    <w:basedOn w:val="Normln"/>
    <w:qFormat/>
    <w:rsid w:val="00F33A2A"/>
    <w:pPr>
      <w:widowControl/>
      <w:spacing w:before="240" w:after="60" w:line="240" w:lineRule="auto"/>
      <w:contextualSpacing w:val="0"/>
      <w:jc w:val="center"/>
      <w:outlineLvl w:val="0"/>
    </w:pPr>
    <w:rPr>
      <w:rFonts w:cs="Arial"/>
      <w:b/>
      <w:bCs/>
      <w:color w:val="auto"/>
      <w:kern w:val="28"/>
      <w:sz w:val="32"/>
      <w:szCs w:val="32"/>
      <w:lang w:val="cs-CZ" w:eastAsia="cs-CZ"/>
    </w:rPr>
  </w:style>
  <w:style w:type="character" w:customStyle="1" w:styleId="Nadpis5Char">
    <w:name w:val="Nadpis 5 Char"/>
    <w:basedOn w:val="Standardnpsmoodstavce"/>
    <w:link w:val="Nadpis5"/>
    <w:rsid w:val="00795A27"/>
    <w:rPr>
      <w:rFonts w:ascii="Arial" w:hAnsi="Arial"/>
      <w:b/>
      <w:bCs/>
      <w:sz w:val="22"/>
    </w:rPr>
  </w:style>
  <w:style w:type="character" w:customStyle="1" w:styleId="Nadpis6Char">
    <w:name w:val="Nadpis 6 Char"/>
    <w:basedOn w:val="Standardnpsmoodstavce"/>
    <w:link w:val="Nadpis6"/>
    <w:rsid w:val="00795A27"/>
    <w:rPr>
      <w:rFonts w:ascii="Arial" w:hAnsi="Arial" w:cs="Arial"/>
      <w:b/>
      <w:color w:val="FF0000"/>
    </w:rPr>
  </w:style>
  <w:style w:type="character" w:customStyle="1" w:styleId="Nadpis7Char">
    <w:name w:val="Nadpis 7 Char"/>
    <w:basedOn w:val="Standardnpsmoodstavce"/>
    <w:link w:val="Nadpis7"/>
    <w:rsid w:val="00795A27"/>
    <w:rPr>
      <w:sz w:val="24"/>
      <w:u w:val="single"/>
    </w:rPr>
  </w:style>
  <w:style w:type="character" w:customStyle="1" w:styleId="Nadpis8Char">
    <w:name w:val="Nadpis 8 Char"/>
    <w:basedOn w:val="Standardnpsmoodstavce"/>
    <w:link w:val="Nadpis8"/>
    <w:rsid w:val="00795A27"/>
    <w:rPr>
      <w:b/>
      <w:sz w:val="28"/>
    </w:rPr>
  </w:style>
  <w:style w:type="character" w:customStyle="1" w:styleId="Nadpis9Char">
    <w:name w:val="Nadpis 9 Char"/>
    <w:basedOn w:val="Standardnpsmoodstavce"/>
    <w:link w:val="Nadpis9"/>
    <w:rsid w:val="00795A27"/>
    <w:rPr>
      <w:rFonts w:ascii="Courier New" w:hAnsi="Courier New"/>
      <w:b/>
      <w:caps/>
      <w:sz w:val="48"/>
    </w:rPr>
  </w:style>
  <w:style w:type="character" w:customStyle="1" w:styleId="ZhlavChar">
    <w:name w:val="Záhlaví Char"/>
    <w:basedOn w:val="Standardnpsmoodstavce"/>
    <w:link w:val="Zhlav"/>
    <w:rsid w:val="00795A27"/>
    <w:rPr>
      <w:rFonts w:ascii="Arial" w:hAnsi="Arial"/>
      <w:sz w:val="16"/>
    </w:rPr>
  </w:style>
  <w:style w:type="character" w:customStyle="1" w:styleId="ZpatChar">
    <w:name w:val="Zápatí Char"/>
    <w:basedOn w:val="Standardnpsmoodstavce"/>
    <w:link w:val="Zpat"/>
    <w:uiPriority w:val="99"/>
    <w:rsid w:val="00795A27"/>
    <w:rPr>
      <w:rFonts w:ascii="Arial" w:hAnsi="Arial"/>
      <w:sz w:val="16"/>
    </w:rPr>
  </w:style>
  <w:style w:type="table" w:styleId="Mkatabulky">
    <w:name w:val="Table Grid"/>
    <w:basedOn w:val="Normlntabulka"/>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Henvelopeaddress">
    <w:name w:val="G_LH_envelope_address"/>
    <w:basedOn w:val="Normln"/>
    <w:autoRedefine/>
    <w:qFormat/>
    <w:rsid w:val="00795A27"/>
    <w:pPr>
      <w:spacing w:line="276" w:lineRule="auto"/>
      <w:ind w:left="-6180"/>
    </w:pPr>
  </w:style>
  <w:style w:type="character" w:customStyle="1" w:styleId="Bold">
    <w:name w:val="Bold"/>
    <w:basedOn w:val="Standardnpsmoodstavce"/>
    <w:uiPriority w:val="1"/>
    <w:qFormat/>
    <w:rsid w:val="00795A27"/>
    <w:rPr>
      <w:b/>
    </w:rPr>
  </w:style>
  <w:style w:type="paragraph" w:customStyle="1" w:styleId="IndirizzoGenerali">
    <w:name w:val="Indirizzo_Generali"/>
    <w:qFormat/>
    <w:rsid w:val="00795A27"/>
    <w:pPr>
      <w:spacing w:line="160" w:lineRule="exact"/>
    </w:pPr>
    <w:rPr>
      <w:rFonts w:ascii="Arial" w:hAnsi="Arial"/>
      <w:color w:val="000000" w:themeColor="text1"/>
      <w:sz w:val="12"/>
      <w:szCs w:val="12"/>
      <w:lang w:val="it-IT" w:eastAsia="it-IT"/>
    </w:rPr>
  </w:style>
  <w:style w:type="paragraph" w:customStyle="1" w:styleId="testobullet">
    <w:name w:val="testo_bullet"/>
    <w:basedOn w:val="Odstavecseseznamem"/>
    <w:autoRedefine/>
    <w:qFormat/>
    <w:rsid w:val="00795A27"/>
    <w:pPr>
      <w:numPr>
        <w:numId w:val="2"/>
      </w:numPr>
      <w:contextualSpacing w:val="0"/>
    </w:pPr>
    <w:rPr>
      <w:szCs w:val="18"/>
    </w:rPr>
  </w:style>
  <w:style w:type="paragraph" w:customStyle="1" w:styleId="Gspacing23pt">
    <w:name w:val="G_spacing_23pt"/>
    <w:autoRedefine/>
    <w:qFormat/>
    <w:rsid w:val="00795A27"/>
    <w:pPr>
      <w:spacing w:line="460" w:lineRule="exact"/>
    </w:pPr>
    <w:rPr>
      <w:rFonts w:ascii="Arial" w:hAnsi="Arial"/>
      <w:color w:val="000000" w:themeColor="text1"/>
      <w:sz w:val="18"/>
      <w:szCs w:val="24"/>
      <w:lang w:val="it-IT" w:eastAsia="it-IT"/>
    </w:rPr>
  </w:style>
  <w:style w:type="paragraph" w:customStyle="1" w:styleId="Gcitydate">
    <w:name w:val="G_city/date"/>
    <w:autoRedefine/>
    <w:qFormat/>
    <w:rsid w:val="00795A27"/>
    <w:pPr>
      <w:spacing w:line="220" w:lineRule="exact"/>
      <w:ind w:left="142"/>
    </w:pPr>
    <w:rPr>
      <w:rFonts w:ascii="Arial" w:hAnsi="Arial"/>
      <w:color w:val="000000" w:themeColor="text1"/>
      <w:sz w:val="18"/>
      <w:szCs w:val="18"/>
      <w:lang w:val="it-IT" w:eastAsia="it-IT"/>
    </w:rPr>
  </w:style>
  <w:style w:type="paragraph" w:styleId="Odstavecseseznamem">
    <w:name w:val="List Paragraph"/>
    <w:basedOn w:val="Normln"/>
    <w:uiPriority w:val="34"/>
    <w:qFormat/>
    <w:rsid w:val="00795A27"/>
    <w:pPr>
      <w:ind w:left="720"/>
    </w:pPr>
  </w:style>
  <w:style w:type="paragraph" w:styleId="Textbubliny">
    <w:name w:val="Balloon Text"/>
    <w:basedOn w:val="Normln"/>
    <w:link w:val="TextbublinyChar"/>
    <w:unhideWhenUsed/>
    <w:rsid w:val="00795A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795A27"/>
    <w:rPr>
      <w:rFonts w:ascii="Tahoma" w:hAnsi="Tahoma" w:cs="Tahoma"/>
      <w:color w:val="000000" w:themeColor="text1"/>
      <w:sz w:val="16"/>
      <w:szCs w:val="16"/>
      <w:lang w:val="it-IT" w:eastAsia="it-IT"/>
    </w:rPr>
  </w:style>
  <w:style w:type="paragraph" w:customStyle="1" w:styleId="Zkladnodstavec">
    <w:name w:val="[Základní odstavec]"/>
    <w:basedOn w:val="Normln"/>
    <w:uiPriority w:val="99"/>
    <w:rsid w:val="00795A27"/>
    <w:pPr>
      <w:widowControl/>
      <w:autoSpaceDE w:val="0"/>
      <w:autoSpaceDN w:val="0"/>
      <w:adjustRightInd w:val="0"/>
      <w:spacing w:before="0" w:after="0" w:line="288" w:lineRule="auto"/>
      <w:contextualSpacing w:val="0"/>
      <w:textAlignment w:val="center"/>
    </w:pPr>
    <w:rPr>
      <w:rFonts w:ascii="MinionPro-Regular" w:eastAsiaTheme="minorHAnsi" w:hAnsi="MinionPro-Regular" w:cs="MinionPro-Regular"/>
      <w:color w:val="000000"/>
      <w:sz w:val="24"/>
      <w:lang w:val="cs-CZ" w:eastAsia="en-US"/>
    </w:rPr>
  </w:style>
  <w:style w:type="table" w:customStyle="1" w:styleId="Kalend2">
    <w:name w:val="Kalendář 2"/>
    <w:basedOn w:val="Normlntabulka"/>
    <w:uiPriority w:val="99"/>
    <w:qFormat/>
    <w:rsid w:val="00795A27"/>
    <w:pPr>
      <w:jc w:val="center"/>
    </w:pPr>
    <w:rPr>
      <w:rFonts w:asciiTheme="minorHAnsi" w:eastAsiaTheme="minorEastAsia" w:hAnsiTheme="minorHAnsi" w:cstheme="minorBidi"/>
      <w:sz w:val="28"/>
      <w:szCs w:val="22"/>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fault">
    <w:name w:val="Default"/>
    <w:rsid w:val="00795A27"/>
    <w:pPr>
      <w:autoSpaceDE w:val="0"/>
      <w:autoSpaceDN w:val="0"/>
      <w:adjustRightInd w:val="0"/>
    </w:pPr>
    <w:rPr>
      <w:rFonts w:ascii="Arial" w:eastAsiaTheme="minorHAnsi" w:hAnsi="Arial" w:cs="Arial"/>
      <w:color w:val="000000"/>
      <w:sz w:val="24"/>
      <w:szCs w:val="24"/>
      <w:lang w:eastAsia="en-US"/>
    </w:rPr>
  </w:style>
  <w:style w:type="paragraph" w:customStyle="1" w:styleId="Pa0">
    <w:name w:val="Pa0"/>
    <w:basedOn w:val="Normln"/>
    <w:next w:val="Normln"/>
    <w:uiPriority w:val="99"/>
    <w:rsid w:val="00795A27"/>
    <w:pPr>
      <w:widowControl/>
      <w:autoSpaceDE w:val="0"/>
      <w:autoSpaceDN w:val="0"/>
      <w:adjustRightInd w:val="0"/>
      <w:spacing w:before="0" w:after="0" w:line="241" w:lineRule="atLeast"/>
      <w:contextualSpacing w:val="0"/>
    </w:pPr>
    <w:rPr>
      <w:rFonts w:eastAsiaTheme="minorHAnsi" w:cs="Arial"/>
      <w:color w:val="auto"/>
      <w:sz w:val="24"/>
      <w:lang w:val="cs-CZ" w:eastAsia="en-US"/>
    </w:rPr>
  </w:style>
  <w:style w:type="character" w:customStyle="1" w:styleId="A0">
    <w:name w:val="A0"/>
    <w:basedOn w:val="Standardnpsmoodstavce"/>
    <w:uiPriority w:val="99"/>
    <w:rsid w:val="00795A27"/>
    <w:rPr>
      <w:color w:val="000000"/>
    </w:rPr>
  </w:style>
  <w:style w:type="character" w:customStyle="1" w:styleId="Nadpis2Char">
    <w:name w:val="Nadpis 2 Char"/>
    <w:basedOn w:val="Standardnpsmoodstavce"/>
    <w:link w:val="Nadpis2"/>
    <w:rsid w:val="00795A27"/>
    <w:rPr>
      <w:rFonts w:ascii="Arial" w:hAnsi="Arial"/>
      <w:b/>
      <w:i/>
      <w:sz w:val="28"/>
    </w:rPr>
  </w:style>
  <w:style w:type="table" w:styleId="Svtlstnovn">
    <w:name w:val="Light Shading"/>
    <w:basedOn w:val="Normlntabulka"/>
    <w:uiPriority w:val="60"/>
    <w:rsid w:val="00795A2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kladntext">
    <w:name w:val="Body Text"/>
    <w:basedOn w:val="Normln"/>
    <w:link w:val="ZkladntextChar"/>
    <w:rsid w:val="00795A27"/>
    <w:pPr>
      <w:widowControl/>
      <w:spacing w:before="0" w:after="0" w:line="240" w:lineRule="auto"/>
      <w:contextualSpacing w:val="0"/>
    </w:pPr>
    <w:rPr>
      <w:rFonts w:ascii="Times New Roman" w:hAnsi="Times New Roman"/>
      <w:color w:val="auto"/>
      <w:sz w:val="24"/>
      <w:szCs w:val="20"/>
      <w:lang w:val="cs-CZ" w:eastAsia="cs-CZ"/>
    </w:rPr>
  </w:style>
  <w:style w:type="character" w:customStyle="1" w:styleId="ZkladntextChar">
    <w:name w:val="Základní text Char"/>
    <w:basedOn w:val="Standardnpsmoodstavce"/>
    <w:link w:val="Zkladntext"/>
    <w:rsid w:val="00795A27"/>
    <w:rPr>
      <w:sz w:val="24"/>
    </w:rPr>
  </w:style>
  <w:style w:type="paragraph" w:styleId="Zkladntextodsazen">
    <w:name w:val="Body Text Indent"/>
    <w:basedOn w:val="Normln"/>
    <w:link w:val="ZkladntextodsazenChar"/>
    <w:uiPriority w:val="99"/>
    <w:unhideWhenUsed/>
    <w:rsid w:val="00795A27"/>
    <w:pPr>
      <w:spacing w:after="120"/>
      <w:ind w:left="283"/>
    </w:pPr>
  </w:style>
  <w:style w:type="character" w:customStyle="1" w:styleId="ZkladntextodsazenChar">
    <w:name w:val="Základní text odsazený Char"/>
    <w:basedOn w:val="Standardnpsmoodstavce"/>
    <w:link w:val="Zkladntextodsazen"/>
    <w:uiPriority w:val="99"/>
    <w:rsid w:val="00795A27"/>
    <w:rPr>
      <w:rFonts w:ascii="Arial" w:hAnsi="Arial"/>
      <w:color w:val="000000" w:themeColor="text1"/>
      <w:sz w:val="18"/>
      <w:szCs w:val="24"/>
      <w:lang w:val="it-IT" w:eastAsia="it-IT"/>
    </w:rPr>
  </w:style>
  <w:style w:type="paragraph" w:customStyle="1" w:styleId="Pa3">
    <w:name w:val="Pa3"/>
    <w:basedOn w:val="Normln"/>
    <w:next w:val="Normln"/>
    <w:uiPriority w:val="99"/>
    <w:rsid w:val="00795A27"/>
    <w:pPr>
      <w:widowControl/>
      <w:autoSpaceDE w:val="0"/>
      <w:autoSpaceDN w:val="0"/>
      <w:adjustRightInd w:val="0"/>
      <w:spacing w:before="0" w:after="0" w:line="171" w:lineRule="atLeast"/>
      <w:contextualSpacing w:val="0"/>
    </w:pPr>
    <w:rPr>
      <w:rFonts w:ascii="Generali" w:eastAsia="Calibri" w:hAnsi="Generali"/>
      <w:color w:val="auto"/>
      <w:sz w:val="24"/>
      <w:lang w:val="cs-CZ" w:eastAsia="en-US"/>
    </w:rPr>
  </w:style>
  <w:style w:type="character" w:customStyle="1" w:styleId="Nadpis1Char">
    <w:name w:val="Nadpis 1 Char"/>
    <w:basedOn w:val="Standardnpsmoodstavce"/>
    <w:link w:val="Nadpis1"/>
    <w:rsid w:val="00795A27"/>
    <w:rPr>
      <w:rFonts w:ascii="Arial" w:hAnsi="Arial"/>
      <w:b/>
      <w:smallCaps/>
      <w:kern w:val="28"/>
      <w:sz w:val="28"/>
    </w:rPr>
  </w:style>
  <w:style w:type="character" w:customStyle="1" w:styleId="Nadpis3Char">
    <w:name w:val="Nadpis 3 Char"/>
    <w:basedOn w:val="Standardnpsmoodstavce"/>
    <w:link w:val="Nadpis3"/>
    <w:rsid w:val="00795A27"/>
    <w:rPr>
      <w:rFonts w:ascii="Arial" w:hAnsi="Arial"/>
      <w:b/>
      <w:sz w:val="24"/>
    </w:rPr>
  </w:style>
  <w:style w:type="character" w:customStyle="1" w:styleId="Nadpis4Char">
    <w:name w:val="Nadpis 4 Char"/>
    <w:basedOn w:val="Standardnpsmoodstavce"/>
    <w:link w:val="Nadpis4"/>
    <w:rsid w:val="00795A27"/>
    <w:rPr>
      <w:rFonts w:ascii="Arial" w:hAnsi="Arial"/>
      <w:i/>
      <w:sz w:val="24"/>
    </w:rPr>
  </w:style>
  <w:style w:type="numbering" w:customStyle="1" w:styleId="Bezseznamu1">
    <w:name w:val="Bez seznamu1"/>
    <w:next w:val="Bezseznamu"/>
    <w:semiHidden/>
    <w:rsid w:val="00795A27"/>
  </w:style>
  <w:style w:type="paragraph" w:customStyle="1" w:styleId="boris">
    <w:name w:val="boris"/>
    <w:basedOn w:val="Normln"/>
    <w:rsid w:val="00795A27"/>
    <w:pPr>
      <w:widowControl/>
      <w:shd w:val="pct12" w:color="auto" w:fill="FFFFFF"/>
      <w:tabs>
        <w:tab w:val="right" w:pos="9072"/>
      </w:tabs>
      <w:spacing w:before="0" w:after="0" w:line="240" w:lineRule="auto"/>
      <w:contextualSpacing w:val="0"/>
      <w:outlineLvl w:val="0"/>
    </w:pPr>
    <w:rPr>
      <w:rFonts w:ascii="Times New Roman" w:hAnsi="Times New Roman"/>
      <w:b/>
      <w:color w:val="auto"/>
      <w:sz w:val="20"/>
      <w:szCs w:val="20"/>
      <w:lang w:val="cs-CZ" w:eastAsia="cs-CZ"/>
    </w:rPr>
  </w:style>
  <w:style w:type="paragraph" w:customStyle="1" w:styleId="nadpis30">
    <w:name w:val="nadpis 3"/>
    <w:basedOn w:val="Normln"/>
    <w:rsid w:val="00795A27"/>
    <w:pPr>
      <w:widowControl/>
      <w:tabs>
        <w:tab w:val="left" w:pos="2835"/>
      </w:tabs>
      <w:spacing w:before="0" w:after="0" w:line="240" w:lineRule="auto"/>
      <w:contextualSpacing w:val="0"/>
      <w:outlineLvl w:val="0"/>
    </w:pPr>
    <w:rPr>
      <w:rFonts w:ascii="Times New Roman" w:hAnsi="Times New Roman"/>
      <w:b/>
      <w:caps/>
      <w:color w:val="auto"/>
      <w:sz w:val="20"/>
      <w:szCs w:val="20"/>
      <w:lang w:val="cs-CZ" w:eastAsia="cs-CZ"/>
    </w:rPr>
  </w:style>
  <w:style w:type="paragraph" w:styleId="Zkladntext2">
    <w:name w:val="Body Text 2"/>
    <w:basedOn w:val="Normln"/>
    <w:link w:val="Zkladntext2Char"/>
    <w:rsid w:val="00795A27"/>
    <w:pPr>
      <w:widowControl/>
      <w:spacing w:before="0" w:after="0" w:line="240" w:lineRule="auto"/>
      <w:contextualSpacing w:val="0"/>
    </w:pPr>
    <w:rPr>
      <w:color w:val="auto"/>
      <w:sz w:val="20"/>
      <w:szCs w:val="20"/>
      <w:lang w:val="cs-CZ" w:eastAsia="cs-CZ"/>
    </w:rPr>
  </w:style>
  <w:style w:type="character" w:customStyle="1" w:styleId="Zkladntext2Char">
    <w:name w:val="Základní text 2 Char"/>
    <w:basedOn w:val="Standardnpsmoodstavce"/>
    <w:link w:val="Zkladntext2"/>
    <w:rsid w:val="00795A27"/>
    <w:rPr>
      <w:rFonts w:ascii="Arial" w:hAnsi="Arial"/>
    </w:rPr>
  </w:style>
  <w:style w:type="paragraph" w:styleId="Zkladntext3">
    <w:name w:val="Body Text 3"/>
    <w:basedOn w:val="Normln"/>
    <w:link w:val="Zkladntext3Char"/>
    <w:rsid w:val="00795A27"/>
    <w:pPr>
      <w:widowControl/>
      <w:tabs>
        <w:tab w:val="left" w:pos="3119"/>
        <w:tab w:val="right" w:pos="6237"/>
      </w:tabs>
      <w:spacing w:before="0" w:after="0" w:line="240" w:lineRule="auto"/>
      <w:contextualSpacing w:val="0"/>
    </w:pPr>
    <w:rPr>
      <w:rFonts w:ascii="Times New Roman" w:hAnsi="Times New Roman"/>
      <w:b/>
      <w:color w:val="auto"/>
      <w:sz w:val="24"/>
      <w:szCs w:val="20"/>
      <w:lang w:val="cs-CZ" w:eastAsia="cs-CZ"/>
    </w:rPr>
  </w:style>
  <w:style w:type="character" w:customStyle="1" w:styleId="Zkladntext3Char">
    <w:name w:val="Základní text 3 Char"/>
    <w:basedOn w:val="Standardnpsmoodstavce"/>
    <w:link w:val="Zkladntext3"/>
    <w:rsid w:val="00795A27"/>
    <w:rPr>
      <w:b/>
      <w:sz w:val="24"/>
    </w:rPr>
  </w:style>
  <w:style w:type="paragraph" w:styleId="Rozloendokumentu">
    <w:name w:val="Document Map"/>
    <w:basedOn w:val="Normln"/>
    <w:link w:val="RozloendokumentuChar"/>
    <w:rsid w:val="00795A27"/>
    <w:pPr>
      <w:widowControl/>
      <w:shd w:val="clear" w:color="auto" w:fill="000080"/>
      <w:spacing w:before="0" w:after="0" w:line="240" w:lineRule="auto"/>
      <w:contextualSpacing w:val="0"/>
    </w:pPr>
    <w:rPr>
      <w:rFonts w:ascii="Tahoma" w:hAnsi="Tahoma"/>
      <w:color w:val="auto"/>
      <w:sz w:val="20"/>
      <w:szCs w:val="20"/>
      <w:lang w:val="cs-CZ" w:eastAsia="cs-CZ"/>
    </w:rPr>
  </w:style>
  <w:style w:type="character" w:customStyle="1" w:styleId="RozloendokumentuChar">
    <w:name w:val="Rozložení dokumentu Char"/>
    <w:basedOn w:val="Standardnpsmoodstavce"/>
    <w:link w:val="Rozloendokumentu"/>
    <w:rsid w:val="00795A27"/>
    <w:rPr>
      <w:rFonts w:ascii="Tahoma" w:hAnsi="Tahoma"/>
      <w:shd w:val="clear" w:color="auto" w:fill="000080"/>
    </w:rPr>
  </w:style>
  <w:style w:type="paragraph" w:styleId="Textkomente">
    <w:name w:val="annotation text"/>
    <w:basedOn w:val="Normln"/>
    <w:link w:val="TextkomenteChar"/>
    <w:rsid w:val="00795A27"/>
    <w:pPr>
      <w:widowControl/>
      <w:spacing w:before="0" w:after="0" w:line="240" w:lineRule="auto"/>
      <w:contextualSpacing w:val="0"/>
    </w:pPr>
    <w:rPr>
      <w:rFonts w:ascii="Times New Roman" w:hAnsi="Times New Roman"/>
      <w:color w:val="auto"/>
      <w:sz w:val="20"/>
      <w:szCs w:val="20"/>
      <w:lang w:val="cs-CZ" w:eastAsia="cs-CZ"/>
    </w:rPr>
  </w:style>
  <w:style w:type="character" w:customStyle="1" w:styleId="TextkomenteChar">
    <w:name w:val="Text komentáře Char"/>
    <w:basedOn w:val="Standardnpsmoodstavce"/>
    <w:link w:val="Textkomente"/>
    <w:rsid w:val="00795A27"/>
  </w:style>
  <w:style w:type="table" w:customStyle="1" w:styleId="Mkatabulky1">
    <w:name w:val="Mřížka tabulky1"/>
    <w:basedOn w:val="Normlntabulka"/>
    <w:next w:val="Mkatabulky"/>
    <w:rsid w:val="0079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795A27"/>
    <w:rPr>
      <w:rFonts w:cs="Generali"/>
      <w:b/>
      <w:bCs/>
      <w:color w:val="000000"/>
      <w:sz w:val="30"/>
      <w:szCs w:val="30"/>
    </w:rPr>
  </w:style>
  <w:style w:type="character" w:customStyle="1" w:styleId="A3">
    <w:name w:val="A3"/>
    <w:uiPriority w:val="99"/>
    <w:rsid w:val="00795A27"/>
    <w:rPr>
      <w:rFonts w:cs="Generali"/>
      <w:color w:val="000000"/>
      <w:sz w:val="14"/>
      <w:szCs w:val="14"/>
    </w:rPr>
  </w:style>
  <w:style w:type="paragraph" w:customStyle="1" w:styleId="Pa1">
    <w:name w:val="Pa1"/>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paragraph" w:customStyle="1" w:styleId="Pa2">
    <w:name w:val="Pa2"/>
    <w:basedOn w:val="Default"/>
    <w:next w:val="Default"/>
    <w:uiPriority w:val="99"/>
    <w:rsid w:val="00795A27"/>
    <w:pPr>
      <w:widowControl w:val="0"/>
      <w:spacing w:line="171" w:lineRule="atLeast"/>
    </w:pPr>
    <w:rPr>
      <w:rFonts w:ascii="Generali" w:eastAsia="Times New Roman" w:hAnsi="Generali" w:cs="Times New Roman"/>
      <w:color w:val="auto"/>
      <w:lang w:val="en-US"/>
    </w:rPr>
  </w:style>
  <w:style w:type="character" w:styleId="Odkaznakoment">
    <w:name w:val="annotation reference"/>
    <w:rsid w:val="00795A27"/>
    <w:rPr>
      <w:sz w:val="16"/>
      <w:szCs w:val="16"/>
    </w:rPr>
  </w:style>
  <w:style w:type="table" w:customStyle="1" w:styleId="Mkatabulky2">
    <w:name w:val="Mřížka tabulky2"/>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95A27"/>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4">
    <w:name w:val="Styl4"/>
    <w:basedOn w:val="Normln"/>
    <w:qFormat/>
    <w:rsid w:val="00795A27"/>
    <w:pPr>
      <w:numPr>
        <w:numId w:val="8"/>
      </w:numPr>
      <w:spacing w:before="120" w:after="60" w:line="240" w:lineRule="auto"/>
      <w:contextualSpacing w:val="0"/>
      <w:jc w:val="both"/>
    </w:pPr>
    <w:rPr>
      <w:rFonts w:cs="Arial"/>
      <w:color w:val="auto"/>
      <w:sz w:val="22"/>
      <w:szCs w:val="20"/>
      <w:lang w:val="cs-CZ" w:eastAsia="cs-CZ"/>
    </w:rPr>
  </w:style>
  <w:style w:type="paragraph" w:customStyle="1" w:styleId="Styl87">
    <w:name w:val="Styl87"/>
    <w:basedOn w:val="Normln"/>
    <w:qFormat/>
    <w:rsid w:val="00795A27"/>
    <w:pPr>
      <w:numPr>
        <w:numId w:val="5"/>
      </w:numPr>
      <w:tabs>
        <w:tab w:val="left" w:pos="567"/>
      </w:tabs>
      <w:spacing w:before="120" w:after="60" w:line="240" w:lineRule="auto"/>
      <w:contextualSpacing w:val="0"/>
      <w:jc w:val="both"/>
    </w:pPr>
    <w:rPr>
      <w:rFonts w:cs="Arial"/>
      <w:color w:val="auto"/>
      <w:sz w:val="22"/>
      <w:szCs w:val="20"/>
      <w:lang w:val="cs-CZ" w:eastAsia="cs-CZ"/>
    </w:rPr>
  </w:style>
  <w:style w:type="table" w:customStyle="1" w:styleId="Mkatabulky41">
    <w:name w:val="Mřížka tabulky41"/>
    <w:basedOn w:val="Normlntabulka"/>
    <w:next w:val="Mkatabulky"/>
    <w:uiPriority w:val="59"/>
    <w:rsid w:val="008C535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3422C"/>
    <w:rPr>
      <w:rFonts w:ascii="Arial" w:hAnsi="Arial"/>
      <w:color w:val="000000" w:themeColor="text1"/>
      <w:sz w:val="18"/>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96066">
      <w:bodyDiv w:val="1"/>
      <w:marLeft w:val="0"/>
      <w:marRight w:val="0"/>
      <w:marTop w:val="0"/>
      <w:marBottom w:val="0"/>
      <w:divBdr>
        <w:top w:val="none" w:sz="0" w:space="0" w:color="auto"/>
        <w:left w:val="none" w:sz="0" w:space="0" w:color="auto"/>
        <w:bottom w:val="none" w:sz="0" w:space="0" w:color="auto"/>
        <w:right w:val="none" w:sz="0" w:space="0" w:color="auto"/>
      </w:divBdr>
    </w:div>
    <w:div w:id="520624998">
      <w:bodyDiv w:val="1"/>
      <w:marLeft w:val="0"/>
      <w:marRight w:val="0"/>
      <w:marTop w:val="0"/>
      <w:marBottom w:val="0"/>
      <w:divBdr>
        <w:top w:val="none" w:sz="0" w:space="0" w:color="auto"/>
        <w:left w:val="none" w:sz="0" w:space="0" w:color="auto"/>
        <w:bottom w:val="none" w:sz="0" w:space="0" w:color="auto"/>
        <w:right w:val="none" w:sz="0" w:space="0" w:color="auto"/>
      </w:divBdr>
    </w:div>
    <w:div w:id="938374572">
      <w:bodyDiv w:val="1"/>
      <w:marLeft w:val="0"/>
      <w:marRight w:val="0"/>
      <w:marTop w:val="0"/>
      <w:marBottom w:val="0"/>
      <w:divBdr>
        <w:top w:val="none" w:sz="0" w:space="0" w:color="auto"/>
        <w:left w:val="none" w:sz="0" w:space="0" w:color="auto"/>
        <w:bottom w:val="none" w:sz="0" w:space="0" w:color="auto"/>
        <w:right w:val="none" w:sz="0" w:space="0" w:color="auto"/>
      </w:divBdr>
    </w:div>
    <w:div w:id="1124931141">
      <w:bodyDiv w:val="1"/>
      <w:marLeft w:val="0"/>
      <w:marRight w:val="0"/>
      <w:marTop w:val="0"/>
      <w:marBottom w:val="0"/>
      <w:divBdr>
        <w:top w:val="none" w:sz="0" w:space="0" w:color="auto"/>
        <w:left w:val="none" w:sz="0" w:space="0" w:color="auto"/>
        <w:bottom w:val="none" w:sz="0" w:space="0" w:color="auto"/>
        <w:right w:val="none" w:sz="0" w:space="0" w:color="auto"/>
      </w:divBdr>
    </w:div>
    <w:div w:id="1457069482">
      <w:bodyDiv w:val="1"/>
      <w:marLeft w:val="0"/>
      <w:marRight w:val="0"/>
      <w:marTop w:val="0"/>
      <w:marBottom w:val="0"/>
      <w:divBdr>
        <w:top w:val="none" w:sz="0" w:space="0" w:color="auto"/>
        <w:left w:val="none" w:sz="0" w:space="0" w:color="auto"/>
        <w:bottom w:val="none" w:sz="0" w:space="0" w:color="auto"/>
        <w:right w:val="none" w:sz="0" w:space="0" w:color="auto"/>
      </w:divBdr>
    </w:div>
    <w:div w:id="20231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3679</Words>
  <Characters>21709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fzarevucky</dc:creator>
  <cp:lastModifiedBy>Sekretariát ÚŽFG</cp:lastModifiedBy>
  <cp:revision>4</cp:revision>
  <cp:lastPrinted>2018-03-19T07:55:00Z</cp:lastPrinted>
  <dcterms:created xsi:type="dcterms:W3CDTF">2023-05-03T05:22:00Z</dcterms:created>
  <dcterms:modified xsi:type="dcterms:W3CDTF">2023-05-04T15:46:00Z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543693-0d20-4828-9e38-4668ba5c5a68_Enabled">
    <vt:lpwstr>true</vt:lpwstr>
  </property>
  <property fmtid="{D5CDD505-2E9C-101B-9397-08002B2CF9AE}" pid="3" name="MSIP_Label_ed543693-0d20-4828-9e38-4668ba5c5a68_SetDate">
    <vt:lpwstr>2023-03-27T12:33:12Z</vt:lpwstr>
  </property>
  <property fmtid="{D5CDD505-2E9C-101B-9397-08002B2CF9AE}" pid="4" name="MSIP_Label_ed543693-0d20-4828-9e38-4668ba5c5a68_Method">
    <vt:lpwstr>Privileged</vt:lpwstr>
  </property>
  <property fmtid="{D5CDD505-2E9C-101B-9397-08002B2CF9AE}" pid="5" name="MSIP_Label_ed543693-0d20-4828-9e38-4668ba5c5a68_Name">
    <vt:lpwstr>Důvěrné-CZE-Neviditelna</vt:lpwstr>
  </property>
  <property fmtid="{D5CDD505-2E9C-101B-9397-08002B2CF9AE}" pid="6" name="MSIP_Label_ed543693-0d20-4828-9e38-4668ba5c5a68_SiteId">
    <vt:lpwstr>cbeb3ecc-6f45-4183-b5a8-088140deae5d</vt:lpwstr>
  </property>
  <property fmtid="{D5CDD505-2E9C-101B-9397-08002B2CF9AE}" pid="7" name="MSIP_Label_ed543693-0d20-4828-9e38-4668ba5c5a68_ActionId">
    <vt:lpwstr>ba446d5d-c262-4ddc-9646-b587c2709dce</vt:lpwstr>
  </property>
  <property fmtid="{D5CDD505-2E9C-101B-9397-08002B2CF9AE}" pid="8" name="MSIP_Label_ed543693-0d20-4828-9e38-4668ba5c5a68_ContentBits">
    <vt:lpwstr>0</vt:lpwstr>
  </property>
  <property fmtid="{D5CDD505-2E9C-101B-9397-08002B2CF9AE}" pid="9" name="MSIP_Label_38f1469a-2c2a-4aee-b92b-090d4c5468ff_Enabled">
    <vt:lpwstr>true</vt:lpwstr>
  </property>
  <property fmtid="{D5CDD505-2E9C-101B-9397-08002B2CF9AE}" pid="10" name="MSIP_Label_38f1469a-2c2a-4aee-b92b-090d4c5468ff_SetDate">
    <vt:lpwstr>2023-04-06T11:28:19Z</vt:lpwstr>
  </property>
  <property fmtid="{D5CDD505-2E9C-101B-9397-08002B2CF9AE}" pid="11" name="MSIP_Label_38f1469a-2c2a-4aee-b92b-090d4c5468ff_Method">
    <vt:lpwstr>Standard</vt:lpwstr>
  </property>
  <property fmtid="{D5CDD505-2E9C-101B-9397-08002B2CF9AE}" pid="12" name="MSIP_Label_38f1469a-2c2a-4aee-b92b-090d4c5468ff_Name">
    <vt:lpwstr>Confidential - Unmarked</vt:lpwstr>
  </property>
  <property fmtid="{D5CDD505-2E9C-101B-9397-08002B2CF9AE}" pid="13" name="MSIP_Label_38f1469a-2c2a-4aee-b92b-090d4c5468ff_SiteId">
    <vt:lpwstr>2a6e6092-73e4-4752-b1a5-477a17f5056d</vt:lpwstr>
  </property>
  <property fmtid="{D5CDD505-2E9C-101B-9397-08002B2CF9AE}" pid="14" name="MSIP_Label_38f1469a-2c2a-4aee-b92b-090d4c5468ff_ActionId">
    <vt:lpwstr>854a5981-fd52-457e-946a-1ec0fb666f8b</vt:lpwstr>
  </property>
  <property fmtid="{D5CDD505-2E9C-101B-9397-08002B2CF9AE}" pid="15" name="MSIP_Label_38f1469a-2c2a-4aee-b92b-090d4c5468ff_ContentBits">
    <vt:lpwstr>0</vt:lpwstr>
  </property>
</Properties>
</file>