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5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tbl>
      <w:tblPr>
        <w:tblOverlap w:val="never"/>
        <w:jc w:val="left"/>
        <w:tblLayout w:type="fixed"/>
      </w:tblPr>
      <w:tblGrid>
        <w:gridCol w:w="2035"/>
        <w:gridCol w:w="6307"/>
      </w:tblGrid>
      <w:tr>
        <w:trPr>
          <w:trHeight w:val="61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2080" w:right="0" w:firstLine="0"/>
              <w:jc w:val="left"/>
            </w:pPr>
            <w:r>
              <w:rPr>
                <w:b/>
                <w:bCs/>
                <w:color w:val="000000"/>
                <w:spacing w:val="0"/>
                <w:w w:val="100"/>
                <w:position w:val="0"/>
                <w:shd w:val="clear" w:color="auto" w:fill="auto"/>
                <w:lang w:val="cs-CZ" w:eastAsia="cs-CZ" w:bidi="cs-CZ"/>
              </w:rPr>
              <w:t>Článek 1</w:t>
            </w:r>
          </w:p>
          <w:p>
            <w:pPr>
              <w:pStyle w:val="Style15"/>
              <w:keepNext w:val="0"/>
              <w:keepLines w:val="0"/>
              <w:widowControl w:val="0"/>
              <w:shd w:val="clear" w:color="auto" w:fill="auto"/>
              <w:bidi w:val="0"/>
              <w:spacing w:before="0" w:after="0" w:line="240" w:lineRule="auto"/>
              <w:ind w:left="1780" w:right="0" w:firstLine="0"/>
              <w:jc w:val="left"/>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 xml:space="preserve">(dále jen kupující) </w:t>
      </w:r>
      <w:r>
        <w:rPr>
          <w:b/>
          <w:bCs/>
          <w:color w:val="000000"/>
          <w:spacing w:val="0"/>
          <w:w w:val="100"/>
          <w:position w:val="0"/>
          <w:shd w:val="clear" w:color="auto" w:fill="auto"/>
          <w:lang w:val="cs-CZ" w:eastAsia="cs-CZ" w:bidi="cs-CZ"/>
        </w:rPr>
        <w:t>a</w:t>
      </w:r>
    </w:p>
    <w:p>
      <w:pPr>
        <w:widowControl w:val="0"/>
        <w:spacing w:after="339" w:line="1" w:lineRule="exact"/>
      </w:pPr>
    </w:p>
    <w:p>
      <w:pPr>
        <w:widowControl w:val="0"/>
        <w:spacing w:line="1" w:lineRule="exact"/>
      </w:pPr>
    </w:p>
    <w:p>
      <w:pPr>
        <w:pStyle w:val="Style12"/>
        <w:keepNext w:val="0"/>
        <w:keepLines w:val="0"/>
        <w:widowControl w:val="0"/>
        <w:shd w:val="clear" w:color="auto" w:fill="auto"/>
        <w:bidi w:val="0"/>
        <w:spacing w:before="0" w:after="0" w:line="54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35"/>
        <w:gridCol w:w="6302"/>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Objízdná 1628, 765 02 Otrokovice</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Markem Galetkou, ved.odd. FleetPartner, na základě plné moci</w:t>
            </w:r>
          </w:p>
        </w:tc>
      </w:tr>
    </w:tbl>
    <w:p>
      <w:pPr>
        <w:pStyle w:val="Style12"/>
        <w:keepNext w:val="0"/>
        <w:keepLines w:val="0"/>
        <w:widowControl w:val="0"/>
        <w:shd w:val="clear" w:color="auto" w:fill="auto"/>
        <w:tabs>
          <w:tab w:pos="2098" w:val="left"/>
        </w:tabs>
        <w:bidi w:val="0"/>
        <w:spacing w:before="0" w:after="0"/>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 IČO:</w:t>
        <w:tab/>
        <w:t>41193598</w:t>
      </w:r>
    </w:p>
    <w:p>
      <w:pPr>
        <w:pStyle w:val="Style12"/>
        <w:keepNext w:val="0"/>
        <w:keepLines w:val="0"/>
        <w:widowControl w:val="0"/>
        <w:shd w:val="clear" w:color="auto" w:fill="auto"/>
        <w:tabs>
          <w:tab w:pos="2098" w:val="left"/>
        </w:tabs>
        <w:bidi w:val="0"/>
        <w:spacing w:before="0" w:after="0"/>
        <w:ind w:left="0" w:right="0" w:firstLine="0"/>
        <w:jc w:val="left"/>
      </w:pPr>
      <w:r>
        <w:rPr>
          <w:color w:val="000000"/>
          <w:spacing w:val="0"/>
          <w:w w:val="100"/>
          <w:position w:val="0"/>
          <w:shd w:val="clear" w:color="auto" w:fill="auto"/>
          <w:lang w:val="cs-CZ" w:eastAsia="cs-CZ" w:bidi="cs-CZ"/>
        </w:rPr>
        <w:t>DIČ:</w:t>
        <w:tab/>
        <w:t>CZ41193598</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(dále jen prodávající)</w:t>
      </w:r>
    </w:p>
    <w:p>
      <w:pPr>
        <w:widowControl w:val="0"/>
        <w:spacing w:after="159" w:line="1" w:lineRule="exact"/>
      </w:pPr>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2022 - 2025</w:t>
      </w:r>
      <w:r>
        <w:rPr>
          <w:color w:val="000000"/>
          <w:spacing w:val="0"/>
          <w:w w:val="100"/>
          <w:position w:val="0"/>
          <w:shd w:val="clear" w:color="auto" w:fill="auto"/>
          <w:lang w:val="cs-CZ" w:eastAsia="cs-CZ" w:bidi="cs-CZ"/>
        </w:rPr>
        <w:t xml:space="preserve"> uzavírají níže uvedeného dne, měsíce a roku tuto</w:t>
      </w:r>
    </w:p>
    <w:p>
      <w:pPr>
        <w:pStyle w:val="Style20"/>
        <w:keepNext/>
        <w:keepLines/>
        <w:widowControl w:val="0"/>
        <w:shd w:val="clear" w:color="auto" w:fill="auto"/>
        <w:bidi w:val="0"/>
        <w:spacing w:before="0" w:line="276"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Kupní smlouvu (dále jen „smlouva“),</w:t>
      </w:r>
      <w:bookmarkEnd w:id="2"/>
      <w:bookmarkEnd w:id="3"/>
    </w:p>
    <w:p>
      <w:pPr>
        <w:pStyle w:val="Style2"/>
        <w:keepNext w:val="0"/>
        <w:keepLines w:val="0"/>
        <w:widowControl w:val="0"/>
        <w:shd w:val="clear" w:color="auto" w:fill="auto"/>
        <w:bidi w:val="0"/>
        <w:spacing w:before="0" w:after="46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0"/>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plnění</w:t>
      </w:r>
      <w:bookmarkEnd w:id="4"/>
      <w:bookmarkEnd w:id="5"/>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 V1_063/065/067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přílohám V1_063/065/067 </w:t>
      </w:r>
      <w:r>
        <w:rPr>
          <w:color w:val="000000"/>
          <w:spacing w:val="0"/>
          <w:w w:val="100"/>
          <w:position w:val="0"/>
          <w:shd w:val="clear" w:color="auto" w:fill="auto"/>
          <w:lang w:val="cs-CZ" w:eastAsia="cs-CZ" w:bidi="cs-CZ"/>
        </w:rPr>
        <w:t>a nabídce prodávajícího.</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1/2021 až 2023.</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Všechny pneumatiky, které budou dodávány kupujícímu, musí plnit standardy požadované Evropskou unií ve znění nařízení Evropského parlamentu a Rady (EU) 2020/740 ze dne 25. května 2020 o označování pneumatik s ohledem na palivovou účinnost a jiné parametry v platném znění.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0"/>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je sjednán následovně:</w:t>
      </w:r>
    </w:p>
    <w:tbl>
      <w:tblPr>
        <w:tblOverlap w:val="never"/>
        <w:jc w:val="right"/>
        <w:tblLayout w:type="fixed"/>
      </w:tblPr>
      <w:tblGrid>
        <w:gridCol w:w="2381"/>
        <w:gridCol w:w="1704"/>
        <w:gridCol w:w="1699"/>
        <w:gridCol w:w="1704"/>
        <w:gridCol w:w="1104"/>
      </w:tblGrid>
      <w:tr>
        <w:trPr>
          <w:trHeight w:val="59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104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DNS063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Havlíčkův Brod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49 253,40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10 343,21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59 596,61</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V1_063</w:t>
            </w:r>
          </w:p>
        </w:tc>
      </w:tr>
      <w:tr>
        <w:trPr>
          <w:trHeight w:val="82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DNS065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Pelhřimov - POA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2 444,00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513,24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2 957,24</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V1_065</w:t>
            </w:r>
          </w:p>
        </w:tc>
      </w:tr>
      <w:tr>
        <w:trPr>
          <w:trHeight w:val="106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DNS067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Žďár nad Sázavou - POA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9 059,50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1 902,50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10 962,00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V1_067</w:t>
            </w:r>
          </w:p>
        </w:tc>
      </w:tr>
    </w:tbl>
    <w:p>
      <w:pPr>
        <w:widowControl w:val="0"/>
        <w:spacing w:after="339" w:line="1" w:lineRule="exact"/>
      </w:pP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odevzdání a převzetí zboží</w:t>
      </w:r>
      <w:bookmarkEnd w:id="8"/>
      <w:bookmarkEnd w:id="9"/>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Místem plnění je cestmistrovství nebo středisko kupujícího tak, jak je uvedeno ve sloupci s názvem „Místo plnění“ v </w:t>
      </w:r>
      <w:r>
        <w:rPr>
          <w:b/>
          <w:bCs/>
          <w:color w:val="000000"/>
          <w:spacing w:val="0"/>
          <w:w w:val="100"/>
          <w:position w:val="0"/>
          <w:shd w:val="clear" w:color="auto" w:fill="auto"/>
          <w:lang w:val="cs-CZ" w:eastAsia="cs-CZ" w:bidi="cs-CZ"/>
        </w:rPr>
        <w:t>přílohách V1_063/065/067</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plnění</w:t>
      </w:r>
      <w:bookmarkEnd w:id="10"/>
      <w:bookmarkEnd w:id="11"/>
    </w:p>
    <w:p>
      <w:pPr>
        <w:pStyle w:val="Style2"/>
        <w:keepNext w:val="0"/>
        <w:keepLines w:val="0"/>
        <w:widowControl w:val="0"/>
        <w:numPr>
          <w:ilvl w:val="0"/>
          <w:numId w:val="7"/>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podmínky</w:t>
      </w:r>
      <w:bookmarkEnd w:id="12"/>
      <w:bookmarkEnd w:id="13"/>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Kupující přijímá i elektronické faktury, a to ve formátech XML nebo PDF. V takovém případě je prodávajícví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b/>
          <w:bCs/>
          <w:color w:val="0000FF"/>
          <w:spacing w:val="0"/>
          <w:w w:val="100"/>
          <w:position w:val="0"/>
          <w:sz w:val="18"/>
          <w:szCs w:val="18"/>
          <w:u w:val="single"/>
          <w:shd w:val="clear" w:color="auto" w:fill="auto"/>
          <w:lang w:val="en-US" w:eastAsia="en-US" w:bidi="en-US"/>
        </w:rPr>
        <w:t>ksusv@ksusv.cz</w:t>
      </w:r>
      <w:r>
        <w:rPr>
          <w:b/>
          <w:bCs/>
          <w:color w:val="0000FF"/>
          <w:spacing w:val="0"/>
          <w:w w:val="100"/>
          <w:position w:val="0"/>
          <w:sz w:val="18"/>
          <w:szCs w:val="18"/>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9"/>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Povinnosti prodávajícího</w:t>
      </w:r>
      <w:bookmarkEnd w:id="14"/>
      <w:bookmarkEnd w:id="15"/>
    </w:p>
    <w:p>
      <w:pPr>
        <w:pStyle w:val="Style2"/>
        <w:keepNext w:val="0"/>
        <w:keepLines w:val="0"/>
        <w:widowControl w:val="0"/>
        <w:numPr>
          <w:ilvl w:val="0"/>
          <w:numId w:val="11"/>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Prodávající je po celou dobu trvání smlouvy povinen splňovat všechny kvalifikační předpoklady bezprostředně související s realizací této smlouvy, které byly požadovány v </w:t>
      </w:r>
      <w:r>
        <w:rPr>
          <w:color w:val="000000"/>
          <w:spacing w:val="0"/>
          <w:w w:val="100"/>
          <w:position w:val="0"/>
          <w:shd w:val="clear" w:color="auto" w:fill="auto"/>
          <w:lang w:val="cs-CZ" w:eastAsia="cs-CZ" w:bidi="cs-CZ"/>
        </w:rPr>
        <w:t>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0"/>
        <w:keepNext/>
        <w:keepLines/>
        <w:widowControl w:val="0"/>
        <w:shd w:val="clear" w:color="auto" w:fill="auto"/>
        <w:bidi w:val="0"/>
        <w:spacing w:before="0" w:after="12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Záruky kvality, odpovědnost za vady</w:t>
      </w:r>
      <w:bookmarkEnd w:id="16"/>
      <w:bookmarkEnd w:id="17"/>
    </w:p>
    <w:p>
      <w:pPr>
        <w:pStyle w:val="Style2"/>
        <w:keepNext w:val="0"/>
        <w:keepLines w:val="0"/>
        <w:widowControl w:val="0"/>
        <w:numPr>
          <w:ilvl w:val="0"/>
          <w:numId w:val="13"/>
        </w:numPr>
        <w:shd w:val="clear" w:color="auto" w:fill="auto"/>
        <w:tabs>
          <w:tab w:pos="70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70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3"/>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Prodávající na sebe vždy přebírá veškerou odpovědnost za to, že jím dodané pneumatiky jsou v bezvadném stavu, jsou řádně homologované, plní veškeré technické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je kupující oprávněn požadovat po prodávajícím náhradu škody vzniklé deinstalací a výměnou veškerých dotčených pneumatik nevyhovujících požadovaným nebo deklarovaným parametrům. V návaznosti na tuto skutečnost je prodávající dále povinen kupujícímu uhradit 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prodávající zaplatí kupujícímu na základě výzvy kupujícího, a to nejpozději do 21 dnů ode dne doručení výzvy.</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after="12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2"/>
        <w:keepNext w:val="0"/>
        <w:keepLines w:val="0"/>
        <w:widowControl w:val="0"/>
        <w:numPr>
          <w:ilvl w:val="0"/>
          <w:numId w:val="1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5"/>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after="12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Ostatní ustanovení</w:t>
      </w:r>
      <w:bookmarkEnd w:id="20"/>
      <w:bookmarkEnd w:id="21"/>
    </w:p>
    <w:p>
      <w:pPr>
        <w:pStyle w:val="Style2"/>
        <w:keepNext w:val="0"/>
        <w:keepLines w:val="0"/>
        <w:widowControl w:val="0"/>
        <w:numPr>
          <w:ilvl w:val="0"/>
          <w:numId w:val="17"/>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7"/>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dojde-li ze strany prodávajícího k porušení ustanovení dle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7"/>
        </w:numPr>
        <w:shd w:val="clear" w:color="auto" w:fill="auto"/>
        <w:tabs>
          <w:tab w:pos="706" w:val="left"/>
        </w:tabs>
        <w:bidi w:val="0"/>
        <w:spacing w:before="0" w:after="540" w:line="276" w:lineRule="auto"/>
        <w:ind w:left="720" w:right="0" w:hanging="720"/>
        <w:jc w:val="both"/>
      </w:pPr>
      <w:r>
        <w:rPr>
          <w:color w:val="000000"/>
          <w:spacing w:val="0"/>
          <w:w w:val="100"/>
          <w:position w:val="0"/>
          <w:shd w:val="clear" w:color="auto" w:fill="auto"/>
          <w:lang w:val="cs-CZ" w:eastAsia="cs-CZ" w:bidi="cs-CZ"/>
        </w:rPr>
        <w:t>V případě, že v období mezi uzavřením smlouvy po realizaci dodávky dojde na trhu pneumatik v EU k situaci, že konkrétní pneumatika v požadovaném množství nebude k dispozici, je dodavatel oprávněn toto nedostupné množství nahradit jinou pneumatikou. Přičemž platí, že tato nová pneumatika bude odpovídat specifikaci uvedené v příloze V1 pro danou položku, bude mít stejné nebo lepší parametry, cena zůstane stejná nebo nižší. Prodávající je povinen při zjištění této skutečnosti neprodleně písemně informovat kupujícího. Kupující si vyhrazuje právo, ze závažných důvodů, s touto změnou nesouhlasit.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ustanovení</w:t>
      </w:r>
      <w:bookmarkEnd w:id="22"/>
      <w:bookmarkEnd w:id="23"/>
    </w:p>
    <w:p>
      <w:pPr>
        <w:pStyle w:val="Style2"/>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06"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147"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shd w:val="clear" w:color="auto" w:fill="auto"/>
        <w:bidi w:val="0"/>
        <w:spacing w:before="0" w:after="540" w:line="240" w:lineRule="auto"/>
        <w:ind w:left="720" w:right="0" w:hanging="720"/>
        <w:jc w:val="both"/>
      </w:pPr>
      <w:r>
        <w:rPr>
          <w:b/>
          <w:bCs/>
          <w:color w:val="000000"/>
          <w:spacing w:val="0"/>
          <w:w w:val="100"/>
          <w:position w:val="0"/>
          <w:shd w:val="clear" w:color="auto" w:fill="auto"/>
          <w:lang w:val="cs-CZ" w:eastAsia="cs-CZ" w:bidi="cs-CZ"/>
        </w:rPr>
        <w:t xml:space="preserve">11.3. </w:t>
      </w: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10.6. písm. f.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0"/>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20"/>
        <w:keepNext/>
        <w:keepLines/>
        <w:widowControl w:val="0"/>
        <w:numPr>
          <w:ilvl w:val="0"/>
          <w:numId w:val="25"/>
        </w:numPr>
        <w:shd w:val="clear" w:color="auto" w:fill="auto"/>
        <w:tabs>
          <w:tab w:pos="706" w:val="left"/>
        </w:tabs>
        <w:bidi w:val="0"/>
        <w:spacing w:before="0" w:line="240" w:lineRule="auto"/>
        <w:ind w:left="720" w:right="0" w:hanging="720"/>
        <w:jc w:val="both"/>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 pozdějších předpisů.</w:t>
      </w:r>
      <w:bookmarkEnd w:id="26"/>
      <w:bookmarkEnd w:id="27"/>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b/>
          <w:bCs/>
          <w:color w:val="000000"/>
          <w:spacing w:val="0"/>
          <w:w w:val="100"/>
          <w:position w:val="0"/>
          <w:shd w:val="clear" w:color="auto" w:fill="auto"/>
          <w:lang w:val="cs-CZ" w:eastAsia="cs-CZ" w:bidi="cs-CZ"/>
        </w:rPr>
        <w:t>Tato smlouva je vyhotovena v elektronické podobě, přičemž obě smluvní strany obdrží její elektronický originál.</w:t>
      </w:r>
      <w:r>
        <w:br w:type="page"/>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70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V1 </w:t>
      </w:r>
      <w:r>
        <w:rPr>
          <w:color w:val="000000"/>
          <w:spacing w:val="0"/>
          <w:w w:val="100"/>
          <w:position w:val="0"/>
          <w:shd w:val="clear" w:color="auto" w:fill="auto"/>
          <w:lang w:val="cs-CZ" w:eastAsia="cs-CZ" w:bidi="cs-CZ"/>
        </w:rPr>
        <w:t>se specifikací plnění.</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120" w:line="240" w:lineRule="auto"/>
        <w:ind w:left="0" w:right="0" w:firstLine="72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numPr>
          <w:ilvl w:val="0"/>
          <w:numId w:val="27"/>
        </w:numPr>
        <w:shd w:val="clear" w:color="auto" w:fill="auto"/>
        <w:tabs>
          <w:tab w:pos="1080" w:val="left"/>
        </w:tabs>
        <w:bidi w:val="0"/>
        <w:spacing w:before="0" w:after="120" w:line="223" w:lineRule="auto"/>
        <w:ind w:left="0" w:right="0" w:firstLine="720"/>
        <w:jc w:val="left"/>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2"/>
        <w:keepNext w:val="0"/>
        <w:keepLines w:val="0"/>
        <w:widowControl w:val="0"/>
        <w:numPr>
          <w:ilvl w:val="0"/>
          <w:numId w:val="27"/>
        </w:numPr>
        <w:shd w:val="clear" w:color="auto" w:fill="auto"/>
        <w:tabs>
          <w:tab w:pos="1080" w:val="left"/>
        </w:tabs>
        <w:bidi w:val="0"/>
        <w:spacing w:before="0" w:after="1480" w:line="223" w:lineRule="auto"/>
        <w:ind w:left="0" w:right="0" w:firstLine="720"/>
        <w:jc w:val="both"/>
      </w:pPr>
      <w:r>
        <w:rPr>
          <w:color w:val="000000"/>
          <w:spacing w:val="0"/>
          <w:w w:val="100"/>
          <w:position w:val="0"/>
          <w:shd w:val="clear" w:color="auto" w:fill="auto"/>
          <w:lang w:val="cs-CZ" w:eastAsia="cs-CZ" w:bidi="cs-CZ"/>
        </w:rPr>
        <w:t>Technické a množstevní specifikace (Přílohy V1_063/065/067)</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2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3897630</wp:posOffset>
                </wp:positionH>
                <wp:positionV relativeFrom="paragraph">
                  <wp:posOffset>12700</wp:posOffset>
                </wp:positionV>
                <wp:extent cx="1438910" cy="173990"/>
                <wp:wrapSquare wrapText="left"/>
                <wp:docPr id="1" name="Shape 1"/>
                <a:graphic xmlns:a="http://schemas.openxmlformats.org/drawingml/2006/main">
                  <a:graphicData uri="http://schemas.microsoft.com/office/word/2010/wordprocessingShape">
                    <wps:wsp>
                      <wps:cNvSpPr txBox="1"/>
                      <wps:spPr>
                        <a:xfrm>
                          <a:ext cx="14389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6.89999999999998pt;margin-top:1.pt;width:113.3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rPr>
          <w:color w:val="000000"/>
          <w:spacing w:val="0"/>
          <w:w w:val="100"/>
          <w:position w:val="0"/>
          <w:shd w:val="clear" w:color="auto" w:fill="auto"/>
          <w:lang w:val="cs-CZ" w:eastAsia="cs-CZ" w:bidi="cs-CZ"/>
        </w:rPr>
        <w:t>V Otrokovicích dne: viz podpis</w:t>
      </w:r>
    </w:p>
    <w:p>
      <w:pPr>
        <w:widowControl w:val="0"/>
        <w:spacing w:line="1" w:lineRule="exact"/>
        <w:sectPr>
          <w:headerReference w:type="default" r:id="rId5"/>
          <w:footerReference w:type="default" r:id="rId6"/>
          <w:footnotePr>
            <w:pos w:val="pageBottom"/>
            <w:numFmt w:val="decimal"/>
            <w:numRestart w:val="continuous"/>
          </w:footnotePr>
          <w:pgSz w:w="11900" w:h="16840"/>
          <w:pgMar w:top="1100" w:left="1347" w:right="1322" w:bottom="1662" w:header="0" w:footer="3" w:gutter="0"/>
          <w:pgNumType w:start="1"/>
          <w:cols w:space="720"/>
          <w:noEndnote/>
          <w:rtlGutter w:val="0"/>
          <w:docGrid w:linePitch="360"/>
        </w:sectPr>
      </w:pPr>
      <w:r>
        <mc:AlternateContent>
          <mc:Choice Requires="wps">
            <w:drawing>
              <wp:anchor distT="914400" distB="121920" distL="0" distR="0" simplePos="0" relativeHeight="125829380" behindDoc="0" locked="0" layoutInCell="1" allowOverlap="1">
                <wp:simplePos x="0" y="0"/>
                <wp:positionH relativeFrom="page">
                  <wp:posOffset>953135</wp:posOffset>
                </wp:positionH>
                <wp:positionV relativeFrom="paragraph">
                  <wp:posOffset>914400</wp:posOffset>
                </wp:positionV>
                <wp:extent cx="1965960" cy="445135"/>
                <wp:wrapTopAndBottom/>
                <wp:docPr id="9" name="Shape 9"/>
                <a:graphic xmlns:a="http://schemas.openxmlformats.org/drawingml/2006/main">
                  <a:graphicData uri="http://schemas.microsoft.com/office/word/2010/wordprocessingShape">
                    <wps:wsp>
                      <wps:cNvSpPr txBox="1"/>
                      <wps:spPr>
                        <a:xfrm>
                          <a:ext cx="1965960" cy="445135"/>
                        </a:xfrm>
                        <a:prstGeom prst="rect"/>
                        <a:noFill/>
                      </wps:spPr>
                      <wps:txbx>
                        <w:txbxContent>
                          <w:p>
                            <w:pPr>
                              <w:pStyle w:val="Style4"/>
                              <w:keepNext w:val="0"/>
                              <w:keepLines w:val="0"/>
                              <w:widowControl w:val="0"/>
                              <w:shd w:val="clear" w:color="auto" w:fill="auto"/>
                              <w:bidi w:val="0"/>
                              <w:spacing w:before="0" w:after="0" w:line="432"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wps:txbx>
                      <wps:bodyPr lIns="0" tIns="0" rIns="0" bIns="0">
                        <a:noAutoFit/>
                      </wps:bodyPr>
                    </wps:wsp>
                  </a:graphicData>
                </a:graphic>
              </wp:anchor>
            </w:drawing>
          </mc:Choice>
          <mc:Fallback>
            <w:pict>
              <v:shape id="_x0000_s1035" type="#_x0000_t202" style="position:absolute;margin-left:75.049999999999997pt;margin-top:72.pt;width:154.80000000000001pt;height:35.049999999999997pt;z-index:-125829373;mso-wrap-distance-left:0;mso-wrap-distance-top:72.pt;mso-wrap-distance-right:0;mso-wrap-distance-bottom:9.5999999999999996pt;mso-position-horizontal-relative:page" filled="f" stroked="f">
                <v:textbox inset="0,0,0,0">
                  <w:txbxContent>
                    <w:p>
                      <w:pPr>
                        <w:pStyle w:val="Style4"/>
                        <w:keepNext w:val="0"/>
                        <w:keepLines w:val="0"/>
                        <w:widowControl w:val="0"/>
                        <w:shd w:val="clear" w:color="auto" w:fill="auto"/>
                        <w:bidi w:val="0"/>
                        <w:spacing w:before="0" w:after="0" w:line="432"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v:textbox>
                <w10:wrap type="topAndBottom" anchorx="page"/>
              </v:shape>
            </w:pict>
          </mc:Fallback>
        </mc:AlternateContent>
      </w:r>
      <w:r>
        <mc:AlternateContent>
          <mc:Choice Requires="wps">
            <w:drawing>
              <wp:anchor distT="914400" distB="0" distL="0" distR="0" simplePos="0" relativeHeight="125829382" behindDoc="0" locked="0" layoutInCell="1" allowOverlap="1">
                <wp:simplePos x="0" y="0"/>
                <wp:positionH relativeFrom="page">
                  <wp:posOffset>3897630</wp:posOffset>
                </wp:positionH>
                <wp:positionV relativeFrom="paragraph">
                  <wp:posOffset>914400</wp:posOffset>
                </wp:positionV>
                <wp:extent cx="1856105" cy="567055"/>
                <wp:wrapTopAndBottom/>
                <wp:docPr id="11" name="Shape 11"/>
                <a:graphic xmlns:a="http://schemas.openxmlformats.org/drawingml/2006/main">
                  <a:graphicData uri="http://schemas.microsoft.com/office/word/2010/wordprocessingShape">
                    <wps:wsp>
                      <wps:cNvSpPr txBox="1"/>
                      <wps:spPr>
                        <a:xfrm>
                          <a:ext cx="1856105" cy="567055"/>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306.89999999999998pt;margin-top:72.pt;width:146.15000000000001pt;height:44.649999999999999pt;z-index:-125829371;mso-wrap-distance-left:0;mso-wrap-distance-top:72.pt;mso-wrap-distance-right:0;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type="topAndBottom" anchorx="page"/>
              </v:shape>
            </w:pict>
          </mc:Fallback>
        </mc:AlternateContent>
      </w:r>
    </w:p>
    <w:p>
      <w:pPr>
        <w:pStyle w:val="Style4"/>
        <w:keepNext w:val="0"/>
        <w:keepLines w:val="0"/>
        <w:widowControl w:val="0"/>
        <w:shd w:val="clear" w:color="auto" w:fill="auto"/>
        <w:bidi w:val="0"/>
        <w:spacing w:before="0" w:after="72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6"/>
        <w:keepNext/>
        <w:keepLines/>
        <w:widowControl w:val="0"/>
        <w:shd w:val="clear" w:color="auto" w:fill="auto"/>
        <w:bidi w:val="0"/>
        <w:spacing w:before="0" w:after="66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000" w:line="360" w:lineRule="auto"/>
        <w:ind w:left="720" w:right="0" w:hanging="720"/>
        <w:jc w:val="left"/>
      </w:pPr>
      <w:r>
        <w:rPr>
          <w:color w:val="000000"/>
          <w:spacing w:val="0"/>
          <w:w w:val="100"/>
          <w:position w:val="0"/>
          <w:shd w:val="clear" w:color="auto" w:fill="auto"/>
          <w:lang w:val="cs-CZ" w:eastAsia="cs-CZ" w:bidi="cs-CZ"/>
        </w:rPr>
        <w:t>Osobou pověřenou jednat jménem kupujícího ve věcech zpracování objednávky a k převzetí zboží: pro okresy</w:t>
      </w:r>
      <w:r>
        <w:rPr>
          <w:b/>
          <w:bCs/>
          <w:color w:val="000000"/>
          <w:spacing w:val="0"/>
          <w:w w:val="100"/>
          <w:position w:val="0"/>
          <w:shd w:val="clear" w:color="auto" w:fill="auto"/>
          <w:lang w:val="cs-CZ" w:eastAsia="cs-CZ" w:bidi="cs-CZ"/>
        </w:rPr>
        <w:t>: Havlíčkův Brod, Žďár nad Sázavou, Pelhřimov</w:t>
      </w:r>
    </w:p>
    <w:p>
      <w:pPr>
        <w:pStyle w:val="Style2"/>
        <w:keepNext w:val="0"/>
        <w:keepLines w:val="0"/>
        <w:widowControl w:val="0"/>
        <w:pBdr>
          <w:top w:val="single" w:sz="4" w:space="0" w:color="auto"/>
        </w:pBdr>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Prodávající:</w:t>
      </w:r>
    </w:p>
    <w:p>
      <w:pPr>
        <w:pStyle w:val="Style2"/>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cs-CZ" w:eastAsia="cs-CZ" w:bidi="cs-CZ"/>
        </w:rPr>
        <w:t>ContiTrade Services s.r.o.</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IČO: 41193598</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60" w:line="240" w:lineRule="auto"/>
        <w:ind w:left="0" w:right="0" w:firstLine="0"/>
        <w:jc w:val="both"/>
        <w:sectPr>
          <w:headerReference w:type="default" r:id="rId7"/>
          <w:footerReference w:type="default" r:id="rId8"/>
          <w:footnotePr>
            <w:pos w:val="pageBottom"/>
            <w:numFmt w:val="decimal"/>
            <w:numRestart w:val="continuous"/>
          </w:footnotePr>
          <w:type w:val="continuous"/>
          <w:pgSz w:w="11900" w:h="16840"/>
          <w:pgMar w:top="1100" w:left="1347" w:right="1322" w:bottom="1662" w:header="672" w:footer="1234" w:gutter="0"/>
          <w:cols w:space="720"/>
          <w:noEndnote/>
          <w:rtlGutter w:val="0"/>
          <w:docGrid w:linePitch="360"/>
        </w:sectPr>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w:t>
      </w:r>
      <w:r>
        <w:rPr>
          <w:i/>
          <w:iCs/>
          <w:color w:val="000000"/>
          <w:spacing w:val="0"/>
          <w:w w:val="100"/>
          <w:position w:val="0"/>
          <w:shd w:val="clear" w:color="auto" w:fill="auto"/>
          <w:lang w:val="cs-CZ" w:eastAsia="cs-CZ" w:bidi="cs-CZ"/>
        </w:rPr>
        <w:t>(bude doplněno nejpozději před podpisem smlouvy)</w:t>
      </w:r>
    </w:p>
    <w:p>
      <w:pPr>
        <w:pStyle w:val="Style26"/>
        <w:keepNext w:val="0"/>
        <w:keepLines w:val="0"/>
        <w:widowControl w:val="0"/>
        <w:pBdr>
          <w:top w:val="single" w:sz="4" w:space="2" w:color="FCE5D7"/>
          <w:left w:val="single" w:sz="4" w:space="0" w:color="FCE5D7"/>
          <w:bottom w:val="single" w:sz="4" w:space="3" w:color="FCE5D7"/>
          <w:right w:val="single" w:sz="4" w:space="0" w:color="FCE5D7"/>
        </w:pBdr>
        <w:shd w:val="clear" w:color="auto" w:fill="FCE5D7"/>
        <w:bidi w:val="0"/>
        <w:spacing w:before="0" w:after="122" w:line="240" w:lineRule="auto"/>
        <w:ind w:left="2140" w:right="0" w:firstLine="0"/>
        <w:jc w:val="left"/>
      </w:pPr>
      <w:r>
        <w:rPr>
          <w:b/>
          <w:bCs/>
          <w:color w:val="000000"/>
          <w:spacing w:val="0"/>
          <w:w w:val="100"/>
          <w:position w:val="0"/>
          <w:shd w:val="clear" w:color="auto" w:fill="auto"/>
          <w:lang w:val="cs-CZ" w:eastAsia="cs-CZ" w:bidi="cs-CZ"/>
        </w:rPr>
        <w:t>Technická a množstevní specifikace pneumatik pro osobní automobily a dodávky (POA)</w:t>
      </w:r>
    </w:p>
    <w:tbl>
      <w:tblPr>
        <w:tblOverlap w:val="never"/>
        <w:jc w:val="center"/>
        <w:tblLayout w:type="fixed"/>
      </w:tblPr>
      <w:tblGrid>
        <w:gridCol w:w="365"/>
        <w:gridCol w:w="1032"/>
        <w:gridCol w:w="2362"/>
        <w:gridCol w:w="4632"/>
        <w:gridCol w:w="734"/>
        <w:gridCol w:w="730"/>
        <w:gridCol w:w="1166"/>
        <w:gridCol w:w="955"/>
        <w:gridCol w:w="2616"/>
      </w:tblGrid>
      <w:tr>
        <w:trPr>
          <w:trHeight w:val="379"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760" w:right="0" w:firstLine="0"/>
              <w:jc w:val="left"/>
              <w:rPr>
                <w:sz w:val="12"/>
                <w:szCs w:val="12"/>
              </w:rPr>
            </w:pPr>
            <w:r>
              <w:rPr>
                <w:b/>
                <w:bCs/>
                <w:color w:val="000000"/>
                <w:spacing w:val="0"/>
                <w:w w:val="100"/>
                <w:position w:val="0"/>
                <w:sz w:val="12"/>
                <w:szCs w:val="12"/>
                <w:shd w:val="clear" w:color="auto" w:fill="auto"/>
                <w:lang w:val="cs-CZ" w:eastAsia="cs-CZ" w:bidi="cs-CZ"/>
              </w:rPr>
              <w:t>Cestmistrovství v okrese Havlíčkův Brod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34351100-3</w:t>
            </w:r>
          </w:p>
        </w:tc>
        <w:tc>
          <w:tcPr>
            <w:gridSpan w:val="2"/>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980"/>
              <w:jc w:val="left"/>
              <w:rPr>
                <w:sz w:val="11"/>
                <w:szCs w:val="11"/>
              </w:rPr>
            </w:pPr>
            <w:r>
              <w:rPr>
                <w:b/>
                <w:bCs/>
                <w:color w:val="000000"/>
                <w:spacing w:val="0"/>
                <w:w w:val="100"/>
                <w:position w:val="0"/>
                <w:sz w:val="11"/>
                <w:szCs w:val="11"/>
                <w:shd w:val="clear" w:color="auto" w:fill="auto"/>
                <w:lang w:val="cs-CZ" w:eastAsia="cs-CZ" w:bidi="cs-CZ"/>
              </w:rPr>
              <w:t>Příloha V1_063</w:t>
            </w:r>
          </w:p>
        </w:tc>
      </w:tr>
      <w:tr>
        <w:trPr>
          <w:trHeight w:val="293" w:hRule="exact"/>
        </w:trPr>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gridSpan w:val="3"/>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w:t>
            </w:r>
          </w:p>
        </w:tc>
        <w:tc>
          <w:tcPr>
            <w:gridSpan w:val="2"/>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tcBorders>
              <w:top w:val="single" w:sz="4"/>
              <w:left w:val="single" w:sz="4"/>
              <w:right w:val="single" w:sz="4"/>
            </w:tcBorders>
            <w:shd w:val="clear" w:color="auto" w:fill="FCE5D7"/>
            <w:vAlign w:val="top"/>
          </w:tcPr>
          <w:p>
            <w:pPr>
              <w:widowControl w:val="0"/>
              <w:rPr>
                <w:sz w:val="10"/>
                <w:szCs w:val="10"/>
              </w:rPr>
            </w:pPr>
          </w:p>
        </w:tc>
      </w:tr>
      <w:tr>
        <w:trPr>
          <w:trHeight w:val="835" w:hRule="exact"/>
        </w:trPr>
        <w:tc>
          <w:tcPr>
            <w:tcBorders>
              <w:left w:val="single" w:sz="4"/>
            </w:tcBorders>
            <w:shd w:val="clear" w:color="auto" w:fill="FCE5D7"/>
            <w:vAlign w:val="top"/>
          </w:tcPr>
          <w:p>
            <w:pPr>
              <w:pStyle w:val="Style15"/>
              <w:keepNext w:val="0"/>
              <w:keepLines w:val="0"/>
              <w:widowControl w:val="0"/>
              <w:shd w:val="clear" w:color="auto" w:fill="auto"/>
              <w:bidi w:val="0"/>
              <w:spacing w:before="14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specifikace hloubky dezénové drážky, typ dezénu)</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160"/>
              <w:jc w:val="left"/>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tcBorders>
              <w:left w:val="single" w:sz="4"/>
              <w:right w:val="single" w:sz="4"/>
            </w:tcBorders>
            <w:shd w:val="clear" w:color="auto" w:fill="FCE5D7"/>
            <w:vAlign w:val="top"/>
          </w:tcPr>
          <w:p>
            <w:pPr>
              <w:pStyle w:val="Style15"/>
              <w:keepNext w:val="0"/>
              <w:keepLines w:val="0"/>
              <w:widowControl w:val="0"/>
              <w:shd w:val="clear" w:color="auto" w:fill="auto"/>
              <w:bidi w:val="0"/>
              <w:spacing w:before="14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GAZELLE ANDORIA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175/75 R 16 C 101 / 99R TL, energetická štítek: valivý odpor "D", přilnavost na mokru "C", hlučnost do 72 dB, hmotnost od 10,7 kg</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1 677,79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10 066,74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Barum 175/75R16C 101/99R Vanis 8PR , 10mm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FIAT FIORINO</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185 / 65 R 15 88 T, TL energetický štítek: valivý odpor "B", přilnavost na mokru "A", hlučnost do 70dB, hmotnost od 7,08 kg, výška dezénu od 6,9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1 456,68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5 826,72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185/65R15*T ULTRACONTACT 88T , 7mm</w:t>
            </w:r>
          </w:p>
        </w:tc>
      </w:tr>
      <w:tr>
        <w:trPr>
          <w:trHeight w:val="5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DAILY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195/75R16C 110/108R, TL, energetický štítek: valivý odpor B, přilnavost na mokru B, hlučnost do</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72 dB, hmotnost do 12,91 kg, výška dezénu od 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2 216,29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4 432,58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195/75R16C 110/108R VanContact Ultra 10PR , 9,1mm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DAILY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195/75R16C 110/108R, TL, energetický štítek: valivý odpor B, přilnavost na mokru B, hlučnost do</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72 dB, hmotnost do 12,91 kg, výška dezénu od 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2 216,29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8 865,16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195/75R16C 110/108R VanContact Ultra 10PR , 9,1mm</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 Pláckách 1302,</w:t>
            </w:r>
          </w:p>
          <w:p>
            <w:pPr>
              <w:pStyle w:val="Style15"/>
              <w:keepNext w:val="0"/>
              <w:keepLines w:val="0"/>
              <w:widowControl w:val="0"/>
              <w:shd w:val="clear" w:color="auto" w:fill="auto"/>
              <w:bidi w:val="0"/>
              <w:spacing w:before="0" w:after="0" w:line="271"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584 01 Ledeč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Peugeot Partner Tepee 1,6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both"/>
              <w:rPr>
                <w:sz w:val="10"/>
                <w:szCs w:val="10"/>
              </w:rPr>
            </w:pPr>
            <w:r>
              <w:rPr>
                <w:color w:val="000000"/>
                <w:spacing w:val="0"/>
                <w:w w:val="100"/>
                <w:position w:val="0"/>
                <w:sz w:val="10"/>
                <w:szCs w:val="10"/>
                <w:shd w:val="clear" w:color="auto" w:fill="auto"/>
                <w:lang w:val="cs-CZ" w:eastAsia="cs-CZ" w:bidi="cs-CZ"/>
              </w:rPr>
              <w:t>205/65 R15, 94TL , H ,energetický štítek: valivý odpor "B", přilnavost na mokru "A", hlučnost do 69 dB, hmotnost od 8,54 kg, výška dezénu od 6,9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2 438,88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0"/>
                <w:szCs w:val="10"/>
              </w:rPr>
            </w:pPr>
            <w:r>
              <w:rPr>
                <w:color w:val="000000"/>
                <w:spacing w:val="0"/>
                <w:w w:val="100"/>
                <w:position w:val="0"/>
                <w:sz w:val="10"/>
                <w:szCs w:val="10"/>
                <w:shd w:val="clear" w:color="auto" w:fill="auto"/>
                <w:lang w:val="cs-CZ" w:eastAsia="cs-CZ" w:bidi="cs-CZ"/>
              </w:rPr>
              <w:t>9 755,52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Contiental 205/65R15 94H UltraContact , 7mm</w:t>
            </w:r>
          </w:p>
        </w:tc>
      </w:tr>
      <w:tr>
        <w:trPr>
          <w:trHeight w:val="547"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both"/>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 Pláckách 1302,</w:t>
            </w:r>
          </w:p>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584 01 Ledeč nad Sázavou</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Peugeot Boxer 2,2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215/70R15C ,109/107, S, energetický štítek: valivý odpor "B", přilnavost na mokru "A", hlučnost do 71dB, hmotnost od 13,69 kg, výška dezénu od 9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580"/>
              <w:jc w:val="both"/>
              <w:rPr>
                <w:sz w:val="10"/>
                <w:szCs w:val="10"/>
              </w:rPr>
            </w:pPr>
            <w:r>
              <w:rPr>
                <w:color w:val="000000"/>
                <w:spacing w:val="0"/>
                <w:w w:val="100"/>
                <w:position w:val="0"/>
                <w:sz w:val="10"/>
                <w:szCs w:val="10"/>
                <w:shd w:val="clear" w:color="auto" w:fill="auto"/>
                <w:lang w:val="cs-CZ" w:eastAsia="cs-CZ" w:bidi="cs-CZ"/>
              </w:rPr>
              <w:t>2 576,67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both"/>
              <w:rPr>
                <w:sz w:val="10"/>
                <w:szCs w:val="10"/>
              </w:rPr>
            </w:pPr>
            <w:r>
              <w:rPr>
                <w:color w:val="000000"/>
                <w:spacing w:val="0"/>
                <w:w w:val="100"/>
                <w:position w:val="0"/>
                <w:sz w:val="10"/>
                <w:szCs w:val="10"/>
                <w:shd w:val="clear" w:color="auto" w:fill="auto"/>
                <w:lang w:val="cs-CZ" w:eastAsia="cs-CZ" w:bidi="cs-CZ"/>
              </w:rPr>
              <w:t>10 306,68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71"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215/70R15C*S VANCONTACT ULTRA 109/107S , 9,1mm</w:t>
            </w:r>
          </w:p>
        </w:tc>
      </w:tr>
    </w:tbl>
    <w:p>
      <w:pPr>
        <w:widowControl w:val="0"/>
        <w:spacing w:after="99" w:line="1" w:lineRule="exact"/>
      </w:pPr>
    </w:p>
    <w:tbl>
      <w:tblPr>
        <w:tblOverlap w:val="never"/>
        <w:jc w:val="left"/>
        <w:tblLayout w:type="fixed"/>
      </w:tblPr>
      <w:tblGrid>
        <w:gridCol w:w="3758"/>
        <w:gridCol w:w="5366"/>
        <w:gridCol w:w="730"/>
        <w:gridCol w:w="1166"/>
        <w:gridCol w:w="965"/>
      </w:tblGrid>
      <w:tr>
        <w:trPr>
          <w:trHeight w:val="600" w:hRule="exact"/>
        </w:trPr>
        <w:tc>
          <w:tcPr>
            <w:gridSpan w:val="2"/>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24</w:t>
            </w:r>
          </w:p>
        </w:tc>
        <w:tc>
          <w:tcPr>
            <w:tcBorders>
              <w:top w:val="single" w:sz="4"/>
              <w:left w:val="single" w:sz="4"/>
            </w:tcBorders>
            <w:shd w:val="clear" w:color="auto" w:fill="DDEBF6"/>
            <w:vAlign w:val="bottom"/>
          </w:tcPr>
          <w:p>
            <w:pPr>
              <w:pStyle w:val="Style15"/>
              <w:keepNext w:val="0"/>
              <w:keepLines w:val="0"/>
              <w:widowControl w:val="0"/>
              <w:shd w:val="clear" w:color="auto" w:fill="auto"/>
              <w:bidi w:val="0"/>
              <w:spacing w:before="0" w:after="0" w:line="276"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 xml:space="preserve">Nabídková cena za celkové množství bez DPH </w:t>
            </w:r>
            <w:r>
              <w:rPr>
                <w:color w:val="000000"/>
                <w:spacing w:val="0"/>
                <w:w w:val="100"/>
                <w:position w:val="0"/>
                <w:sz w:val="10"/>
                <w:szCs w:val="10"/>
                <w:shd w:val="clear" w:color="auto" w:fill="auto"/>
                <w:lang w:val="cs-CZ" w:eastAsia="cs-CZ" w:bidi="cs-CZ"/>
              </w:rPr>
              <w:t>(hodnotící kritérium)</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49 253,40 Kč</w:t>
            </w:r>
          </w:p>
        </w:tc>
      </w:tr>
      <w:tr>
        <w:trPr>
          <w:trHeight w:val="178" w:hRule="exact"/>
        </w:trPr>
        <w:tc>
          <w:tcPr>
            <w:gridSpan w:val="2"/>
            <w:tcBorders/>
            <w:shd w:val="clear" w:color="auto" w:fill="FFFFFF"/>
            <w:vAlign w:val="top"/>
          </w:tcPr>
          <w:p>
            <w:pPr>
              <w:widowControl w:val="0"/>
              <w:rPr>
                <w:sz w:val="10"/>
                <w:szCs w:val="10"/>
              </w:rPr>
            </w:pPr>
          </w:p>
        </w:tc>
        <w:tc>
          <w:tcPr>
            <w:gridSpan w:val="3"/>
            <w:tcBorders>
              <w:top w:val="single" w:sz="4"/>
              <w:right w:val="single" w:sz="4"/>
            </w:tcBorders>
            <w:shd w:val="clear" w:color="auto" w:fill="FFFFFF"/>
            <w:vAlign w:val="top"/>
          </w:tcPr>
          <w:p>
            <w:pPr>
              <w:widowControl w:val="0"/>
              <w:rPr>
                <w:sz w:val="10"/>
                <w:szCs w:val="10"/>
              </w:rPr>
            </w:pPr>
          </w:p>
        </w:tc>
      </w:tr>
      <w:tr>
        <w:trPr>
          <w:trHeight w:val="76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gridSpan w:val="4"/>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Zátěžový a rychlostní index je uváděn jako minimální hodnota.</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Enegetický štítek je uváděn v pořadí - spotřeba paliva úspora energie, přilnavost za mokra při brždění, vnější hluk. Hodnoty jsou maximální.</w:t>
            </w:r>
          </w:p>
        </w:tc>
      </w:tr>
    </w:tbl>
    <w:p>
      <w:pPr>
        <w:widowControl w:val="0"/>
        <w:spacing w:after="419" w:line="1" w:lineRule="exact"/>
      </w:pPr>
    </w:p>
    <w:p>
      <w:pPr>
        <w:pStyle w:val="Style12"/>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Použije se v případě, že se jedná o zimní pneumatiky:</w:t>
      </w:r>
    </w:p>
    <w:tbl>
      <w:tblPr>
        <w:tblOverlap w:val="never"/>
        <w:jc w:val="left"/>
        <w:tblLayout w:type="fixed"/>
      </w:tblPr>
      <w:tblGrid>
        <w:gridCol w:w="3758"/>
        <w:gridCol w:w="7262"/>
        <w:gridCol w:w="965"/>
      </w:tblGrid>
      <w:tr>
        <w:trPr>
          <w:trHeight w:val="624"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71" w:lineRule="auto"/>
              <w:ind w:left="0" w:right="0" w:firstLine="0"/>
              <w:jc w:val="both"/>
              <w:rPr>
                <w:sz w:val="10"/>
                <w:szCs w:val="10"/>
              </w:rPr>
            </w:pPr>
            <w:r>
              <w:rPr>
                <w:color w:val="000000"/>
                <w:spacing w:val="0"/>
                <w:w w:val="100"/>
                <w:position w:val="0"/>
                <w:sz w:val="10"/>
                <w:szCs w:val="10"/>
                <w:shd w:val="clear" w:color="auto" w:fill="auto"/>
                <w:lang w:val="cs-CZ" w:eastAsia="cs-CZ" w:bidi="cs-CZ"/>
              </w:rPr>
              <w:t>Všechny pneumatiky musí mít zimní dezén a na jejich bočnici je vyznačeno označení Alpským symbol,možný součastně se symbolem jízda na ledu, nebo MS. Pneumatiky jsou určeny pro provoz v zimním období dle § 40a odst. 1 zákona č. 361/2000 Sb., zákon o silničním provozu, v platném znění.</w:t>
            </w:r>
          </w:p>
        </w:tc>
        <w:tc>
          <w:tcPr>
            <w:tcBorders>
              <w:top w:val="single" w:sz="4"/>
              <w:left w:val="single" w:sz="4"/>
              <w:right w:val="single" w:sz="4"/>
            </w:tcBorders>
            <w:shd w:val="clear" w:color="auto" w:fill="FFFFFF"/>
            <w:vAlign w:val="top"/>
          </w:tcPr>
          <w:p>
            <w:pPr>
              <w:widowControl w:val="0"/>
              <w:rPr>
                <w:sz w:val="10"/>
                <w:szCs w:val="10"/>
              </w:rPr>
            </w:pPr>
          </w:p>
        </w:tc>
      </w:tr>
      <w:tr>
        <w:trPr>
          <w:trHeight w:val="979" w:hRule="exact"/>
        </w:trPr>
        <w:tc>
          <w:tcPr>
            <w:vMerge/>
            <w:tcBorders>
              <w:left w:val="single" w:sz="4"/>
              <w:bottom w:val="single" w:sz="4"/>
            </w:tcBorders>
            <w:shd w:val="clear" w:color="auto" w:fill="FFFFFF"/>
            <w:vAlign w:val="center"/>
          </w:tcPr>
          <w:p>
            <w:pPr/>
          </w:p>
        </w:tc>
        <w:tc>
          <w:tcPr>
            <w:gridSpan w:val="2"/>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tabs>
                <w:tab w:pos="7675" w:val="left"/>
              </w:tabs>
              <w:bidi w:val="0"/>
              <w:spacing w:before="0" w:after="0" w:line="264" w:lineRule="auto"/>
              <w:ind w:left="0" w:right="0" w:firstLine="0"/>
              <w:jc w:val="left"/>
              <w:rPr>
                <w:sz w:val="10"/>
                <w:szCs w:val="10"/>
              </w:rPr>
            </w:pPr>
            <w:r>
              <w:rPr>
                <w:color w:val="000000"/>
                <w:spacing w:val="0"/>
                <w:w w:val="100"/>
                <w:position w:val="0"/>
                <w:sz w:val="11"/>
                <w:szCs w:val="11"/>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117).Pneumatiky musí být určené pro</w:t>
              <w:tab/>
            </w:r>
            <w:r>
              <w:rPr>
                <w:color w:val="000000"/>
                <w:spacing w:val="0"/>
                <w:w w:val="100"/>
                <w:position w:val="0"/>
                <w:sz w:val="10"/>
                <w:szCs w:val="10"/>
                <w:shd w:val="clear" w:color="auto" w:fill="auto"/>
                <w:lang w:val="cs-CZ" w:eastAsia="cs-CZ" w:bidi="cs-CZ"/>
              </w:rPr>
              <w:t>A.</w:t>
            </w:r>
          </w:p>
          <w:p>
            <w:pPr>
              <w:pStyle w:val="Style15"/>
              <w:keepNext w:val="0"/>
              <w:keepLines w:val="0"/>
              <w:widowControl w:val="0"/>
              <w:shd w:val="clear" w:color="auto" w:fill="auto"/>
              <w:tabs>
                <w:tab w:pos="7522" w:val="left"/>
              </w:tabs>
              <w:bidi w:val="0"/>
              <w:spacing w:before="0" w:after="0" w:line="264" w:lineRule="auto"/>
              <w:ind w:left="0" w:right="0" w:firstLine="0"/>
              <w:jc w:val="left"/>
              <w:rPr>
                <w:sz w:val="13"/>
                <w:szCs w:val="13"/>
              </w:rPr>
            </w:pPr>
            <w:r>
              <w:rPr>
                <w:color w:val="000000"/>
                <w:spacing w:val="0"/>
                <w:w w:val="100"/>
                <w:position w:val="0"/>
                <w:sz w:val="11"/>
                <w:szCs w:val="11"/>
                <w:shd w:val="clear" w:color="auto" w:fill="auto"/>
                <w:lang w:val="cs-CZ" w:eastAsia="cs-CZ" w:bidi="cs-CZ"/>
              </w:rPr>
              <w:t>náročné sněhové podmínky.Pneumatika musí projít homologačním řízením dle předpisu ECK(EHK) a na její bočnici bude označení,,E"v</w:t>
              <w:tab/>
            </w:r>
            <w:r>
              <w:rPr>
                <w:smallCaps/>
                <w:color w:val="000000"/>
                <w:spacing w:val="0"/>
                <w:w w:val="100"/>
                <w:position w:val="0"/>
                <w:sz w:val="13"/>
                <w:szCs w:val="13"/>
                <w:shd w:val="clear" w:color="auto" w:fill="auto"/>
                <w:lang w:val="cs-CZ" w:eastAsia="cs-CZ" w:bidi="cs-CZ"/>
              </w:rPr>
              <w:t>/aHA</w:t>
            </w:r>
          </w:p>
          <w:p>
            <w:pPr>
              <w:pStyle w:val="Style15"/>
              <w:keepNext w:val="0"/>
              <w:keepLines w:val="0"/>
              <w:widowControl w:val="0"/>
              <w:shd w:val="clear" w:color="auto" w:fill="auto"/>
              <w:bidi w:val="0"/>
              <w:spacing w:before="0" w:after="0" w:line="264" w:lineRule="auto"/>
              <w:ind w:left="0" w:right="0" w:firstLine="0"/>
              <w:jc w:val="left"/>
              <w:rPr>
                <w:sz w:val="11"/>
                <w:szCs w:val="11"/>
              </w:rPr>
            </w:pPr>
            <w:r>
              <w:rPr>
                <w:color w:val="000000"/>
                <w:spacing w:val="0"/>
                <w:w w:val="100"/>
                <w:position w:val="0"/>
                <w:sz w:val="11"/>
                <w:szCs w:val="11"/>
                <w:shd w:val="clear" w:color="auto" w:fill="auto"/>
                <w:lang w:val="cs-CZ" w:eastAsia="cs-CZ" w:bidi="cs-CZ"/>
              </w:rPr>
              <w:t>kroužkuE1,E8,E42,E20,E17,E4,E2,E13,dále ke každému typu pneumatiky bude přiložen „INFORMAČNÍ LIST VÝROBKU,nebo TYPOVÝ LIST v Českém jazyce.</w:t>
            </w:r>
          </w:p>
        </w:tc>
      </w:tr>
    </w:tbl>
    <w:p>
      <w:pPr>
        <w:spacing w:lineRule="exact" w:line="1"/>
        <w:rPr>
          <w:sz w:val="2"/>
          <w:szCs w:val="2"/>
        </w:rPr>
      </w:pPr>
      <w:r>
        <w:br w:type="page"/>
      </w:r>
    </w:p>
    <w:p>
      <w:pPr>
        <w:widowControl w:val="0"/>
        <w:jc w:val="center"/>
        <w:rPr>
          <w:sz w:val="2"/>
          <w:szCs w:val="2"/>
        </w:rPr>
      </w:pPr>
      <w:r>
        <w:drawing>
          <wp:inline>
            <wp:extent cx="9265920" cy="401129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ext cx="9265920" cy="4011295"/>
                    </a:xfrm>
                    <a:prstGeom prst="rect"/>
                  </pic:spPr>
                </pic:pic>
              </a:graphicData>
            </a:graphic>
          </wp:inline>
        </w:drawing>
      </w:r>
      <w:r>
        <w:br w:type="page"/>
      </w:r>
    </w:p>
    <w:p>
      <w:pPr>
        <w:widowControl w:val="0"/>
        <w:jc w:val="center"/>
        <w:rPr>
          <w:sz w:val="2"/>
          <w:szCs w:val="2"/>
        </w:rPr>
      </w:pPr>
      <w:r>
        <w:drawing>
          <wp:inline>
            <wp:extent cx="9265920" cy="435229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pic:blipFill>
                  <pic:spPr>
                    <a:xfrm>
                      <a:ext cx="9265920" cy="4352290"/>
                    </a:xfrm>
                    <a:prstGeom prst="rect"/>
                  </pic:spPr>
                </pic:pic>
              </a:graphicData>
            </a:graphic>
          </wp:inline>
        </w:drawing>
      </w:r>
    </w:p>
    <w:sectPr>
      <w:footnotePr>
        <w:pos w:val="pageBottom"/>
        <w:numFmt w:val="decimal"/>
        <w:numRestart w:val="continuous"/>
      </w:footnotePr>
      <w:pgSz w:w="16840" w:h="11900" w:orient="landscape"/>
      <w:pgMar w:top="1149" w:left="1016" w:right="1232" w:bottom="1585" w:header="721" w:footer="115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3455670</wp:posOffset>
              </wp:positionH>
              <wp:positionV relativeFrom="page">
                <wp:posOffset>9708515</wp:posOffset>
              </wp:positionV>
              <wp:extent cx="621665" cy="91440"/>
              <wp:wrapNone/>
              <wp:docPr id="6" name="Shape 6"/>
              <a:graphic xmlns:a="http://schemas.openxmlformats.org/drawingml/2006/main">
                <a:graphicData uri="http://schemas.microsoft.com/office/word/2010/wordprocessingShape">
                  <wps:wsp>
                    <wps:cNvSpPr txBox="1"/>
                    <wps:spPr>
                      <a:xfrm>
                        <a:ext cx="621665"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2.10000000000002pt;margin-top:764.45000000000005pt;width:48.950000000000003pt;height:7.20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864870</wp:posOffset>
              </wp:positionH>
              <wp:positionV relativeFrom="page">
                <wp:posOffset>9672955</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8.099999999999994pt;margin-top:761.64999999999998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885825</wp:posOffset>
              </wp:positionH>
              <wp:positionV relativeFrom="page">
                <wp:posOffset>448310</wp:posOffset>
              </wp:positionV>
              <wp:extent cx="5708650" cy="115570"/>
              <wp:wrapNone/>
              <wp:docPr id="3" name="Shape 3"/>
              <a:graphic xmlns:a="http://schemas.openxmlformats.org/drawingml/2006/main">
                <a:graphicData uri="http://schemas.microsoft.com/office/word/2010/wordprocessingShape">
                  <wps:wsp>
                    <wps:cNvSpPr txBox="1"/>
                    <wps:spPr>
                      <a:xfrm>
                        <a:ext cx="5708650" cy="115570"/>
                      </a:xfrm>
                      <a:prstGeom prst="rect"/>
                      <a:noFill/>
                    </wps:spPr>
                    <wps:txbx>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DNS063 až DNS064 - POA</w:t>
                            <w:tab/>
                            <w:t>Číslo smlouvy kupujícího: N-DO-1-2022-063/065/067</w:t>
                          </w:r>
                        </w:p>
                      </w:txbxContent>
                    </wps:txbx>
                    <wps:bodyPr lIns="0" tIns="0" rIns="0" bIns="0">
                      <a:spAutoFit/>
                    </wps:bodyPr>
                  </wps:wsp>
                </a:graphicData>
              </a:graphic>
            </wp:anchor>
          </w:drawing>
        </mc:Choice>
        <mc:Fallback>
          <w:pict>
            <v:shape id="_x0000_s1029" type="#_x0000_t202" style="position:absolute;margin-left:69.75pt;margin-top:35.299999999999997pt;width:449.5pt;height:9.09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DNS063 až DNS064 - POA</w:t>
                      <w:tab/>
                      <w:t>Číslo smlouvy kupujícího: N-DO-1-2022-063/065/067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806450</wp:posOffset>
              </wp:positionH>
              <wp:positionV relativeFrom="page">
                <wp:posOffset>570865</wp:posOffset>
              </wp:positionV>
              <wp:extent cx="6739255" cy="0"/>
              <wp:wrapNone/>
              <wp:docPr id="5" name="Shape 5"/>
              <a:graphic xmlns:a="http://schemas.openxmlformats.org/drawingml/2006/main">
                <a:graphicData uri="http://schemas.microsoft.com/office/word/2010/wordprocessingShape">
                  <wps:wsp>
                    <wps:cNvCnPr/>
                    <wps:spPr>
                      <a:xfrm>
                        <a:ext cx="6739255" cy="0"/>
                      </a:xfrm>
                      <a:prstGeom prst="straightConnector1"/>
                      <a:ln w="12700">
                        <a:solidFill/>
                      </a:ln>
                    </wps:spPr>
                    <wps:bodyPr/>
                  </wps:wsp>
                </a:graphicData>
              </a:graphic>
            </wp:anchor>
          </w:drawing>
        </mc:Choice>
        <mc:Fallback>
          <w:pict>
            <v:shape o:spt="32" o:oned="true" path="m,l21600,21600e" style="position:absolute;margin-left:63.5pt;margin-top:44.950000000000003pt;width:530.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7">
    <w:name w:val="Nadpis #1_"/>
    <w:basedOn w:val="DefaultParagraphFont"/>
    <w:link w:val="Style6"/>
    <w:rPr>
      <w:rFonts w:ascii="Arial" w:eastAsia="Arial" w:hAnsi="Arial" w:cs="Arial"/>
      <w:b/>
      <w:bCs/>
      <w:i w:val="0"/>
      <w:iCs w:val="0"/>
      <w:smallCaps w:val="0"/>
      <w:strike w:val="0"/>
      <w:sz w:val="22"/>
      <w:szCs w:val="22"/>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20"/>
      <w:szCs w:val="20"/>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0"/>
      <w:szCs w:val="20"/>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Základní text (3)"/>
    <w:basedOn w:val="Normal"/>
    <w:link w:val="CharStyle5"/>
    <w:pPr>
      <w:widowControl w:val="0"/>
      <w:shd w:val="clear" w:color="auto" w:fill="FFFFFF"/>
      <w:spacing w:after="140"/>
    </w:pPr>
    <w:rPr>
      <w:rFonts w:ascii="Arial" w:eastAsia="Arial" w:hAnsi="Arial" w:cs="Arial"/>
      <w:b w:val="0"/>
      <w:bCs w:val="0"/>
      <w:i w:val="0"/>
      <w:iCs w:val="0"/>
      <w:smallCaps w:val="0"/>
      <w:strike w:val="0"/>
      <w:sz w:val="16"/>
      <w:szCs w:val="16"/>
      <w:u w:val="none"/>
    </w:rPr>
  </w:style>
  <w:style w:type="paragraph" w:customStyle="1" w:styleId="Style6">
    <w:name w:val="Nadpis #1"/>
    <w:basedOn w:val="Normal"/>
    <w:link w:val="CharStyle7"/>
    <w:pPr>
      <w:widowControl w:val="0"/>
      <w:shd w:val="clear" w:color="auto" w:fill="FFFFFF"/>
      <w:spacing w:after="590"/>
      <w:jc w:val="center"/>
      <w:outlineLvl w:val="0"/>
    </w:pPr>
    <w:rPr>
      <w:rFonts w:ascii="Arial" w:eastAsia="Arial" w:hAnsi="Arial" w:cs="Arial"/>
      <w:b/>
      <w:bCs/>
      <w:i w:val="0"/>
      <w:iCs w:val="0"/>
      <w:smallCaps w:val="0"/>
      <w:strike w:val="0"/>
      <w:sz w:val="22"/>
      <w:szCs w:val="22"/>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276" w:lineRule="auto"/>
    </w:pPr>
    <w:rPr>
      <w:rFonts w:ascii="Arial" w:eastAsia="Arial" w:hAnsi="Arial" w:cs="Arial"/>
      <w:b w:val="0"/>
      <w:bCs w:val="0"/>
      <w:i w:val="0"/>
      <w:iCs w:val="0"/>
      <w:smallCaps w:val="0"/>
      <w:strike w:val="0"/>
      <w:sz w:val="20"/>
      <w:szCs w:val="20"/>
      <w:u w:val="none"/>
    </w:rPr>
  </w:style>
  <w:style w:type="paragraph" w:customStyle="1" w:styleId="Style15">
    <w:name w:val="Jiné"/>
    <w:basedOn w:val="Normal"/>
    <w:link w:val="CharStyle16"/>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20">
    <w:name w:val="Nadpis #2"/>
    <w:basedOn w:val="Normal"/>
    <w:link w:val="CharStyle21"/>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6">
    <w:name w:val="Základní text (2)"/>
    <w:basedOn w:val="Normal"/>
    <w:link w:val="CharStyle27"/>
    <w:pPr>
      <w:widowControl w:val="0"/>
      <w:shd w:val="clear" w:color="auto" w:fill="FFFFFF"/>
      <w:spacing w:after="1040" w:line="276"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s>
</file>